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14" w:rsidRDefault="001655FF">
      <w:pPr>
        <w:spacing w:after="0" w:line="276" w:lineRule="auto"/>
        <w:ind w:left="397" w:right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ОРІВНЯЛЬНА ТАБЛИЦЯ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проєкту наказу Міністерства освіти і науки України</w:t>
      </w:r>
    </w:p>
    <w:p w:rsidR="00C83C14" w:rsidRDefault="001655FF">
      <w:pPr>
        <w:spacing w:after="0" w:line="276" w:lineRule="auto"/>
        <w:ind w:left="397" w:right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затвердження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мін до Порядку державної реєстрації та обліку науково-дослідних, дослідно-конструкторських робіт і дисертацій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83C14" w:rsidRDefault="00C83C14">
      <w:pPr>
        <w:spacing w:after="0" w:line="276" w:lineRule="auto"/>
        <w:ind w:left="397" w:right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a"/>
        <w:tblW w:w="1479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7500"/>
      </w:tblGrid>
      <w:tr w:rsidR="00C83C14">
        <w:trPr>
          <w:tblHeader/>
        </w:trPr>
        <w:tc>
          <w:tcPr>
            <w:tcW w:w="7290" w:type="dxa"/>
          </w:tcPr>
          <w:p w:rsidR="00C83C14" w:rsidRDefault="001655FF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 положення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500" w:type="dxa"/>
          </w:tcPr>
          <w:p w:rsidR="00C83C14" w:rsidRDefault="001655FF">
            <w:pPr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 відповідного положення </w:t>
            </w:r>
          </w:p>
          <w:p w:rsidR="00C83C14" w:rsidRDefault="001655FF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C83C14">
        <w:trPr>
          <w:trHeight w:val="240"/>
        </w:trPr>
        <w:tc>
          <w:tcPr>
            <w:tcW w:w="14790" w:type="dxa"/>
            <w:gridSpan w:val="2"/>
          </w:tcPr>
          <w:p w:rsidR="00C83C14" w:rsidRDefault="001655FF">
            <w:pPr>
              <w:spacing w:before="120" w:after="120"/>
              <w:ind w:right="4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Зміни у Порядку державної реєстрації та обліку науково-дослідних, дослідно-конструкторських робіт і дисертацій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пункті 6 розділу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Процедура державної реєстрації та обліку розпочатих, виконуваних, завершених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передбачає подання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реєстраційних, облікових і звітних документів, до яких належать: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реєстраційна картка науково-дослідних, дослідно-конструкторських робіт (далі -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оформлена за формою згідно з додатком 1 до цього Порядку відповідно до Інструкції з оформлення та внесення змін у реєстраційну картку науково-дослідних, дослідно-конструкторських робіт згідно з додатком 2 до цього Порядку, - документ, яким виконавець інформує про початок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облікова картка науково-дослідних, дослідно-конструкторських робіт (далі - 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оформлена за формою згідно з додатком 3 до цього</w:t>
            </w:r>
            <w:r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відповідно до Інструкції з оформлення та внесення змін в облікову картку науково-дослідних, дослідно-конструкторських робіт згідно з додатком 4 до цього Порядку;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звітні матеріали про перебіг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документи, якими виконавець інформує про хід виконання</w:t>
            </w:r>
            <w:r>
              <w:rPr>
                <w:i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завершення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C0F07" w:rsidRDefault="002C0F07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  <w:p w:rsidR="002C0F07" w:rsidRDefault="002C0F07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0F07" w:rsidRDefault="002C0F07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0F07" w:rsidRDefault="002C0F07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реєстраційна картка технології та її складових, що створені або придбані (частково або повністю) за рахунок бюджетних коштів, створені або придбані державними підприємствами, пропонуються для реєстрації суб'єктами (власниками) технологій (далі - РКТ), оформлена відповідно до 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наказу Міністерства освіти і науки Укра</w:t>
              </w:r>
              <w:r w:rsidR="00A150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їни від 09 листопада 2015 року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1156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зареєстрованого в Міністерстві юстиції 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02 грудня 2015 року за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1501/27946, якою виконавець повідомляє про створені під час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 (за наявності).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державної реєстрації та обліку дисертацій передбачає подання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документів, якими спеціалізована вчена рада з присудження наукового ступеня доктора наук закладу вищої освіти (наукової установи) та / або разова спеціалізована вчена рада повідомляє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захист дисертації: облікової картки дисертації (далі - ОКД), оформленої за формою згідно з додатком 5 до цього Порядку відповідно до Інструкції з оформлення та внесення змін в облікову картку дисертації згідно з додатком 6 до цього Порядку; електронної версії дисертації на здобуття наукового ступеня доктора філософії, кандидата наук, доктора наук; реферату (анотації).</w:t>
            </w:r>
          </w:p>
        </w:tc>
        <w:tc>
          <w:tcPr>
            <w:tcW w:w="7500" w:type="dxa"/>
          </w:tcPr>
          <w:p w:rsidR="00C83C14" w:rsidRPr="002C0F07" w:rsidRDefault="00C83C14">
            <w:pPr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Процедура державної реєстрації та обліку розпочатих, виконуваних, завершених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передбачає подання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реєстраційних, облікових і звітних документів, до яких належать: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реєстраційна картка науково-дослідних, дослідно-конструкторських робіт (далі -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оформлена за формою згідно з додатком 1 до цього Порядку відповідно до Інструкції з оформлення та внесення змін у реєстраційну картку науково-дослідних, дослідно-конструкторських робіт згідно з додатком 2 до цього Порядку, - документ, яким виконавець інформує про початок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облікова картка науково-дослідних, дослідно-конструкторських робіт (далі - 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оформлена за формою згідно з додатком 3 до цього</w:t>
            </w:r>
            <w:r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відповідно до Інструкції з оформлення та внесення змін в облікову картку науково-дослідних, дослідно-конструкторських робіт згідно з додатком 4 до цього Порядку;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звітні документи, якими виконавець інформує про хід виконання, завершення та впровадження результатів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оформлені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за примірною формою  про результати виконання науково-дослідних, дослідно-конструкторських робіт чи окремих їхніх етапів, що виконуються частково або повністю за рахунок бюджетних коштів (далі - примірна форма) згідно з додатком 7 до цього Порядку, або відповідно до ДСТУ 3008-2015 “Інформація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документація. Звіти у сфері науки і техніки. Структура та правила оформлювання” (далі - ДСТУ 3008:2015).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реєстраційна картка технології та її складових, що створені або придбані (частково або повністю) за рахунок бюджетних коштів, створені або придбані державними підприємствами, пропонуються для реєстрації суб'єктами (власниками) технологій (далі - РКТ), оформлена відповідно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наказу Міністерства освіти і науки Укра</w:t>
              </w:r>
              <w:r w:rsidR="00A150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їни від 09 листопада 2015 року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1156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зареєстрованого в Міністерстві юстиції 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02 грудня 2015 року за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1501/27946, якою виконавець повідомляє про створені під час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 (за наявності).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державної реєстрації та обліку дисертацій передбачає подання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документів, якими спеціалізована вчена рада з присудження наукового ступеня доктора наук закладу вищої освіти (наукової установи) та / або разова спеціалізована вчена рада повідомляє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захист дисертації: облікової картки дисертації (далі - ОКД), оформленої за формою згідно з додатком 5 до цього Порядку відповідно до Інструкції з оформлення та внесення змін в облікову картку дисертації згідно з додатком 6 до цього Порядку; електронної версії дисертації на здобуття наукового ступеня доктора філософії, кандидата наук, доктора наук; реферату (анотації).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 пункті 10 розділу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виконуються кількома виконавцями (головний виконавець і співвиконавці), то подання реєстраційних, облікових та звітних документів, здійснюється головним виконавцем відповідно до вимог, встановлених цим Порядком.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</w:tcPr>
          <w:p w:rsidR="00C83C14" w:rsidRDefault="00C83C14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C83C14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виконуються кількома виконавцями (головний виконавець і співвиконавці), то подання реєстраційних, облікових та звітних документів, здійснюється головним виконавцем відповідно до вимог, встановлених цим Порядком.</w:t>
            </w:r>
          </w:p>
          <w:p w:rsidR="00C83C14" w:rsidRDefault="001655FF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Співвиконавці можуть подавати реєстраційні, облікові та звітні документи окремо від головного виконавця на добровільних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засадах із зазначенням реєстраційного номера картки головного виконавця.</w:t>
            </w:r>
          </w:p>
        </w:tc>
      </w:tr>
      <w:tr w:rsidR="0071368F">
        <w:trPr>
          <w:trHeight w:val="405"/>
        </w:trPr>
        <w:tc>
          <w:tcPr>
            <w:tcW w:w="7290" w:type="dxa"/>
          </w:tcPr>
          <w:p w:rsidR="0071368F" w:rsidRDefault="0071368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 розділі І</w:t>
            </w:r>
          </w:p>
          <w:p w:rsidR="0071368F" w:rsidRDefault="0071368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</w:tcPr>
          <w:p w:rsidR="0071368F" w:rsidRPr="0071368F" w:rsidRDefault="0071368F">
            <w:pPr>
              <w:ind w:firstLine="4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8F">
              <w:rPr>
                <w:rFonts w:ascii="Times New Roman" w:hAnsi="Times New Roman" w:cs="Times New Roman"/>
                <w:b/>
                <w:sz w:val="24"/>
                <w:szCs w:val="24"/>
              </w:rPr>
              <w:t>11. На період воєнного стану в Україні деяка інформація, яка міститься в Автоматизованому інформаційному фонді</w:t>
            </w:r>
            <w:r w:rsidR="000722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7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рішенням МОН може не оприлюднюватися або оприлюднюватися не в повному обсязі (з подальшим оприлюдненням протягом шести місяців з дня припинення чи скасування воєнного стану).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4 глави 2 розділу ІІ</w:t>
            </w:r>
          </w:p>
          <w:p w:rsidR="00C83C14" w:rsidRDefault="001655FF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Якщо необхідно внести зміни до будь-якого поля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виконавець додає до відповідної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скановану копію офіційного документа із зазначенням старих і нових значень полів, в якому обґрунтовується доцільність внесення змін, і самостійно вносить зміни у відповідні поля. Документ засвідчується підписом, у тому числі електронним цифровим підписом,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  <w:p w:rsidR="00C83C14" w:rsidRDefault="001655FF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</w:tcPr>
          <w:p w:rsidR="00C83C14" w:rsidRDefault="00C83C14">
            <w:pPr>
              <w:ind w:firstLine="438"/>
              <w:jc w:val="both"/>
              <w:rPr>
                <w:sz w:val="24"/>
                <w:szCs w:val="24"/>
              </w:rPr>
            </w:pPr>
          </w:p>
          <w:p w:rsidR="00C83C14" w:rsidRDefault="001655FF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Якщо необхідно внести зміни до будь-якого поля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виконавець додає до відповідної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скановану копію офіційного документа із зазначенням старих і нових значень полів, в якому обґрунтовується доцільність внесення змін, і самостійно вносить зміни у відповідні поля. Документ засвідчується підписом, у тому числі електронним цифровим підписом,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  <w:p w:rsidR="002C0F07" w:rsidRDefault="002C0F07">
            <w:pPr>
              <w:spacing w:before="220" w:after="140" w:line="276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14" w:rsidRDefault="001655FF" w:rsidP="009A615A">
            <w:pPr>
              <w:spacing w:before="220" w:after="140" w:line="276" w:lineRule="auto"/>
              <w:ind w:firstLine="42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Змінена РК автоматично Системою 1 надсилається на підтвердження уповноваженій особі, яка засвідчує</w:t>
            </w:r>
            <w:r w:rsidR="009A6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її шляхом накладання електронного цифрового підпису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</w:tc>
      </w:tr>
      <w:tr w:rsidR="00C83C14">
        <w:trPr>
          <w:trHeight w:val="2357"/>
        </w:trPr>
        <w:tc>
          <w:tcPr>
            <w:tcW w:w="7290" w:type="dxa"/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5 глави 2 розділу ІІ</w:t>
            </w:r>
          </w:p>
          <w:p w:rsidR="00C83C14" w:rsidRDefault="001655FF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випадку присвоєння роботі грифу «Для службового користування», «Таємно», «Цілком таємно»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втрачає загальний доступ, переміщується до закритої для вільного доступу ззовні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бази даних із збереженням державного реєстраційного номеру.</w:t>
            </w:r>
          </w:p>
        </w:tc>
        <w:tc>
          <w:tcPr>
            <w:tcW w:w="7500" w:type="dxa"/>
          </w:tcPr>
          <w:p w:rsidR="00C83C14" w:rsidRDefault="00C83C14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pacing w:before="220" w:after="1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випадку присвоєння роботі грифу «Для службового користування», «Таємно», «Цілком таємно»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втрачає загальний доступ, переміщується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закритої для вільного доступу ззовні бази даних,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отримує новий реєстраційний номер.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Pr="002C0F07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 пункті 1 глави 3 розділу ІІ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Виконавець зареєстрованих в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30-денний строк з дати завершення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0">
              <w:r w:rsidRPr="002C0F0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або з дати завершення етапу незалежно від його тривалості відповідно до договору із замовником</w:t>
              </w:r>
            </w:hyperlink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відповідно до РК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1 до цього Порядку, заповнює у Системі 1 форму ОК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3 до цього Порядку,</w:t>
            </w:r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яка також містить поля для подання даних щодо створеної наукової (науково-технічної) продукції (далі - НТП) та можливість завантажити звітні документи. Подання інформації раніше строку завершення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 їх етапів не допускається.</w:t>
            </w:r>
          </w:p>
          <w:p w:rsidR="00C83C14" w:rsidRPr="002C0F07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Звіт оформлюється відповідно до вимог законодавства України зі стандартизації (ДСТУ 3008-2015 "Інформація та документація. Звіти у сфері науки і техніки. Структура та правила оформлювання" (далі - ДСТУ 3008:2015).</w:t>
            </w:r>
          </w:p>
          <w:p w:rsidR="00C83C14" w:rsidRPr="002C0F07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про патентні дослідження (для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, фінансування яких повністю або частково здійснюється за рахунок коштів державного бюджету) оформлюється у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відповідності до ДСТУ 3575-97 «</w:t>
            </w: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Патентні дослідження. Основні 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та порядок проведення»</w:t>
            </w: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C14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виконуваних повністю або частково за рахунок коштів державного бюджету (загального та/або спеціального фонду) або місцевого бюджету, подання облікових і звітних документів</w:t>
            </w: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обов'язковим по завершенню кожного етапу та по завершенню роботи в цілому.</w:t>
            </w:r>
          </w:p>
        </w:tc>
        <w:tc>
          <w:tcPr>
            <w:tcW w:w="7500" w:type="dxa"/>
          </w:tcPr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Виконавець зареєстрованих в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30-денний строк з дати завершення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1">
              <w:r w:rsidRPr="002C0F0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або з дати завершення етапу незалежно від його тривалості відповідно до договору із замовником</w:t>
              </w:r>
            </w:hyperlink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відповідно до РК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1 до цього Порядку, заповнює у Системі 1 форму ОК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3 до цього Порядку.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ОК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містить поля для зазначення реквізитів документів про впровадження результатів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ідентифікатора </w:t>
            </w:r>
            <w:r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цифрового об’єкта (DОІ) </w:t>
            </w:r>
            <w:r w:rsidR="009A615A"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для </w:t>
            </w:r>
            <w:r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дослідницьких (наукових) </w:t>
            </w:r>
            <w:r w:rsidR="00A1508D"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FAIR</w:t>
            </w:r>
            <w:r w:rsidR="00A1508D" w:rsidRPr="009A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</w:t>
            </w:r>
            <w:r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даних</w:t>
            </w:r>
            <w:r w:rsidR="00A1508D" w:rsidRPr="009A61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(за наявності)</w:t>
            </w:r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</w:t>
            </w: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даних щодо</w:t>
            </w:r>
            <w:r w:rsidR="009A6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опису</w:t>
            </w: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створеної наукової (науково-технічної) продукції (далі - НТП). 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Звітні документи оформляються відповідно до примірної форми (додаток 7 до цього Порядку) або відповідно д</w:t>
            </w:r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ДСТУ 3008:2015.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Рішення про застосування форм для подачі звітних документів (за примірною формою, або відповідно до ДСТУ 3008:2015) приймається замовником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A6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Примірна форма є пріоритетною до застосування.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про патентні дослідження (для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, фінансування яких повністю або частково здійснюється за рахунок коштів державного бюджету) оформлюється у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відповідності до ДСТУ 3575-97 «</w:t>
            </w: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Патентні дослідження. Основні 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та порядок проведення»</w:t>
            </w: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C14" w:rsidRPr="002C0F07" w:rsidRDefault="001655FF" w:rsidP="002C0F07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2C0F07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виконуваних повністю або частково за рахунок коштів державного бюджету (загального та/або спеціального фонду) або місцевого бюджету, подання облікових і звітних документів є обов'язковим по завершенню кожного етапу та по завершенню роботи в цілому.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раніше строку завершення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їх етапів не допускається.</w:t>
            </w:r>
          </w:p>
        </w:tc>
      </w:tr>
      <w:tr w:rsidR="00C83C14">
        <w:trPr>
          <w:trHeight w:val="1982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7 глави 3 розділу ІІ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7. Виконавець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після закінчення роботи протягом трьох років завантажує в Особистому кабінеті у форматах 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 або 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скановані копії актів про впровадження НТП (за наявності); охоронних документів (патентів,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якщо відповідний об'єкт інтелектуальної власності створено та заявку про його державну реєстрацію подано протягом терміну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ind w:firstLine="4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Виконавець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після закінчення роботи протягом трьох років завантажує в 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Особистому кабінеті у форматах «.</w:t>
            </w:r>
            <w:proofErr w:type="spellStart"/>
            <w:r w:rsidR="00A150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</w:t>
            </w:r>
            <w:proofErr w:type="spellEnd"/>
            <w:r w:rsidR="00A150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 або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pdf</w:t>
            </w:r>
            <w:proofErr w:type="spellEnd"/>
            <w:r w:rsidR="00A150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скановані копії актів про вп</w:t>
            </w:r>
            <w:r w:rsidR="00A150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ровадження НТП (за наявності);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охоронних документів (патентів,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якщо відповідний об'єкт інтелектуальної власності створено та заявку про його державну реєстрацію подано протягом терміну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зазначає реквізити документів про впровадження результатів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C83C14">
        <w:trPr>
          <w:trHeight w:val="1982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1 глави 3 розділу ІІІ</w:t>
            </w:r>
          </w:p>
          <w:p w:rsidR="00C83C14" w:rsidRPr="002C0F07" w:rsidRDefault="001655FF">
            <w:pPr>
              <w:numPr>
                <w:ilvl w:val="0"/>
                <w:numId w:val="1"/>
              </w:numPr>
              <w:shd w:val="clear" w:color="auto" w:fill="FFFFFF"/>
              <w:ind w:left="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зареєстрованих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містять інформацію з обмеженим доступом, у 30-денний строк з дати їх завершення (або з дати завершення етапу незалежно від його тривалості відповідно до договору із замовником) відповідно до зареєстрованої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1 до цього Порядку, надсилає 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3 до цього Порядку,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яка також містить поля для подання даних щодо створеної НТП.</w:t>
            </w:r>
          </w:p>
          <w:p w:rsidR="002C0F07" w:rsidRDefault="002C0F07" w:rsidP="002C0F07">
            <w:pPr>
              <w:shd w:val="clear" w:color="auto" w:fill="FFFFFF"/>
              <w:ind w:left="5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0F07" w:rsidRDefault="002C0F07" w:rsidP="002C0F07">
            <w:pPr>
              <w:shd w:val="clear" w:color="auto" w:fill="FFFFFF"/>
              <w:ind w:lef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відсутні</w:t>
            </w: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771" w:rsidRDefault="00C92771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771" w:rsidRDefault="00C92771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07" w:rsidRDefault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 w:rsidP="002C0F07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Звітні документи у період дії воєнного стану подаються лише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грифом “Для службового користування”.</w:t>
            </w:r>
          </w:p>
          <w:p w:rsidR="00C83C14" w:rsidRDefault="00C83C14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 w:rsidP="002C0F07">
            <w:pPr>
              <w:numPr>
                <w:ilvl w:val="0"/>
                <w:numId w:val="2"/>
              </w:numPr>
              <w:shd w:val="clear" w:color="auto" w:fill="FFFFFF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зареєстрованих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E6775">
              <w:rPr>
                <w:rFonts w:ascii="Times New Roman" w:eastAsia="Times New Roman" w:hAnsi="Times New Roman" w:cs="Times New Roman"/>
                <w:sz w:val="24"/>
                <w:szCs w:val="24"/>
              </w:rPr>
              <w:t>що містять інформацію з обмеженим доступом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30-денний строк з дати їх завершення (або з дати завершення етапу незалежно від його тривалості відповідно до договору із замовником) відповідно до зареєстрованої 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1 до цього Порядку, надсилає 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3 до цього Порядку. </w:t>
            </w:r>
          </w:p>
          <w:p w:rsidR="007E40DA" w:rsidRPr="005E6775" w:rsidRDefault="001655FF" w:rsidP="00615284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ОК </w:t>
            </w:r>
            <w:proofErr w:type="spellStart"/>
            <w:r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містить поля для зазначення реквізитів документів пр</w:t>
            </w:r>
            <w:r w:rsidR="00ED38F2"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впровадження результатів </w:t>
            </w:r>
            <w:proofErr w:type="spellStart"/>
            <w:r w:rsidR="00ED38F2"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="00ED38F2"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даних щодо </w:t>
            </w:r>
            <w:r w:rsidR="005E6775"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опису </w:t>
            </w:r>
            <w:r w:rsidR="00ED38F2"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створеної </w:t>
            </w:r>
            <w:r w:rsidRP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НТП.</w:t>
            </w:r>
          </w:p>
          <w:p w:rsidR="00C83C14" w:rsidRPr="00561B69" w:rsidRDefault="001655FF" w:rsidP="00561B69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Звітні документи оформляються відповідно до примірної форми (додаток 7 до ць</w:t>
            </w:r>
            <w:r w:rsidR="00561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Порядку) або відповідно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ДСТУ 3008:2015.</w:t>
            </w:r>
          </w:p>
          <w:p w:rsidR="00C83C14" w:rsidRPr="00561B69" w:rsidRDefault="001655FF" w:rsidP="00561B69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Рішення про застосування форм для подачі звітних документів (за примірною формою або ДСТУ 3008:2015) приймається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E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Примірна форма є пріоритетною до застосування.</w:t>
            </w:r>
          </w:p>
          <w:p w:rsidR="00C83C14" w:rsidRDefault="001655FF" w:rsidP="00561B69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Звіт про патентні дослідження 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фінансування яких повністю або частково здійснюється за рахунок коштів державного бюджету) оформляєт</w:t>
            </w:r>
            <w:r w:rsidR="00561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ься відповідно до ДСТУ 3575-97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Патентні дослідження. Основні </w:t>
            </w:r>
            <w:r w:rsidR="00561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положення та порядок проведення»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83C14" w:rsidRDefault="001655FF" w:rsidP="00561B69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виконуваних повністю або частково за рахунок коштів державного бюджету (загального та/або спеціального фонду) або місцевого бюджету, подання облікових і звітних документів є обов'язковим по завершенню кожного етапу та по завершенню роботи в цілому.</w:t>
            </w:r>
          </w:p>
          <w:p w:rsidR="00C83C14" w:rsidRDefault="001655FF" w:rsidP="00561B69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Подання 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раніше строку завершення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їх етапів не допускається.</w:t>
            </w:r>
          </w:p>
          <w:p w:rsidR="00C83C14" w:rsidRPr="00C92771" w:rsidRDefault="00C92771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71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5 розділу V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 Секретар через Особистий кабінет ради вносить до Системи 2 заповнений бланк ОКД, електронний примірник дисертації, реферату (анотації).</w:t>
            </w:r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Положення відсутнє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5. Секретар через Особистий кабінет ради вносить до Системи 2 заповнений бланк ОКД, електронний примірник дисертації, реферату (анотації). </w:t>
            </w:r>
          </w:p>
          <w:p w:rsidR="00C83C14" w:rsidRDefault="001655FF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ОКД також містить поля для зазначення реквізитів документів про впровадження результатів дисертації (за наявності); </w:t>
            </w:r>
            <w:r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ідентифікатора цифрового об’єкта (DОІ) </w:t>
            </w:r>
            <w:r w:rsidR="00C92771"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дослідницьких (наукових) </w:t>
            </w:r>
            <w:r w:rsidR="00A1508D"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</w:t>
            </w:r>
            <w:r w:rsidR="00A1508D" w:rsidRPr="00C927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1508D"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даних (за наявності) та </w:t>
            </w:r>
            <w:r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даних щодо</w:t>
            </w:r>
            <w:r w:rsidR="00C92771"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опису</w:t>
            </w:r>
            <w:r w:rsidRPr="00C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НТП.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C14" w:rsidRDefault="001655FF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Секретар протягом трьох років після захисту дисертації завантажує в </w:t>
            </w:r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Особистому кабінеті у форматах «.</w:t>
            </w:r>
            <w:proofErr w:type="spellStart"/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doc</w:t>
            </w:r>
            <w:proofErr w:type="spellEnd"/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 або «.</w:t>
            </w:r>
            <w:proofErr w:type="spellStart"/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pdf</w:t>
            </w:r>
            <w:proofErr w:type="spellEnd"/>
            <w:r w:rsidR="00A150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скановані копії актів про впровадження НТП (за наявності);  охоронних документів (патентів,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 (за наявності); зазначає реквізити (вид, дату та номер) документів про впровадження результатів дисертації (за наявності).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6 розділу V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Електронні примірники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документів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дисертації, реферату (анотації) надаються у форматі "Microsoft Word" (".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"/".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") або у форматі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Acrobat.pdf", із текстовим шаром без заборони на копіювання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оформлені відповідно до встановлених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вимог.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 примірники дисертації, реферату (анотації), надаються у форматі "Microsoft Word" (".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"/".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") або у форматі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Acrobat.pdf", із текстовим шаром без заборони на копіювання та оформлені відповідно до встановлених вимог.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pacing w:before="2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пункті 13 розділу V</w:t>
            </w:r>
          </w:p>
          <w:p w:rsidR="00C83C14" w:rsidRDefault="001655FF" w:rsidP="00615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Якщо необхідно внести зміни до будь-якого поля ОКД, секретар додає до такої ОКД скановану копію офіційного документа із зазначенням старих і нових значень полів, у якому обґрунтовується доцільність внесення змін, і самостійно вносить зміни у відповідні поля. Документ засвідчується підписом, у тому числі електронним цифровим підписом,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  <w:p w:rsidR="00615284" w:rsidRDefault="00615284" w:rsidP="00615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Pr="00615284" w:rsidRDefault="001655FF" w:rsidP="006152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5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відсутнє.</w:t>
            </w:r>
          </w:p>
        </w:tc>
        <w:tc>
          <w:tcPr>
            <w:tcW w:w="7500" w:type="dxa"/>
          </w:tcPr>
          <w:p w:rsidR="00615284" w:rsidRDefault="00615284" w:rsidP="00615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284" w:rsidRDefault="00615284" w:rsidP="00615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 w:rsidP="00615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Якщо необхідно внести зміни до будь-якого поля ОКД, секретар додає до такої ОКД скановану копію офіційного документа із зазначенням старих і нових значень полів, у якому обґрунтовується доцільність внесення змін, і самостійно вносить зміни у відповідні поля. Документ засвідчується підписом, у тому числі електронним цифровим підписом,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  <w:p w:rsidR="00C83C14" w:rsidRDefault="001655FF" w:rsidP="009A40D7">
            <w:pPr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Після внесення змін в ОКД в Особистому кабінеті, вона автоматично Системою 2 передається на перевірку до відповідальної особи установи, в якій була створена спеціалізована вчена рада (або разова спеціалізована вчена рада). Відповідальна особа установи здійснює перевірку ОКД та засвідчує її </w:t>
            </w:r>
            <w:r w:rsid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шляхом накладання електронного цифрового підпису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що базується на кваліфікованому сертифікаті електронного підпису, відповідно до статті 7 Закону України «Про електронні документи та електронний документообіг».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hyperlink r:id="rId12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абзаці третьому пункту 5 розділу VI</w:t>
              </w:r>
            </w:hyperlink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здійснення реєстрації дисертації, що містить інформацію з обмеженим доступом, спеціалізована вчена рада (разова спеціалізована вчена рада) подає з використанням спеціального зв'язку лист за підписом голови ради, в якому зазначаються назва дисертації та перелік документів, що додаються до неї, (окремо для кожної дисертації):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 бланк ОКД;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(анотацію) та текст дисертації.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У період дії воєнного стану подається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лише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текст дисертацій</w:t>
              </w:r>
            </w:hyperlink>
            <w:hyperlink r:id="rId16">
              <w:r w:rsidR="00BD41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грифом «Для службового користування»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здійснення реєстрації дисертації, що містить інформацію з обмеженим доступом, спеціалізована вчена рада (разова спеціалізована вчена рада) подає з використанням спеціального зв'язку лист за підписом голови ради, в якому зазначаються назва дисертації та перелік документів, що додаються до неї, (окремо для кожної дисертації):</w:t>
            </w:r>
          </w:p>
          <w:p w:rsidR="00615284" w:rsidRDefault="0061528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 бланк ОКД;</w:t>
            </w:r>
          </w:p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(анотацію) та текст дисертації (лише з г</w:t>
            </w:r>
            <w:r w:rsidR="00BD41B6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 «Для службового користування»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додатках до Порядку:</w:t>
            </w: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додатку 1: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 ІV:</w:t>
            </w:r>
          </w:p>
          <w:tbl>
            <w:tblPr>
              <w:tblStyle w:val="afb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0"/>
                    <w:id w:val="1733198040"/>
                    <w:lock w:val="contentLocked"/>
                  </w:sdtPr>
                  <w:sdtEndPr/>
                  <w:sdtContent>
                    <w:p w:rsidR="00C83C14" w:rsidRDefault="001655FF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C14" w:rsidRDefault="00C83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widowControl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V:</w:t>
            </w:r>
          </w:p>
          <w:p w:rsidR="00C83C14" w:rsidRDefault="00C83C14">
            <w:pPr>
              <w:widowControl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fc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1"/>
                    <w:id w:val="1164506079"/>
                    <w:lock w:val="contentLocked"/>
                  </w:sdtPr>
                  <w:sdtEndPr/>
                  <w:sdtContent>
                    <w:p w:rsidR="00C83C14" w:rsidRDefault="001655F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trike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widowControl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Виключити.</w:t>
            </w: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додатку 2:</w:t>
            </w:r>
          </w:p>
        </w:tc>
      </w:tr>
      <w:tr w:rsidR="00C83C14">
        <w:trPr>
          <w:trHeight w:val="1158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IV: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виконавець: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 виконавець є фізичною особою або фізичною особою підприємцем, то зазначається “не застосовується”.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2D6E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1158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співвиконавець: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 співвиконавець є фізичною особою або фізичною особою підприємцем, то зазначається “не застосовується”.</w:t>
            </w: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1158"/>
        </w:trPr>
        <w:tc>
          <w:tcPr>
            <w:tcW w:w="7290" w:type="dxa"/>
          </w:tcPr>
          <w:p w:rsidR="00C83C14" w:rsidRDefault="001655FF">
            <w:pPr>
              <w:widowControl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абзаці п’ятому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розділу VI: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«Пріоритетний напрям розвитку науки і техніки» - зазначається назва пріоритетного напряму відповідно до 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3 Закону України «Про пріоритетні напрями розвитку науки і техніки»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межах якого виконуються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 та комунікаційні технології;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енергетика та енергоефективність;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раціональне природокористування;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науки про життя, нові технології профілактики та лікування найпоширеніших захворювань;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нові речовини і матеріали.</w:t>
            </w:r>
          </w:p>
          <w:p w:rsidR="00C83C14" w:rsidRDefault="00C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:rsidR="002D6EED" w:rsidRDefault="002D6EE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«Пріоритетний напрям розвитку науки і техніки» - зазначається назва пріоритетного напряму відповідно до 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3 Закону України «Про пріоритетні напрями розвитку науки і техніки»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межах якого виконуються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1158"/>
        </w:trPr>
        <w:tc>
          <w:tcPr>
            <w:tcW w:w="7290" w:type="dxa"/>
          </w:tcPr>
          <w:p w:rsidR="00C83C14" w:rsidRDefault="001655FF">
            <w:pPr>
              <w:widowControl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абзаці шостому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розділу VI:</w:t>
            </w:r>
          </w:p>
          <w:p w:rsidR="00C83C14" w:rsidRDefault="001655FF">
            <w:pPr>
              <w:shd w:val="clear" w:color="auto" w:fill="FFFFFF"/>
              <w:ind w:firstLine="564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полі «Стратегічний пріоритетний напрям інноваційної діяльності» - зазначається назва стратегічного пріоритетного напряму відповідно до 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4 Закону України «Про пріоритетні напрями інноваційної діяльності в Україні»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межах якого виконуються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освоєння нових технологій транспортування енергії, впровадження енергоефективних, ресурсозберігаючих технологій, освоєння альтернативних джерел енергії;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освоєння нових технологій високотехнологічного розвитку транспортної системи, ракетно-космічної галузі, авіа- і суднобудування, озброєння та військової техніки;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освоєння нових технологій виробництва матеріалів, їх оброблення і з'єднання, створення індустрії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нанотехнологій;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технологічне оновлення та розвиток агропромислового комплексу;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впровадження нових технологій та обладнання для якісного медичного обслуговування, лікування, фармацевтики;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широке застосування технологій більш чистого виробництва та охорони навколишнього природного середовища;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розвиток сучасних інформаційних, комунікаційних технологій, робототехніки.</w:t>
            </w:r>
          </w:p>
          <w:p w:rsidR="00C83C14" w:rsidRDefault="00C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полі Стратегічний пріоритетний напрям інноваційної діяльності" - зазначається назва стратегічного пріоритетного напряму відповідно до 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4 Закону України «Про пріоритетні напрями інноваційної діяльності в Україні»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межах якого виконуються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</w:rPr>
            </w:pPr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Виключити.</w:t>
            </w: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додатку 3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ІІІ</w:t>
            </w:r>
          </w:p>
          <w:tbl>
            <w:tblPr>
              <w:tblStyle w:val="afd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2"/>
                    <w:id w:val="434631355"/>
                    <w:lock w:val="contentLocked"/>
                  </w:sdtPr>
                  <w:sdtEndPr/>
                  <w:sdtContent>
                    <w:p w:rsidR="00C83C14" w:rsidRDefault="001655F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trike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C14" w:rsidRDefault="00C83C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</w:t>
            </w:r>
          </w:p>
          <w:tbl>
            <w:tblPr>
              <w:tblStyle w:val="afe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3"/>
                    <w:id w:val="1444504245"/>
                    <w:lock w:val="contentLocked"/>
                  </w:sdtPr>
                  <w:sdtEndPr/>
                  <w:sdtContent>
                    <w:p w:rsidR="00C83C14" w:rsidRDefault="001655F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C14" w:rsidRDefault="00C83C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Виключити.</w:t>
            </w:r>
          </w:p>
        </w:tc>
      </w:tr>
      <w:tr w:rsidR="00C83C14">
        <w:trPr>
          <w:trHeight w:val="1337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VІІІ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Рядок відсутній</w:t>
            </w:r>
          </w:p>
        </w:tc>
        <w:tc>
          <w:tcPr>
            <w:tcW w:w="7500" w:type="dxa"/>
          </w:tcPr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tbl>
            <w:tblPr>
              <w:tblStyle w:val="aff"/>
              <w:tblW w:w="7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00"/>
            </w:tblGrid>
            <w:tr w:rsidR="00C83C14">
              <w:tc>
                <w:tcPr>
                  <w:tcW w:w="7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4"/>
                    <w:id w:val="174772362"/>
                    <w:lock w:val="contentLocked"/>
                  </w:sdtPr>
                  <w:sdtEndPr/>
                  <w:sdtContent>
                    <w:p w:rsidR="00C83C14" w:rsidRDefault="001655FF">
                      <w:pPr>
                        <w:pBdr>
                          <w:top w:val="none" w:sz="0" w:space="5" w:color="auto"/>
                          <w:bottom w:val="none" w:sz="0" w:space="5" w:color="auto"/>
                          <w:between w:val="none" w:sz="0" w:space="5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Реквізити документів про впровадження результатів ДіР (за наявності):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C83C14">
        <w:trPr>
          <w:trHeight w:val="1337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VІІІ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Рядок відсутній</w:t>
            </w:r>
          </w:p>
        </w:tc>
        <w:tc>
          <w:tcPr>
            <w:tcW w:w="7500" w:type="dxa"/>
          </w:tcPr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tbl>
            <w:tblPr>
              <w:tblStyle w:val="aff0"/>
              <w:tblW w:w="7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00"/>
            </w:tblGrid>
            <w:tr w:rsidR="00C83C14">
              <w:tc>
                <w:tcPr>
                  <w:tcW w:w="7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3C14" w:rsidRDefault="007E40DA">
                  <w:pPr>
                    <w:pBdr>
                      <w:top w:val="none" w:sz="0" w:space="5" w:color="auto"/>
                      <w:bottom w:val="none" w:sz="0" w:space="5" w:color="auto"/>
                      <w:between w:val="none" w:sz="0" w:space="5" w:color="auto"/>
                    </w:pBd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9A4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DOI дослідницьких (наукових) </w:t>
                  </w:r>
                  <w:r w:rsidRPr="009A4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FAIR-</w:t>
                  </w:r>
                  <w:r w:rsidRPr="009A4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даних (за наявності):</w:t>
                  </w:r>
                </w:p>
              </w:tc>
            </w:tr>
          </w:tbl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додатку 4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Абзац 9 розділу ІІІ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виконавець: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 виконавець є фізичною особою або фізичною особою підприємцем, то зазначається “не застосовується”.</w:t>
            </w:r>
          </w:p>
          <w:p w:rsidR="00C83C14" w:rsidRDefault="00C83C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Абзац 9 розділу 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співвиконавець: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 співвиконавець є фізичною особою або фізичною особою підприємцем, то зазначається “не застосовується”.</w:t>
            </w:r>
          </w:p>
          <w:p w:rsidR="00C83C14" w:rsidRDefault="00C83C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750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 абзаці четвертому розділу VIІ</w:t>
            </w:r>
          </w:p>
          <w:p w:rsidR="00C83C14" w:rsidRDefault="001655FF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«Реферат (українською мовою)» - у стислій формі, не повторюючи назви </w:t>
            </w:r>
            <w:proofErr w:type="spellStart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викладається основний зміст результатів </w:t>
            </w:r>
            <w:proofErr w:type="spellStart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 до вимог ДСТУ 3008:2015:</w:t>
            </w:r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відомості про обсяг звіту, кількість </w:t>
            </w:r>
            <w:r w:rsidRPr="009A4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 звіту</w:t>
            </w:r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, рисунків, таблиць, додатків тощо; перелік ключових слів, об'єкт дослідження (</w:t>
            </w:r>
            <w:proofErr w:type="spellStart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), мета дослідження, опис методології / методики дослідження, спеціальні інструменти та апаратура, програмне забезпечення, яке використовувалось під час опрацювання отриманих даних або для проведення дослідження, теоретичні і практичні результати, новизна, ефективність впровадження, галузь використання тощо. Цей перелік не є вичерпним. Якщо деякі із зазначених вище відомостей відсутні, усі інші відомості подають, зберігаючи послідовність викладення інформації. Обсяг реферату не має перевищувати однієї сторінки формату А4.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83C14" w:rsidRDefault="001655FF" w:rsidP="005B329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«Реферат (українською мовою)» - у стислій формі, не повторюючи назви </w:t>
            </w:r>
            <w:proofErr w:type="spellStart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викладається основний </w:t>
            </w:r>
            <w:r w:rsidR="005B3292"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 результатів </w:t>
            </w:r>
            <w:proofErr w:type="spellStart"/>
            <w:r w:rsidR="005B3292"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ДіР</w:t>
            </w:r>
            <w:proofErr w:type="spellEnd"/>
            <w:r w:rsidR="005B3292"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відповідно до </w:t>
            </w:r>
            <w:r w:rsidR="005B3292" w:rsidRP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обраної форми</w:t>
            </w:r>
            <w:r w:rsidRP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 якою підготовлено звіт (за примірною формою згідно з додатком 7 до цього Порядку, або відповідно до ДСТУ 3008:2</w:t>
            </w:r>
            <w:r w:rsidR="005B3292" w:rsidRP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015), </w:t>
            </w:r>
            <w:r w:rsidR="005667B9"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обсяг звіту</w:t>
            </w:r>
            <w:r w:rsidR="005667B9" w:rsidRP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його структуру, кількість </w:t>
            </w:r>
            <w:r w:rsidR="005667B9"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рисунків, таблиць, додатків</w:t>
            </w:r>
            <w:r w:rsidR="005667B9" w:rsidRPr="009A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ключових слів, об'єкт дослідження (</w:t>
            </w:r>
            <w:proofErr w:type="spellStart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9A40D7">
              <w:rPr>
                <w:rFonts w:ascii="Times New Roman" w:eastAsia="Times New Roman" w:hAnsi="Times New Roman" w:cs="Times New Roman"/>
                <w:sz w:val="24"/>
                <w:szCs w:val="24"/>
              </w:rPr>
              <w:t>), мета дослідження, опис методології / методики дослідження, спеціальні інструменти та апаратура, програмне забезпечення, яке використовувалось під час опрацювання отриманих даних або для проведення дослідження, теоретичні і практичні результати, новизна, ефективність впровадження, галузь використання тощо. Цей перелік не є вичерпним. Якщо деякі із зазначених вище відомостей відсутні, усі інші відомості подають, зберігаючи послідовність викладення інформації. Обсяг реферату не має перевищувати однієї сторінки формату А4.</w:t>
            </w:r>
          </w:p>
        </w:tc>
      </w:tr>
      <w:tr w:rsidR="00C83C14">
        <w:trPr>
          <w:trHeight w:val="1726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  розділі VIII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полі «Отримані результати» - зазначаються усі види отриманої в результаті виконання етапу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(науково-технічної) продукції: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 рослин;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породи тварин;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методи, теорії, гіпотези;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нормативних документів;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нормативно-технічних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документів;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документи;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програмні продукти, програмно-технологічна документація;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матеріали;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 (вказати).</w:t>
            </w:r>
          </w:p>
        </w:tc>
        <w:tc>
          <w:tcPr>
            <w:tcW w:w="7500" w:type="dxa"/>
          </w:tcPr>
          <w:p w:rsidR="00C83C14" w:rsidRDefault="00C8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полі «Отримані результати» - зазначаються усі види отриманої в результаті виконання етапу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(науково-технічної) продукції: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 рослин;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породи тварин;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методи, теорії, гіпотези;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нормативних документів;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документів;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документи;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програмні продукти, програмно-технологічна документація;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матеріали;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інше (вказати).</w:t>
            </w:r>
          </w:p>
        </w:tc>
      </w:tr>
      <w:tr w:rsidR="00C83C14" w:rsidTr="00417DD4">
        <w:trPr>
          <w:trHeight w:val="1300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VІІІ</w:t>
            </w:r>
          </w:p>
          <w:p w:rsidR="00C83C14" w:rsidRDefault="0016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Положення відсутнє </w:t>
            </w:r>
          </w:p>
        </w:tc>
        <w:tc>
          <w:tcPr>
            <w:tcW w:w="7500" w:type="dxa"/>
          </w:tcPr>
          <w:p w:rsidR="00C83C14" w:rsidRPr="00417DD4" w:rsidRDefault="00BD41B6" w:rsidP="00417DD4">
            <w:pPr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полі «</w:t>
            </w:r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Реквізити документів про впровадження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 наявності)»</w:t>
            </w:r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- протягом трьох років з дня завершення </w:t>
            </w:r>
            <w:proofErr w:type="spellStart"/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ДіР</w:t>
            </w:r>
            <w:proofErr w:type="spellEnd"/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зазначаються вид, дата та номер документа, який підтверджує впровадження результатів </w:t>
            </w:r>
            <w:proofErr w:type="spellStart"/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ДіР</w:t>
            </w:r>
            <w:proofErr w:type="spellEnd"/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C83C14">
        <w:trPr>
          <w:trHeight w:val="1726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VІІІ</w:t>
            </w: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</w:tcPr>
          <w:p w:rsidR="00417DD4" w:rsidRPr="0023714E" w:rsidRDefault="00BD41B6" w:rsidP="004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У полі </w:t>
            </w:r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17DD4"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DOI дослідницьких (наукових) FAIR-даних (за наявності)” – зазначається цифровий ідентифікатор об’єкта (DOI), за яким розміщені FAIR-дані, зібрані та/або одержані в результаті виконання </w:t>
            </w:r>
            <w:proofErr w:type="spellStart"/>
            <w:r w:rsidR="00417DD4"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ДіР</w:t>
            </w:r>
            <w:proofErr w:type="spellEnd"/>
            <w:r w:rsidR="00417DD4"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які, зокрема, використовуються для підтвердження отриманих наукових результатів</w:t>
            </w:r>
          </w:p>
          <w:p w:rsidR="00C83C14" w:rsidRDefault="00417DD4" w:rsidP="00417DD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ind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FAIR-дані – дані, які відповідають принципам </w:t>
            </w:r>
            <w:proofErr w:type="spellStart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відшукуваності</w:t>
            </w:r>
            <w:proofErr w:type="spellEnd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findable</w:t>
            </w:r>
            <w:proofErr w:type="spellEnd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доступності (</w:t>
            </w:r>
            <w:proofErr w:type="spellStart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accesible</w:t>
            </w:r>
            <w:proofErr w:type="spellEnd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сумісності (</w:t>
            </w:r>
            <w:proofErr w:type="spellStart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interoperable</w:t>
            </w:r>
            <w:proofErr w:type="spellEnd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та повторного використання (</w:t>
            </w:r>
            <w:proofErr w:type="spellStart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reusable</w:t>
            </w:r>
            <w:proofErr w:type="spellEnd"/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 розділі ІХ</w:t>
            </w:r>
          </w:p>
          <w:p w:rsidR="00C83C14" w:rsidRDefault="001655FF">
            <w:pPr>
              <w:shd w:val="clear" w:color="auto" w:fill="FFFFFF"/>
              <w:ind w:firstLine="4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полі «Бібліографічний опис (статей, монографій, нормативних документів тощо)» - якщо 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опубліковані, депоновані, захищені патентом або їх результатом є тиражований нормативно-технічний 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-методичний документ, то в цьому полі зазначається бібліографічний опис відповідних документів (публікацій). Бібліографічний опис названих джерел інформації повинен відповідати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вимогам законодавства України зі стандартизації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ДСТУ 3008:2015 та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подається окремими записами по кожному джерелу інформації та з указівкою через подвійну скісну риску «//» після назви видання категорії наукового фахового видання (А, Б).</w:t>
            </w: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C83C14" w:rsidRDefault="001655FF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полі «Бібліографічний опис (статей, монографій, нормативних документів тощо)» - якщо 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опубліковані, депоновані, захищені патентом або їх результатом є тиражований нормативно-технічний 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-методичний документ, то в цьому полі зазначається бібліографічний опис відповідних документів (публікацій). Бібліографічний опис названих джерел інформації повинен відповідати ДСТУ 3008:2015 та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IDT)» і подається окремими записами по кожному джерелу інформації та з указівкою через подвійну скісну риску «//» після назви видання категорії наукового фахового видання (А, Б).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 абзаці другому розділу Х</w:t>
            </w: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полі «Перелік осіб-виконавців» - зазначаються в алфавітному порядку власне ім'я і прізвище, науковий ступінь, вчене звання, унікальний 16-значний номер відкритого ідентифікатора дослідника ORCID ID (за наявності) усіх працівників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виконавця та співвиконавців (за наявності), зазначених у розділі IV цього додатка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задіяних у виконанні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які саме матеріали звіту були ними підготовлені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згідно ДСТУ 3008:2015.</w:t>
            </w:r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7500" w:type="dxa"/>
          </w:tcPr>
          <w:p w:rsidR="00C83C14" w:rsidRDefault="00C83C14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C83C14" w:rsidRDefault="0016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6"/>
              <w:jc w:val="both"/>
              <w:rPr>
                <w:color w:val="000000"/>
                <w:sz w:val="24"/>
                <w:szCs w:val="24"/>
                <w:highlight w:val="white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полі </w:t>
            </w:r>
            <w:r w:rsidR="00BD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«Перелік осіб-виконавців»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зазначаються в алфавітному порядку власне ім'я і прізвище, науковий ступінь, вчене звання, унікальний 16-значний номер відкритого ідентифікатора дослідника ORCID ID (за наявності) усіх працівників 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виконавця та співвиконавців (за наявності), зазначених у розділі IV цього додатка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задіяних у виконанні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які саме матеріали звіту були ними підготовлені.</w:t>
            </w:r>
          </w:p>
        </w:tc>
      </w:tr>
      <w:tr w:rsidR="00C83C14">
        <w:trPr>
          <w:trHeight w:val="405"/>
        </w:trPr>
        <w:tc>
          <w:tcPr>
            <w:tcW w:w="14790" w:type="dxa"/>
            <w:gridSpan w:val="2"/>
          </w:tcPr>
          <w:p w:rsidR="00C83C14" w:rsidRDefault="00165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додатку 5: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ІІ</w:t>
            </w:r>
          </w:p>
          <w:tbl>
            <w:tblPr>
              <w:tblStyle w:val="aff1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6"/>
                    <w:id w:val="-15701203"/>
                    <w:lock w:val="contentLocked"/>
                  </w:sdtPr>
                  <w:sdtEndPr/>
                  <w:sdtContent>
                    <w:p w:rsidR="00C83C14" w:rsidRDefault="001655FF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</w:t>
            </w:r>
          </w:p>
          <w:p w:rsidR="00C83C14" w:rsidRDefault="0016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відсутній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f2"/>
              <w:tblW w:w="7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00"/>
            </w:tblGrid>
            <w:tr w:rsidR="00C83C14">
              <w:tc>
                <w:tcPr>
                  <w:tcW w:w="7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7"/>
                    <w:id w:val="-98183682"/>
                    <w:lock w:val="contentLocked"/>
                  </w:sdtPr>
                  <w:sdtEndPr/>
                  <w:sdtContent>
                    <w:p w:rsidR="00C83C14" w:rsidRDefault="001655FF">
                      <w:pPr>
                        <w:pBdr>
                          <w:top w:val="none" w:sz="0" w:space="5" w:color="auto"/>
                          <w:bottom w:val="none" w:sz="0" w:space="5" w:color="auto"/>
                          <w:between w:val="none" w:sz="0" w:space="5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Реквізити документів про впровадження результатів дисертації (за наявності):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C83C14">
        <w:trPr>
          <w:trHeight w:val="1547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</w:t>
            </w:r>
          </w:p>
          <w:p w:rsidR="00C83C14" w:rsidRDefault="0016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відсутній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0"/>
            </w:tblGrid>
            <w:tr w:rsidR="00417DD4" w:rsidTr="00417DD4">
              <w:tc>
                <w:tcPr>
                  <w:tcW w:w="7290" w:type="dxa"/>
                </w:tcPr>
                <w:p w:rsidR="00417DD4" w:rsidRDefault="00417DD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71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DOI дослідницьких (наукових) FAIR-даних (за наявності)</w:t>
                  </w:r>
                  <w:r w:rsidR="002371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C83C14" w:rsidRDefault="00C83C1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VІ</w:t>
            </w:r>
          </w:p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ff4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rPr>
                <w:trHeight w:val="470"/>
              </w:trPr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9"/>
                    <w:id w:val="1022741741"/>
                    <w:lock w:val="contentLocked"/>
                  </w:sdtPr>
                  <w:sdtEndPr/>
                  <w:sdtContent>
                    <w:p w:rsidR="00C83C14" w:rsidRDefault="001655F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Сектор науки: 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VІІ</w:t>
            </w:r>
          </w:p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ff5"/>
              <w:tblW w:w="7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90"/>
            </w:tblGrid>
            <w:tr w:rsidR="00C83C14">
              <w:tc>
                <w:tcPr>
                  <w:tcW w:w="7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sdt>
                  <w:sdtPr>
                    <w:tag w:val="goog_rdk_10"/>
                    <w:id w:val="421302536"/>
                    <w:lock w:val="contentLocked"/>
                  </w:sdtPr>
                  <w:sdtEndPr/>
                  <w:sdtContent>
                    <w:p w:rsidR="00C83C14" w:rsidRDefault="001655F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Сектор науки:</w:t>
                      </w:r>
                    </w:p>
                  </w:sdtContent>
                </w:sdt>
              </w:tc>
            </w:tr>
          </w:tbl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40"/>
        </w:trPr>
        <w:tc>
          <w:tcPr>
            <w:tcW w:w="14790" w:type="dxa"/>
            <w:gridSpan w:val="2"/>
          </w:tcPr>
          <w:p w:rsidR="00C83C14" w:rsidRDefault="00165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додатку 6:</w:t>
            </w:r>
          </w:p>
        </w:tc>
      </w:tr>
      <w:tr w:rsidR="00C83C14">
        <w:trPr>
          <w:trHeight w:val="440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ІІ:</w:t>
            </w:r>
          </w:p>
          <w:p w:rsidR="00C83C14" w:rsidRDefault="00C83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C14" w:rsidRDefault="001655F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підприємство, установа, організація, в якій працює здобувач:</w:t>
            </w:r>
          </w:p>
          <w:p w:rsidR="00C83C14" w:rsidRDefault="001655F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 w:rsidP="00417DD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40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абзаці 8 розділу V:</w:t>
            </w:r>
          </w:p>
          <w:p w:rsidR="00C83C14" w:rsidRDefault="001655FF" w:rsidP="00237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«Пріоритетний напрям розвитку науки і техніки» - зазначається назва пріоритетного напряму відповідно до 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3 Закону України «Про пріоритетні напрями розвитку науки і техніки»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якого належить дисертаці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я: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 та комунікаційні технології;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енергетика та енергоефективність;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раціональне природокористування;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науки про життя, нові технології профілактики та лікування найпоширеніших захворювань;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нові речовини і матеріали.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BF6" w:rsidRDefault="00237BF6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полі «Пріоритетний напрям розвитку науки і техніки» - зазначається назва пріоритетного напряму відповідно до </w:t>
            </w:r>
            <w:hyperlink r:id="rId2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3 Закону України «Про пріоритетні напрями розвитку науки і техніки»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якого належить дисертація.</w:t>
            </w:r>
          </w:p>
          <w:p w:rsidR="00C83C14" w:rsidRDefault="00C83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40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абзаці 9 розділу V: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полі «Стратегічний пріоритетний напрям інноваційної діяльності» - зазначається назва стратегічного пріоритетного напряму відповідно до 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4 Закону України «Про пріоритетні напрями інноваційної діяльності в Україні»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якого належить дисертація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освоєння нових технологій транспортування енергії, впровадження енергоефективних, ресурсозберігаючих технологій, освоєння альтернативних джерел енергії;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освоєння нових технологій високотехнологічного розвитку транспортної системи, ракетно-космічної галузі, авіа- і суднобудування, озброєння та військової техніки;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освоєння нових технологій виробництва матеріалів, їх оброблення і з'єднання, створення індустрії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нанотехнологій;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технологічне оновлення та розвиток агропромислового комплексу;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впровадження нових технологій та обладнання для якісного медичного обслуговування, лікування, фармацевтики;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широке застосування технологій більш чистого виробництва та охорони навколишнього природного середовища;</w:t>
            </w:r>
          </w:p>
          <w:p w:rsidR="00C83C14" w:rsidRDefault="001655FF" w:rsidP="00237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розвиток сучасних інформаційних, комунікаційних технологій, робототехніки.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BF6" w:rsidRDefault="00237BF6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полі «Стратегічний пріоритетний напрям інноваційної діяльності» - зазначається назва стратегічного пріоритетного напряму відповідно до 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 4 Закону України «Про пріоритетні напрями інноваційної діяльності в Україні»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якого належить дисертація.</w:t>
            </w:r>
          </w:p>
          <w:p w:rsidR="00C83C14" w:rsidRDefault="00C83C14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C14" w:rsidRDefault="001655FF">
            <w:pPr>
              <w:shd w:val="clear" w:color="auto" w:fill="FFFFFF"/>
              <w:ind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</w:t>
            </w:r>
          </w:p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237B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полі «</w:t>
            </w:r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Реквізити документів про впровадження резуль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татів дисертації (за наявності)»</w:t>
            </w:r>
            <w:r w:rsidR="001655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- протягом трьох років з дня захисту дисертації зазначаються (за наявності) вид, дата та номер документа, який підтверджує впровадження результатів дисертації.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</w:t>
            </w:r>
          </w:p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Положення відсутнє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D4" w:rsidRPr="00417DD4" w:rsidRDefault="00237BF6" w:rsidP="004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полі «</w:t>
            </w:r>
            <w:r w:rsidR="00417DD4" w:rsidRPr="0023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DOI дослідницьких (наукових) FAIR-даних (за наявності)” </w:t>
            </w:r>
            <w:r w:rsidR="00417DD4"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– зазначається цифровий ідентифікатор об’єкта (DOI), за яким розміщені </w:t>
            </w:r>
            <w:r w:rsidR="00417DD4"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FAIR-</w:t>
            </w:r>
            <w:r w:rsidR="00417DD4"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дані, зібрані та/або одержані в</w:t>
            </w:r>
            <w:r w:rsidR="00417D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результаті виконання дисертації</w:t>
            </w:r>
            <w:r w:rsidR="00417DD4"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, які, зокрема, використовуються для підтвердження отриманих наукових результатів</w:t>
            </w:r>
          </w:p>
          <w:p w:rsidR="00C83C14" w:rsidRDefault="00417DD4" w:rsidP="00417DD4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FAIR-дані – дані, які відповідають принципам </w:t>
            </w:r>
            <w:proofErr w:type="spellStart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відшукуваності</w:t>
            </w:r>
            <w:proofErr w:type="spellEnd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findable</w:t>
            </w:r>
            <w:proofErr w:type="spellEnd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доступності (</w:t>
            </w:r>
            <w:proofErr w:type="spellStart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accesible</w:t>
            </w:r>
            <w:proofErr w:type="spellEnd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сумісності (</w:t>
            </w:r>
            <w:proofErr w:type="spellStart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interoperable</w:t>
            </w:r>
            <w:proofErr w:type="spellEnd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та повторного використання (</w:t>
            </w:r>
            <w:proofErr w:type="spellStart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reusable</w:t>
            </w:r>
            <w:proofErr w:type="spellEnd"/>
            <w:r w:rsidRPr="004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VІ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підприємство, установа, організація, де працює науковий керівник/керівники (консультант за наявності): академічний;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Виключити</w:t>
            </w:r>
          </w:p>
        </w:tc>
      </w:tr>
      <w:tr w:rsidR="00C83C14">
        <w:trPr>
          <w:trHeight w:val="405"/>
        </w:trPr>
        <w:tc>
          <w:tcPr>
            <w:tcW w:w="7290" w:type="dxa"/>
          </w:tcPr>
          <w:p w:rsidR="00C83C14" w:rsidRDefault="001655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розділі VІІ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полі “Сектор науки” - зазначається сектор науки, до якого належить підприємство, установа, організація, де працює офіційний опонент: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академічний;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галузевий;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університетський;</w:t>
            </w:r>
          </w:p>
          <w:p w:rsidR="00C83C14" w:rsidRDefault="00165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заводський.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14" w:rsidRDefault="001655FF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Виключити</w:t>
            </w:r>
          </w:p>
        </w:tc>
      </w:tr>
      <w:tr w:rsidR="00237BF6">
        <w:trPr>
          <w:trHeight w:val="405"/>
        </w:trPr>
        <w:tc>
          <w:tcPr>
            <w:tcW w:w="7290" w:type="dxa"/>
          </w:tcPr>
          <w:p w:rsidR="00237BF6" w:rsidRDefault="00237B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Додаток відсутній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BF6" w:rsidRDefault="00237BF6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37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Додаток 7 </w:t>
            </w:r>
          </w:p>
          <w:p w:rsidR="00237BF6" w:rsidRPr="00237BF6" w:rsidRDefault="00237BF6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…….</w:t>
            </w:r>
          </w:p>
        </w:tc>
      </w:tr>
    </w:tbl>
    <w:p w:rsidR="00C83C14" w:rsidRDefault="00C83C14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6"/>
        <w:tblW w:w="151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97"/>
        <w:gridCol w:w="7371"/>
      </w:tblGrid>
      <w:tr w:rsidR="00C83C14">
        <w:tc>
          <w:tcPr>
            <w:tcW w:w="7797" w:type="dxa"/>
          </w:tcPr>
          <w:p w:rsidR="00C83C14" w:rsidRDefault="001655FF">
            <w:pPr>
              <w:spacing w:after="0" w:line="240" w:lineRule="auto"/>
              <w:ind w:left="321" w:right="-772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Міністр</w:t>
            </w:r>
          </w:p>
          <w:p w:rsidR="00C83C14" w:rsidRDefault="00C83C14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83C14" w:rsidRDefault="0016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Оксен ЛІСОВИЙ</w:t>
            </w:r>
          </w:p>
          <w:p w:rsidR="00C83C14" w:rsidRDefault="00C83C14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C14">
        <w:trPr>
          <w:trHeight w:val="699"/>
        </w:trPr>
        <w:tc>
          <w:tcPr>
            <w:tcW w:w="7797" w:type="dxa"/>
          </w:tcPr>
          <w:p w:rsidR="00C83C14" w:rsidRDefault="001655FF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2024 року</w:t>
            </w:r>
          </w:p>
          <w:p w:rsidR="00C83C14" w:rsidRDefault="00C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C14" w:rsidRDefault="00C83C14" w:rsidP="0023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C14" w:rsidRDefault="00C83C14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3C14" w:rsidRDefault="00C83C14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3C14" w:rsidRDefault="00C83C1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14" w:rsidRDefault="00C83C14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10"/>
          <w:szCs w:val="10"/>
        </w:rPr>
      </w:pPr>
    </w:p>
    <w:sectPr w:rsidR="00C83C14">
      <w:headerReference w:type="default" r:id="rId27"/>
      <w:pgSz w:w="16838" w:h="11906" w:orient="landscape"/>
      <w:pgMar w:top="568" w:right="850" w:bottom="1134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9C" w:rsidRDefault="001655FF">
      <w:pPr>
        <w:spacing w:after="0" w:line="240" w:lineRule="auto"/>
      </w:pPr>
      <w:r>
        <w:separator/>
      </w:r>
    </w:p>
  </w:endnote>
  <w:endnote w:type="continuationSeparator" w:id="0">
    <w:p w:rsidR="00B53D9C" w:rsidRDefault="0016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9C" w:rsidRDefault="001655FF">
      <w:pPr>
        <w:spacing w:after="0" w:line="240" w:lineRule="auto"/>
      </w:pPr>
      <w:r>
        <w:separator/>
      </w:r>
    </w:p>
  </w:footnote>
  <w:footnote w:type="continuationSeparator" w:id="0">
    <w:p w:rsidR="00B53D9C" w:rsidRDefault="0016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14" w:rsidRDefault="001655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7225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C83C14" w:rsidRDefault="00C83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3BCA"/>
    <w:multiLevelType w:val="multilevel"/>
    <w:tmpl w:val="EB304F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C012BB9"/>
    <w:multiLevelType w:val="multilevel"/>
    <w:tmpl w:val="3BAEE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14"/>
    <w:rsid w:val="00072251"/>
    <w:rsid w:val="00097970"/>
    <w:rsid w:val="001655FF"/>
    <w:rsid w:val="001E2E2A"/>
    <w:rsid w:val="0023714E"/>
    <w:rsid w:val="00237BF6"/>
    <w:rsid w:val="002C0F07"/>
    <w:rsid w:val="002D6EED"/>
    <w:rsid w:val="003526A0"/>
    <w:rsid w:val="00417DD4"/>
    <w:rsid w:val="00561B69"/>
    <w:rsid w:val="005667B9"/>
    <w:rsid w:val="005B3292"/>
    <w:rsid w:val="005E6775"/>
    <w:rsid w:val="005F5948"/>
    <w:rsid w:val="00615284"/>
    <w:rsid w:val="00634BD0"/>
    <w:rsid w:val="00691D29"/>
    <w:rsid w:val="0071368F"/>
    <w:rsid w:val="007E40DA"/>
    <w:rsid w:val="009A40D7"/>
    <w:rsid w:val="009A615A"/>
    <w:rsid w:val="00A1508D"/>
    <w:rsid w:val="00B53D9C"/>
    <w:rsid w:val="00BD41B6"/>
    <w:rsid w:val="00C83C14"/>
    <w:rsid w:val="00C92771"/>
    <w:rsid w:val="00CF531C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975"/>
  <w15:docId w15:val="{46BE4016-33CC-400D-AF5C-F7084AE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annotation text"/>
    <w:basedOn w:val="a"/>
    <w:link w:val="a9"/>
    <w:semiHidden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rPr>
      <w:b/>
      <w:bCs/>
    </w:rPr>
  </w:style>
  <w:style w:type="paragraph" w:styleId="ac">
    <w:name w:val="Balloon Text"/>
    <w:basedOn w:val="a"/>
    <w:link w:val="ad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footnote text"/>
    <w:link w:val="af0"/>
    <w:semiHidden/>
    <w:pPr>
      <w:spacing w:after="0" w:line="240" w:lineRule="auto"/>
    </w:pPr>
    <w:rPr>
      <w:sz w:val="20"/>
      <w:szCs w:val="20"/>
    </w:rPr>
  </w:style>
  <w:style w:type="paragraph" w:styleId="af1">
    <w:name w:val="endnote text"/>
    <w:link w:val="af2"/>
    <w:semiHidden/>
    <w:pPr>
      <w:spacing w:after="0" w:line="240" w:lineRule="auto"/>
    </w:pPr>
    <w:rPr>
      <w:sz w:val="20"/>
      <w:szCs w:val="20"/>
    </w:rPr>
  </w:style>
  <w:style w:type="character" w:styleId="af3">
    <w:name w:val="line number"/>
    <w:basedOn w:val="a0"/>
    <w:semiHidden/>
  </w:style>
  <w:style w:type="character" w:styleId="af4">
    <w:name w:val="Hyperlink"/>
    <w:basedOn w:val="a0"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15">
    <w:name w:val="rvts15"/>
    <w:basedOn w:val="a0"/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styleId="af5">
    <w:name w:val="annotation reference"/>
    <w:basedOn w:val="a0"/>
    <w:semiHidden/>
    <w:rPr>
      <w:sz w:val="16"/>
      <w:szCs w:val="16"/>
    </w:rPr>
  </w:style>
  <w:style w:type="character" w:customStyle="1" w:styleId="a9">
    <w:name w:val="Текст примітки Знак"/>
    <w:basedOn w:val="a0"/>
    <w:link w:val="a8"/>
    <w:semiHidden/>
    <w:rPr>
      <w:sz w:val="20"/>
      <w:szCs w:val="20"/>
    </w:rPr>
  </w:style>
  <w:style w:type="character" w:customStyle="1" w:styleId="ab">
    <w:name w:val="Тема примітки Знак"/>
    <w:basedOn w:val="a9"/>
    <w:link w:val="aa"/>
    <w:semiHidden/>
    <w:rPr>
      <w:b/>
      <w:bCs/>
      <w:sz w:val="20"/>
      <w:szCs w:val="20"/>
    </w:rPr>
  </w:style>
  <w:style w:type="character" w:customStyle="1" w:styleId="ad">
    <w:name w:val="Текст у виносці Знак"/>
    <w:basedOn w:val="a0"/>
    <w:link w:val="ac"/>
    <w:semiHidden/>
    <w:rPr>
      <w:rFonts w:ascii="Segoe UI" w:hAnsi="Segoe UI"/>
      <w:sz w:val="18"/>
      <w:szCs w:val="18"/>
    </w:rPr>
  </w:style>
  <w:style w:type="character" w:customStyle="1" w:styleId="HTML0">
    <w:name w:val="Стандартний HTML Знак"/>
    <w:basedOn w:val="a0"/>
    <w:link w:val="HTML"/>
    <w:rPr>
      <w:rFonts w:ascii="Courier New" w:hAnsi="Courier New"/>
      <w:sz w:val="20"/>
      <w:szCs w:val="20"/>
      <w:lang w:eastAsia="uk-UA"/>
    </w:rPr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character" w:styleId="af6">
    <w:name w:val="footnote reference"/>
    <w:semiHidden/>
    <w:rPr>
      <w:vertAlign w:val="superscript"/>
    </w:rPr>
  </w:style>
  <w:style w:type="character" w:customStyle="1" w:styleId="af0">
    <w:name w:val="Текст виноски Знак"/>
    <w:link w:val="af"/>
    <w:semiHidden/>
    <w:rPr>
      <w:sz w:val="20"/>
      <w:szCs w:val="20"/>
    </w:rPr>
  </w:style>
  <w:style w:type="character" w:styleId="af7">
    <w:name w:val="endnote reference"/>
    <w:semiHidden/>
    <w:rPr>
      <w:vertAlign w:val="superscript"/>
    </w:rPr>
  </w:style>
  <w:style w:type="character" w:customStyle="1" w:styleId="af2">
    <w:name w:val="Текст кінцевої виноски Знак"/>
    <w:link w:val="af1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E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ard-blue-color">
    <w:name w:val="hard-blue-color"/>
    <w:basedOn w:val="a0"/>
    <w:rsid w:val="005E0ACA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27946?ed=2019_04_01" TargetMode="External"/><Relationship Id="rId13" Type="http://schemas.openxmlformats.org/officeDocument/2006/relationships/hyperlink" Target="https://ips.ligazakon.net/document/view/re40360?ed=2023_06_27&amp;an=137" TargetMode="External"/><Relationship Id="rId18" Type="http://schemas.openxmlformats.org/officeDocument/2006/relationships/hyperlink" Target="https://ips.ligazakon.net/document/view/t012623?ed=2022_02_01&amp;an=477523" TargetMode="External"/><Relationship Id="rId26" Type="http://schemas.openxmlformats.org/officeDocument/2006/relationships/hyperlink" Target="https://ips.ligazakon.net/document/view/t113715?ed=2022_02_01&amp;an=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ps.ligazakon.net/document/view/re40360?ed=2023_06_27&amp;an=1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re40360?ed=2023_06_27&amp;an=137" TargetMode="External"/><Relationship Id="rId17" Type="http://schemas.openxmlformats.org/officeDocument/2006/relationships/hyperlink" Target="https://ips.ligazakon.net/document/view/t012623?ed=2022_02_01&amp;an=477523" TargetMode="External"/><Relationship Id="rId25" Type="http://schemas.openxmlformats.org/officeDocument/2006/relationships/hyperlink" Target="https://ips.ligazakon.net/document/view/t113715?ed=2022_02_01&amp;an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s.ligazakon.net/document/view/re40360?ed=2023_06_27&amp;an=137" TargetMode="External"/><Relationship Id="rId20" Type="http://schemas.openxmlformats.org/officeDocument/2006/relationships/hyperlink" Target="https://ips.ligazakon.net/document/view/t113715?ed=2022_02_01&amp;an=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re40360?ed=2023_06_27&amp;an=83" TargetMode="External"/><Relationship Id="rId24" Type="http://schemas.openxmlformats.org/officeDocument/2006/relationships/hyperlink" Target="https://ips.ligazakon.net/document/view/t012623?ed=2022_02_01&amp;an=477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re40360?ed=2023_06_27&amp;an=137" TargetMode="External"/><Relationship Id="rId23" Type="http://schemas.openxmlformats.org/officeDocument/2006/relationships/hyperlink" Target="https://ips.ligazakon.net/document/view/t012623?ed=2022_02_01&amp;an=4775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ps.ligazakon.net/document/view/re40360?ed=2023_06_27&amp;an=83" TargetMode="External"/><Relationship Id="rId19" Type="http://schemas.openxmlformats.org/officeDocument/2006/relationships/hyperlink" Target="https://ips.ligazakon.net/document/view/t113715?ed=2022_02_01&amp;an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re27946?ed=2019_04_01" TargetMode="External"/><Relationship Id="rId14" Type="http://schemas.openxmlformats.org/officeDocument/2006/relationships/hyperlink" Target="https://ips.ligazakon.net/document/view/re40360?ed=2023_06_27&amp;an=137" TargetMode="External"/><Relationship Id="rId22" Type="http://schemas.openxmlformats.org/officeDocument/2006/relationships/hyperlink" Target="https://ips.ligazakon.net/document/view/re40360?ed=2023_06_27&amp;an=17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q05/CSQl6xJjpZpl3d6pL7N43w==">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21131</Words>
  <Characters>12046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Dvigun O.V.</dc:creator>
  <cp:lastModifiedBy>Dvigun O.V.</cp:lastModifiedBy>
  <cp:revision>21</cp:revision>
  <dcterms:created xsi:type="dcterms:W3CDTF">2024-06-21T10:24:00Z</dcterms:created>
  <dcterms:modified xsi:type="dcterms:W3CDTF">2024-07-02T12:37:00Z</dcterms:modified>
</cp:coreProperties>
</file>