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F21456" w14:textId="6F23E068" w:rsidR="003C1E23" w:rsidRPr="00EE5403" w:rsidRDefault="001655CE" w:rsidP="003C1E23">
      <w:pPr>
        <w:pStyle w:val="paragraph"/>
        <w:spacing w:before="0" w:beforeAutospacing="0" w:after="0" w:afterAutospacing="0"/>
        <w:jc w:val="center"/>
        <w:textAlignment w:val="baseline"/>
        <w:rPr>
          <w:rFonts w:ascii="Segoe UI" w:hAnsi="Segoe UI" w:cs="Segoe UI"/>
          <w:sz w:val="18"/>
          <w:szCs w:val="18"/>
          <w:lang w:val="ru-RU"/>
        </w:rPr>
      </w:pPr>
      <w:r>
        <w:rPr>
          <w:rStyle w:val="normaltextrun"/>
          <w:rFonts w:ascii="Calibri" w:hAnsi="Calibri" w:cs="Calibri"/>
          <w:b/>
          <w:bCs/>
          <w:sz w:val="40"/>
          <w:szCs w:val="40"/>
          <w:lang w:val="uk-UA"/>
        </w:rPr>
        <w:t>УКРАЇНА</w:t>
      </w:r>
      <w:r w:rsidR="003C1E23">
        <w:rPr>
          <w:rStyle w:val="eop"/>
          <w:rFonts w:ascii="Calibri" w:hAnsi="Calibri" w:cs="Calibri"/>
          <w:sz w:val="40"/>
          <w:szCs w:val="40"/>
        </w:rPr>
        <w:t> </w:t>
      </w:r>
    </w:p>
    <w:p w14:paraId="7502F829" w14:textId="77777777" w:rsidR="003C1E23" w:rsidRPr="00EE5403" w:rsidRDefault="003C1E23" w:rsidP="003C1E23">
      <w:pPr>
        <w:pStyle w:val="paragraph"/>
        <w:spacing w:before="0" w:beforeAutospacing="0" w:after="0" w:afterAutospacing="0"/>
        <w:jc w:val="center"/>
        <w:textAlignment w:val="baseline"/>
        <w:rPr>
          <w:rFonts w:ascii="Segoe UI" w:hAnsi="Segoe UI" w:cs="Segoe UI"/>
          <w:sz w:val="18"/>
          <w:szCs w:val="18"/>
          <w:lang w:val="ru-RU"/>
        </w:rPr>
      </w:pPr>
      <w:r>
        <w:rPr>
          <w:rStyle w:val="eop"/>
          <w:rFonts w:ascii="Calibri" w:hAnsi="Calibri" w:cs="Calibri"/>
          <w:sz w:val="40"/>
          <w:szCs w:val="40"/>
        </w:rPr>
        <w:t> </w:t>
      </w:r>
    </w:p>
    <w:p w14:paraId="0DF743B2" w14:textId="08698B1D" w:rsidR="003C1E23" w:rsidRPr="00EE5403" w:rsidRDefault="001655CE" w:rsidP="003C1E23">
      <w:pPr>
        <w:pStyle w:val="paragraph"/>
        <w:spacing w:before="0" w:beforeAutospacing="0" w:after="0" w:afterAutospacing="0"/>
        <w:jc w:val="center"/>
        <w:textAlignment w:val="baseline"/>
        <w:rPr>
          <w:rFonts w:ascii="Segoe UI" w:hAnsi="Segoe UI" w:cs="Segoe UI"/>
          <w:sz w:val="18"/>
          <w:szCs w:val="18"/>
          <w:lang w:val="ru-RU"/>
        </w:rPr>
      </w:pPr>
      <w:r>
        <w:rPr>
          <w:rStyle w:val="normaltextrun"/>
          <w:rFonts w:ascii="Calibri" w:hAnsi="Calibri" w:cs="Calibri"/>
          <w:b/>
          <w:bCs/>
          <w:sz w:val="40"/>
          <w:szCs w:val="40"/>
          <w:lang w:val="uk-UA"/>
        </w:rPr>
        <w:t>ПРОГРАМА ДЛЯ РЕЗУЛЬТАТІВ</w:t>
      </w:r>
      <w:r w:rsidR="003C1E23">
        <w:rPr>
          <w:rStyle w:val="normaltextrun"/>
          <w:rFonts w:ascii="Calibri" w:hAnsi="Calibri" w:cs="Calibri"/>
          <w:b/>
          <w:bCs/>
          <w:sz w:val="40"/>
          <w:szCs w:val="40"/>
        </w:rPr>
        <w:t> </w:t>
      </w:r>
      <w:r w:rsidR="003C1E23">
        <w:rPr>
          <w:rStyle w:val="eop"/>
          <w:rFonts w:ascii="Calibri" w:hAnsi="Calibri" w:cs="Calibri"/>
          <w:sz w:val="40"/>
          <w:szCs w:val="40"/>
        </w:rPr>
        <w:t> </w:t>
      </w:r>
    </w:p>
    <w:p w14:paraId="61ECAE72" w14:textId="3F5B8FC4" w:rsidR="003C1E23" w:rsidRPr="001655CE" w:rsidRDefault="00EE5403" w:rsidP="003C1E23">
      <w:pPr>
        <w:pStyle w:val="paragraph"/>
        <w:spacing w:before="0" w:beforeAutospacing="0" w:after="0" w:afterAutospacing="0"/>
        <w:jc w:val="center"/>
        <w:textAlignment w:val="baseline"/>
        <w:rPr>
          <w:rFonts w:ascii="Segoe UI" w:hAnsi="Segoe UI" w:cs="Segoe UI"/>
          <w:sz w:val="18"/>
          <w:szCs w:val="18"/>
          <w:lang w:val="ru-RU"/>
        </w:rPr>
      </w:pPr>
      <w:r>
        <w:rPr>
          <w:rStyle w:val="normaltextrun"/>
          <w:rFonts w:ascii="Calibri" w:hAnsi="Calibri" w:cs="Calibri"/>
          <w:b/>
          <w:bCs/>
          <w:sz w:val="40"/>
          <w:szCs w:val="40"/>
          <w:lang w:val="uk-UA"/>
        </w:rPr>
        <w:t xml:space="preserve">Програма </w:t>
      </w:r>
      <w:r w:rsidR="001655CE">
        <w:rPr>
          <w:rStyle w:val="normaltextrun"/>
          <w:rFonts w:ascii="Calibri" w:hAnsi="Calibri" w:cs="Calibri"/>
          <w:b/>
          <w:bCs/>
          <w:sz w:val="40"/>
          <w:szCs w:val="40"/>
          <w:lang w:val="uk-UA"/>
        </w:rPr>
        <w:t>«</w:t>
      </w:r>
      <w:r w:rsidR="00EC3D5C" w:rsidRPr="00EC3D5C">
        <w:rPr>
          <w:rStyle w:val="normaltextrun"/>
          <w:rFonts w:ascii="Calibri" w:hAnsi="Calibri" w:cs="Calibri"/>
          <w:b/>
          <w:bCs/>
          <w:sz w:val="40"/>
          <w:szCs w:val="40"/>
          <w:lang w:val="uk-UA"/>
        </w:rPr>
        <w:t>Вдосконалення результатів освіти в скрутний час</w:t>
      </w:r>
      <w:r w:rsidR="001655CE">
        <w:rPr>
          <w:rStyle w:val="normaltextrun"/>
          <w:rFonts w:ascii="Calibri" w:hAnsi="Calibri" w:cs="Calibri"/>
          <w:b/>
          <w:bCs/>
          <w:sz w:val="40"/>
          <w:szCs w:val="40"/>
          <w:lang w:val="uk-UA"/>
        </w:rPr>
        <w:t xml:space="preserve">» </w:t>
      </w:r>
      <w:r w:rsidR="003C1E23" w:rsidRPr="001655CE">
        <w:rPr>
          <w:rStyle w:val="normaltextrun"/>
          <w:rFonts w:ascii="Calibri" w:hAnsi="Calibri" w:cs="Calibri"/>
          <w:b/>
          <w:bCs/>
          <w:sz w:val="40"/>
          <w:szCs w:val="40"/>
          <w:lang w:val="ru-RU"/>
        </w:rPr>
        <w:t>(</w:t>
      </w:r>
      <w:r w:rsidR="003C1E23" w:rsidRPr="00181B7A">
        <w:rPr>
          <w:rStyle w:val="normaltextrun"/>
          <w:rFonts w:ascii="Calibri" w:hAnsi="Calibri" w:cs="Calibri"/>
          <w:b/>
          <w:bCs/>
          <w:sz w:val="40"/>
          <w:szCs w:val="40"/>
        </w:rPr>
        <w:t>LEARN</w:t>
      </w:r>
      <w:r w:rsidR="001655CE">
        <w:rPr>
          <w:rStyle w:val="normaltextrun"/>
          <w:rFonts w:ascii="Calibri" w:hAnsi="Calibri" w:cs="Calibri"/>
          <w:b/>
          <w:bCs/>
          <w:sz w:val="40"/>
          <w:szCs w:val="40"/>
          <w:lang w:val="ru-RU"/>
        </w:rPr>
        <w:t>)</w:t>
      </w:r>
      <w:r w:rsidR="003C1E23" w:rsidRPr="001655CE">
        <w:rPr>
          <w:rStyle w:val="normaltextrun"/>
          <w:rFonts w:ascii="Calibri" w:hAnsi="Calibri" w:cs="Calibri"/>
          <w:b/>
          <w:bCs/>
          <w:sz w:val="40"/>
          <w:szCs w:val="40"/>
          <w:lang w:val="ru-RU"/>
        </w:rPr>
        <w:t xml:space="preserve"> (</w:t>
      </w:r>
      <w:r w:rsidR="003C1E23" w:rsidRPr="00181B7A">
        <w:rPr>
          <w:rStyle w:val="normaltextrun"/>
          <w:rFonts w:ascii="Calibri" w:hAnsi="Calibri" w:cs="Calibri"/>
          <w:b/>
          <w:bCs/>
          <w:sz w:val="40"/>
          <w:szCs w:val="40"/>
        </w:rPr>
        <w:t>P</w:t>
      </w:r>
      <w:r w:rsidR="003C1E23" w:rsidRPr="001655CE">
        <w:rPr>
          <w:rStyle w:val="normaltextrun"/>
          <w:rFonts w:ascii="Calibri" w:hAnsi="Calibri" w:cs="Calibri"/>
          <w:b/>
          <w:bCs/>
          <w:sz w:val="40"/>
          <w:szCs w:val="40"/>
          <w:lang w:val="ru-RU"/>
        </w:rPr>
        <w:t xml:space="preserve">504171) </w:t>
      </w:r>
    </w:p>
    <w:p w14:paraId="4FED40C0" w14:textId="77777777" w:rsidR="003C1E23" w:rsidRPr="001655CE" w:rsidRDefault="003C1E23" w:rsidP="003C1E23">
      <w:pPr>
        <w:pStyle w:val="paragraph"/>
        <w:spacing w:before="0" w:beforeAutospacing="0" w:after="0" w:afterAutospacing="0"/>
        <w:jc w:val="center"/>
        <w:textAlignment w:val="baseline"/>
        <w:rPr>
          <w:rFonts w:ascii="Segoe UI" w:hAnsi="Segoe UI" w:cs="Segoe UI"/>
          <w:sz w:val="18"/>
          <w:szCs w:val="18"/>
          <w:lang w:val="ru-RU"/>
        </w:rPr>
      </w:pPr>
    </w:p>
    <w:p w14:paraId="5BD9F0D2" w14:textId="77777777" w:rsidR="003C1E23" w:rsidRPr="001655CE" w:rsidRDefault="003C1E23" w:rsidP="003C1E23">
      <w:pPr>
        <w:pStyle w:val="paragraph"/>
        <w:spacing w:before="0" w:beforeAutospacing="0" w:after="0" w:afterAutospacing="0"/>
        <w:jc w:val="center"/>
        <w:textAlignment w:val="baseline"/>
        <w:rPr>
          <w:rStyle w:val="eop"/>
          <w:rFonts w:ascii="Calibri" w:hAnsi="Calibri" w:cs="Calibri"/>
          <w:sz w:val="40"/>
          <w:szCs w:val="40"/>
          <w:lang w:val="ru-RU"/>
        </w:rPr>
      </w:pPr>
      <w:r>
        <w:rPr>
          <w:rStyle w:val="eop"/>
          <w:rFonts w:ascii="Calibri" w:hAnsi="Calibri" w:cs="Calibri"/>
          <w:sz w:val="40"/>
          <w:szCs w:val="40"/>
        </w:rPr>
        <w:t> </w:t>
      </w:r>
    </w:p>
    <w:p w14:paraId="52F897C8" w14:textId="77777777" w:rsidR="003C1E23" w:rsidRPr="001655CE" w:rsidRDefault="003C1E23" w:rsidP="003C1E23">
      <w:pPr>
        <w:pStyle w:val="paragraph"/>
        <w:spacing w:before="0" w:beforeAutospacing="0" w:after="0" w:afterAutospacing="0"/>
        <w:jc w:val="center"/>
        <w:textAlignment w:val="baseline"/>
        <w:rPr>
          <w:rStyle w:val="eop"/>
          <w:rFonts w:ascii="Calibri" w:hAnsi="Calibri" w:cs="Calibri"/>
          <w:sz w:val="40"/>
          <w:szCs w:val="40"/>
          <w:lang w:val="ru-RU"/>
        </w:rPr>
      </w:pPr>
    </w:p>
    <w:p w14:paraId="25E3B849" w14:textId="77777777" w:rsidR="003C1E23" w:rsidRPr="001655CE" w:rsidRDefault="003C1E23" w:rsidP="003C1E23">
      <w:pPr>
        <w:pStyle w:val="paragraph"/>
        <w:spacing w:before="0" w:beforeAutospacing="0" w:after="0" w:afterAutospacing="0"/>
        <w:jc w:val="center"/>
        <w:textAlignment w:val="baseline"/>
        <w:rPr>
          <w:rStyle w:val="eop"/>
          <w:rFonts w:ascii="Calibri" w:hAnsi="Calibri" w:cs="Calibri"/>
          <w:sz w:val="40"/>
          <w:szCs w:val="40"/>
          <w:lang w:val="ru-RU"/>
        </w:rPr>
      </w:pPr>
    </w:p>
    <w:p w14:paraId="2C21A030" w14:textId="77777777" w:rsidR="003C1E23" w:rsidRPr="001655CE" w:rsidRDefault="003C1E23" w:rsidP="003C1E23">
      <w:pPr>
        <w:pStyle w:val="paragraph"/>
        <w:spacing w:before="0" w:beforeAutospacing="0" w:after="0" w:afterAutospacing="0"/>
        <w:jc w:val="center"/>
        <w:textAlignment w:val="baseline"/>
        <w:rPr>
          <w:rStyle w:val="eop"/>
          <w:rFonts w:ascii="Calibri" w:hAnsi="Calibri" w:cs="Calibri"/>
          <w:sz w:val="40"/>
          <w:szCs w:val="40"/>
          <w:lang w:val="ru-RU"/>
        </w:rPr>
      </w:pPr>
    </w:p>
    <w:p w14:paraId="210B18D9" w14:textId="77777777" w:rsidR="003C1E23" w:rsidRPr="001655CE" w:rsidRDefault="003C1E23" w:rsidP="003C1E23">
      <w:pPr>
        <w:pStyle w:val="paragraph"/>
        <w:spacing w:before="0" w:beforeAutospacing="0" w:after="0" w:afterAutospacing="0"/>
        <w:jc w:val="center"/>
        <w:textAlignment w:val="baseline"/>
        <w:rPr>
          <w:rStyle w:val="eop"/>
          <w:rFonts w:ascii="Calibri" w:hAnsi="Calibri" w:cs="Calibri"/>
          <w:sz w:val="40"/>
          <w:szCs w:val="40"/>
          <w:lang w:val="ru-RU"/>
        </w:rPr>
      </w:pPr>
    </w:p>
    <w:p w14:paraId="41C4F447" w14:textId="77777777" w:rsidR="003C1E23" w:rsidRPr="001655CE" w:rsidRDefault="003C1E23" w:rsidP="003C1E23">
      <w:pPr>
        <w:pStyle w:val="paragraph"/>
        <w:spacing w:before="0" w:beforeAutospacing="0" w:after="0" w:afterAutospacing="0"/>
        <w:jc w:val="center"/>
        <w:textAlignment w:val="baseline"/>
        <w:rPr>
          <w:rFonts w:ascii="Segoe UI" w:hAnsi="Segoe UI" w:cs="Segoe UI"/>
          <w:sz w:val="18"/>
          <w:szCs w:val="18"/>
          <w:lang w:val="ru-RU"/>
        </w:rPr>
      </w:pPr>
    </w:p>
    <w:p w14:paraId="3BDC3184" w14:textId="6FE8B7A9" w:rsidR="003C1E23" w:rsidRPr="00EE5403" w:rsidRDefault="001655CE" w:rsidP="001655CE">
      <w:pPr>
        <w:pStyle w:val="paragraph"/>
        <w:spacing w:before="0" w:beforeAutospacing="0" w:after="0" w:afterAutospacing="0"/>
        <w:jc w:val="center"/>
        <w:textAlignment w:val="baseline"/>
        <w:rPr>
          <w:rStyle w:val="normaltextrun"/>
          <w:rFonts w:ascii="Calibri" w:hAnsi="Calibri" w:cs="Calibri"/>
          <w:b/>
          <w:bCs/>
          <w:sz w:val="40"/>
          <w:szCs w:val="40"/>
          <w:lang w:val="uk-UA"/>
        </w:rPr>
      </w:pPr>
      <w:r w:rsidRPr="00EE5403">
        <w:rPr>
          <w:rStyle w:val="normaltextrun"/>
          <w:rFonts w:ascii="Calibri" w:hAnsi="Calibri" w:cs="Calibri"/>
          <w:b/>
          <w:bCs/>
          <w:sz w:val="40"/>
          <w:szCs w:val="40"/>
          <w:lang w:val="uk-UA"/>
        </w:rPr>
        <w:t xml:space="preserve">Оцінка </w:t>
      </w:r>
      <w:r w:rsidR="00EE5403" w:rsidRPr="00EE5403">
        <w:rPr>
          <w:rStyle w:val="normaltextrun"/>
          <w:rFonts w:ascii="Calibri" w:hAnsi="Calibri" w:cs="Calibri"/>
          <w:b/>
          <w:bCs/>
          <w:sz w:val="40"/>
          <w:szCs w:val="40"/>
          <w:lang w:val="uk-UA"/>
        </w:rPr>
        <w:t>систем екологічних і</w:t>
      </w:r>
      <w:r w:rsidRPr="00EE5403">
        <w:rPr>
          <w:rStyle w:val="normaltextrun"/>
          <w:rFonts w:ascii="Calibri" w:hAnsi="Calibri" w:cs="Calibri"/>
          <w:b/>
          <w:bCs/>
          <w:sz w:val="40"/>
          <w:szCs w:val="40"/>
          <w:lang w:val="uk-UA"/>
        </w:rPr>
        <w:t xml:space="preserve"> соціальн</w:t>
      </w:r>
      <w:r w:rsidR="00EE5403" w:rsidRPr="00EE5403">
        <w:rPr>
          <w:rStyle w:val="normaltextrun"/>
          <w:rFonts w:ascii="Calibri" w:hAnsi="Calibri" w:cs="Calibri"/>
          <w:b/>
          <w:bCs/>
          <w:sz w:val="40"/>
          <w:szCs w:val="40"/>
          <w:lang w:val="uk-UA"/>
        </w:rPr>
        <w:t>ого менеджменту</w:t>
      </w:r>
    </w:p>
    <w:p w14:paraId="09647A1C" w14:textId="77777777" w:rsidR="003C1E23" w:rsidRPr="00EE5403" w:rsidRDefault="003C1E23" w:rsidP="003C1E23">
      <w:pPr>
        <w:pStyle w:val="paragraph"/>
        <w:spacing w:before="0" w:beforeAutospacing="0" w:after="0" w:afterAutospacing="0"/>
        <w:jc w:val="center"/>
        <w:textAlignment w:val="baseline"/>
        <w:rPr>
          <w:rFonts w:ascii="Segoe UI" w:hAnsi="Segoe UI" w:cs="Segoe UI"/>
          <w:sz w:val="18"/>
          <w:szCs w:val="18"/>
          <w:lang w:val="uk-UA"/>
        </w:rPr>
      </w:pPr>
      <w:r w:rsidRPr="00EE5403">
        <w:rPr>
          <w:rStyle w:val="normaltextrun"/>
          <w:rFonts w:ascii="Calibri" w:hAnsi="Calibri" w:cs="Calibri"/>
          <w:b/>
          <w:bCs/>
          <w:sz w:val="40"/>
          <w:szCs w:val="40"/>
          <w:lang w:val="uk-UA"/>
        </w:rPr>
        <w:t>(ESSA)</w:t>
      </w:r>
      <w:r w:rsidRPr="00EE5403">
        <w:rPr>
          <w:rStyle w:val="eop"/>
          <w:rFonts w:ascii="Calibri" w:hAnsi="Calibri" w:cs="Calibri"/>
          <w:sz w:val="40"/>
          <w:szCs w:val="40"/>
          <w:lang w:val="uk-UA"/>
        </w:rPr>
        <w:t> </w:t>
      </w:r>
    </w:p>
    <w:p w14:paraId="6EAD3FE3" w14:textId="77777777" w:rsidR="003C1E23" w:rsidRPr="00EE5403" w:rsidRDefault="003C1E23" w:rsidP="003C1E23">
      <w:pPr>
        <w:pStyle w:val="paragraph"/>
        <w:spacing w:before="0" w:beforeAutospacing="0" w:after="0" w:afterAutospacing="0"/>
        <w:jc w:val="center"/>
        <w:textAlignment w:val="baseline"/>
        <w:rPr>
          <w:rFonts w:ascii="Segoe UI" w:hAnsi="Segoe UI" w:cs="Segoe UI"/>
          <w:sz w:val="18"/>
          <w:szCs w:val="18"/>
          <w:lang w:val="uk-UA"/>
        </w:rPr>
      </w:pPr>
      <w:r w:rsidRPr="00EE5403">
        <w:rPr>
          <w:rStyle w:val="eop"/>
          <w:rFonts w:ascii="Calibri" w:hAnsi="Calibri" w:cs="Calibri"/>
          <w:sz w:val="40"/>
          <w:szCs w:val="40"/>
          <w:lang w:val="uk-UA"/>
        </w:rPr>
        <w:t> </w:t>
      </w:r>
    </w:p>
    <w:p w14:paraId="0778DEC1" w14:textId="77777777" w:rsidR="003C1E23" w:rsidRPr="00EE5403" w:rsidRDefault="003C1E23" w:rsidP="003C1E23">
      <w:pPr>
        <w:pStyle w:val="paragraph"/>
        <w:spacing w:before="0" w:beforeAutospacing="0" w:after="0" w:afterAutospacing="0"/>
        <w:jc w:val="center"/>
        <w:textAlignment w:val="baseline"/>
        <w:rPr>
          <w:rFonts w:ascii="Segoe UI" w:hAnsi="Segoe UI" w:cs="Segoe UI"/>
          <w:sz w:val="18"/>
          <w:szCs w:val="18"/>
          <w:lang w:val="uk-UA"/>
        </w:rPr>
      </w:pPr>
      <w:r w:rsidRPr="00EE5403">
        <w:rPr>
          <w:rStyle w:val="eop"/>
          <w:rFonts w:ascii="Calibri" w:hAnsi="Calibri" w:cs="Calibri"/>
          <w:sz w:val="40"/>
          <w:szCs w:val="40"/>
          <w:lang w:val="uk-UA"/>
        </w:rPr>
        <w:t> </w:t>
      </w:r>
    </w:p>
    <w:p w14:paraId="43064C2F" w14:textId="77777777" w:rsidR="003C1E23" w:rsidRPr="00EE5403" w:rsidRDefault="003C1E23" w:rsidP="003C1E23">
      <w:pPr>
        <w:pStyle w:val="paragraph"/>
        <w:spacing w:before="0" w:beforeAutospacing="0" w:after="0" w:afterAutospacing="0"/>
        <w:jc w:val="center"/>
        <w:textAlignment w:val="baseline"/>
        <w:rPr>
          <w:rFonts w:ascii="Segoe UI" w:hAnsi="Segoe UI" w:cs="Segoe UI"/>
          <w:sz w:val="18"/>
          <w:szCs w:val="18"/>
          <w:lang w:val="ru-RU"/>
        </w:rPr>
      </w:pPr>
      <w:r>
        <w:rPr>
          <w:rStyle w:val="eop"/>
          <w:rFonts w:ascii="Calibri" w:hAnsi="Calibri" w:cs="Calibri"/>
          <w:sz w:val="40"/>
          <w:szCs w:val="40"/>
        </w:rPr>
        <w:t> </w:t>
      </w:r>
    </w:p>
    <w:p w14:paraId="63A57825" w14:textId="77777777" w:rsidR="003C1E23" w:rsidRPr="00EE5403" w:rsidRDefault="003C1E23" w:rsidP="003C1E23">
      <w:pPr>
        <w:pStyle w:val="paragraph"/>
        <w:spacing w:before="0" w:beforeAutospacing="0" w:after="0" w:afterAutospacing="0"/>
        <w:jc w:val="center"/>
        <w:textAlignment w:val="baseline"/>
        <w:rPr>
          <w:rFonts w:ascii="Segoe UI" w:hAnsi="Segoe UI" w:cs="Segoe UI"/>
          <w:sz w:val="18"/>
          <w:szCs w:val="18"/>
          <w:lang w:val="ru-RU"/>
        </w:rPr>
      </w:pPr>
      <w:r>
        <w:rPr>
          <w:rStyle w:val="eop"/>
          <w:rFonts w:ascii="Calibri" w:hAnsi="Calibri" w:cs="Calibri"/>
          <w:sz w:val="40"/>
          <w:szCs w:val="40"/>
        </w:rPr>
        <w:t> </w:t>
      </w:r>
    </w:p>
    <w:p w14:paraId="5DFF11CF" w14:textId="77777777" w:rsidR="003C1E23" w:rsidRPr="00EE5403" w:rsidRDefault="003C1E23" w:rsidP="003C1E23">
      <w:pPr>
        <w:pStyle w:val="paragraph"/>
        <w:spacing w:before="0" w:beforeAutospacing="0" w:after="0" w:afterAutospacing="0"/>
        <w:jc w:val="center"/>
        <w:textAlignment w:val="baseline"/>
        <w:rPr>
          <w:rStyle w:val="eop"/>
          <w:rFonts w:ascii="Calibri" w:hAnsi="Calibri" w:cs="Calibri"/>
          <w:sz w:val="40"/>
          <w:szCs w:val="40"/>
          <w:lang w:val="ru-RU"/>
        </w:rPr>
      </w:pPr>
      <w:r>
        <w:rPr>
          <w:rStyle w:val="eop"/>
          <w:rFonts w:ascii="Calibri" w:hAnsi="Calibri" w:cs="Calibri"/>
          <w:sz w:val="40"/>
          <w:szCs w:val="40"/>
        </w:rPr>
        <w:t> </w:t>
      </w:r>
    </w:p>
    <w:p w14:paraId="1D5B2165" w14:textId="77777777" w:rsidR="003C1E23" w:rsidRPr="00EE5403" w:rsidRDefault="003C1E23" w:rsidP="003C1E23">
      <w:pPr>
        <w:pStyle w:val="paragraph"/>
        <w:spacing w:before="0" w:beforeAutospacing="0" w:after="0" w:afterAutospacing="0"/>
        <w:jc w:val="center"/>
        <w:textAlignment w:val="baseline"/>
        <w:rPr>
          <w:rStyle w:val="eop"/>
          <w:rFonts w:ascii="Calibri" w:hAnsi="Calibri" w:cs="Calibri"/>
          <w:sz w:val="40"/>
          <w:szCs w:val="40"/>
          <w:lang w:val="ru-RU"/>
        </w:rPr>
      </w:pPr>
    </w:p>
    <w:p w14:paraId="4C1CE872" w14:textId="77777777" w:rsidR="003C1E23" w:rsidRPr="00EE5403" w:rsidRDefault="003C1E23" w:rsidP="003C1E23">
      <w:pPr>
        <w:pStyle w:val="paragraph"/>
        <w:spacing w:before="0" w:beforeAutospacing="0" w:after="0" w:afterAutospacing="0"/>
        <w:jc w:val="center"/>
        <w:textAlignment w:val="baseline"/>
        <w:rPr>
          <w:rStyle w:val="eop"/>
          <w:rFonts w:ascii="Calibri" w:hAnsi="Calibri" w:cs="Calibri"/>
          <w:sz w:val="40"/>
          <w:szCs w:val="40"/>
          <w:lang w:val="ru-RU"/>
        </w:rPr>
      </w:pPr>
    </w:p>
    <w:p w14:paraId="0C0E4591" w14:textId="77777777" w:rsidR="003C1E23" w:rsidRPr="00EE5403" w:rsidRDefault="003C1E23" w:rsidP="003C1E23">
      <w:pPr>
        <w:pStyle w:val="paragraph"/>
        <w:spacing w:before="0" w:beforeAutospacing="0" w:after="0" w:afterAutospacing="0"/>
        <w:jc w:val="center"/>
        <w:textAlignment w:val="baseline"/>
        <w:rPr>
          <w:rStyle w:val="eop"/>
          <w:rFonts w:ascii="Calibri" w:hAnsi="Calibri" w:cs="Calibri"/>
          <w:sz w:val="40"/>
          <w:szCs w:val="40"/>
          <w:lang w:val="ru-RU"/>
        </w:rPr>
      </w:pPr>
    </w:p>
    <w:p w14:paraId="1A8F9196" w14:textId="77777777" w:rsidR="003C1E23" w:rsidRPr="00EE5403" w:rsidRDefault="003C1E23" w:rsidP="003C1E23">
      <w:pPr>
        <w:pStyle w:val="paragraph"/>
        <w:spacing w:before="0" w:beforeAutospacing="0" w:after="0" w:afterAutospacing="0"/>
        <w:jc w:val="center"/>
        <w:textAlignment w:val="baseline"/>
        <w:rPr>
          <w:rStyle w:val="eop"/>
          <w:rFonts w:ascii="Calibri" w:hAnsi="Calibri" w:cs="Calibri"/>
          <w:sz w:val="40"/>
          <w:szCs w:val="40"/>
          <w:lang w:val="ru-RU"/>
        </w:rPr>
      </w:pPr>
    </w:p>
    <w:p w14:paraId="10D0ED07" w14:textId="77777777" w:rsidR="003C1E23" w:rsidRPr="00EE5403" w:rsidRDefault="003C1E23" w:rsidP="003C1E23">
      <w:pPr>
        <w:pStyle w:val="paragraph"/>
        <w:spacing w:before="0" w:beforeAutospacing="0" w:after="0" w:afterAutospacing="0"/>
        <w:jc w:val="center"/>
        <w:textAlignment w:val="baseline"/>
        <w:rPr>
          <w:rStyle w:val="eop"/>
          <w:rFonts w:ascii="Calibri" w:hAnsi="Calibri" w:cs="Calibri"/>
          <w:sz w:val="40"/>
          <w:szCs w:val="40"/>
          <w:lang w:val="ru-RU"/>
        </w:rPr>
      </w:pPr>
    </w:p>
    <w:p w14:paraId="3A21EE99" w14:textId="77777777" w:rsidR="003C1E23" w:rsidRPr="00EE5403" w:rsidRDefault="003C1E23" w:rsidP="003C1E23">
      <w:pPr>
        <w:pStyle w:val="paragraph"/>
        <w:spacing w:before="0" w:beforeAutospacing="0" w:after="0" w:afterAutospacing="0"/>
        <w:jc w:val="center"/>
        <w:textAlignment w:val="baseline"/>
        <w:rPr>
          <w:rStyle w:val="eop"/>
          <w:rFonts w:ascii="Calibri" w:hAnsi="Calibri" w:cs="Calibri"/>
          <w:sz w:val="40"/>
          <w:szCs w:val="40"/>
          <w:lang w:val="ru-RU"/>
        </w:rPr>
      </w:pPr>
    </w:p>
    <w:p w14:paraId="42CB413E" w14:textId="77777777" w:rsidR="003C1E23" w:rsidRPr="00EE5403" w:rsidRDefault="003C1E23" w:rsidP="003C1E23">
      <w:pPr>
        <w:pStyle w:val="paragraph"/>
        <w:spacing w:before="0" w:beforeAutospacing="0" w:after="0" w:afterAutospacing="0"/>
        <w:jc w:val="center"/>
        <w:textAlignment w:val="baseline"/>
        <w:rPr>
          <w:rFonts w:ascii="Segoe UI" w:hAnsi="Segoe UI" w:cs="Segoe UI"/>
          <w:sz w:val="18"/>
          <w:szCs w:val="18"/>
          <w:lang w:val="ru-RU"/>
        </w:rPr>
      </w:pPr>
    </w:p>
    <w:p w14:paraId="0A92C350" w14:textId="1A24700B" w:rsidR="003C1E23" w:rsidRPr="00EE5403" w:rsidRDefault="001655CE" w:rsidP="003C1E23">
      <w:pPr>
        <w:pStyle w:val="paragraph"/>
        <w:spacing w:before="0" w:beforeAutospacing="0" w:after="0" w:afterAutospacing="0"/>
        <w:jc w:val="center"/>
        <w:textAlignment w:val="baseline"/>
        <w:rPr>
          <w:rFonts w:ascii="Segoe UI" w:hAnsi="Segoe UI" w:cs="Segoe UI"/>
          <w:sz w:val="18"/>
          <w:szCs w:val="18"/>
          <w:lang w:val="ru-RU"/>
        </w:rPr>
      </w:pPr>
      <w:r>
        <w:rPr>
          <w:rStyle w:val="normaltextrun"/>
          <w:rFonts w:ascii="Calibri" w:hAnsi="Calibri" w:cs="Calibri"/>
          <w:sz w:val="28"/>
          <w:szCs w:val="28"/>
          <w:lang w:val="uk-UA"/>
        </w:rPr>
        <w:t>Світовий банк</w:t>
      </w:r>
      <w:r w:rsidR="003C1E23">
        <w:rPr>
          <w:rStyle w:val="eop"/>
          <w:rFonts w:ascii="Calibri" w:hAnsi="Calibri" w:cs="Calibri"/>
          <w:sz w:val="28"/>
          <w:szCs w:val="28"/>
        </w:rPr>
        <w:t> </w:t>
      </w:r>
    </w:p>
    <w:p w14:paraId="3B5B9B18" w14:textId="5EAF023F" w:rsidR="003C1E23" w:rsidRPr="00EE5403" w:rsidRDefault="001655CE" w:rsidP="003C1E23">
      <w:pPr>
        <w:pStyle w:val="paragraph"/>
        <w:spacing w:before="0" w:beforeAutospacing="0" w:after="0" w:afterAutospacing="0"/>
        <w:jc w:val="center"/>
        <w:textAlignment w:val="baseline"/>
        <w:rPr>
          <w:rFonts w:ascii="Segoe UI" w:hAnsi="Segoe UI" w:cs="Segoe UI"/>
          <w:sz w:val="18"/>
          <w:szCs w:val="18"/>
          <w:lang w:val="ru-RU"/>
        </w:rPr>
      </w:pPr>
      <w:r>
        <w:rPr>
          <w:rStyle w:val="normaltextrun"/>
          <w:rFonts w:ascii="Calibri" w:hAnsi="Calibri" w:cs="Calibri"/>
          <w:sz w:val="28"/>
          <w:szCs w:val="28"/>
          <w:lang w:val="uk-UA"/>
        </w:rPr>
        <w:t>червень</w:t>
      </w:r>
      <w:r w:rsidR="003C1E23" w:rsidRPr="00EE5403">
        <w:rPr>
          <w:rStyle w:val="normaltextrun"/>
          <w:rFonts w:ascii="Calibri" w:hAnsi="Calibri" w:cs="Calibri"/>
          <w:sz w:val="28"/>
          <w:szCs w:val="28"/>
          <w:lang w:val="ru-RU"/>
        </w:rPr>
        <w:t xml:space="preserve"> 2024</w:t>
      </w:r>
    </w:p>
    <w:p w14:paraId="4459C90D" w14:textId="77777777" w:rsidR="003C1E23" w:rsidRPr="00EE5403" w:rsidRDefault="003C1E23" w:rsidP="003C1E23">
      <w:pPr>
        <w:rPr>
          <w:rFonts w:cstheme="minorHAnsi"/>
          <w:lang w:val="ru-RU"/>
        </w:rPr>
      </w:pPr>
      <w:r w:rsidRPr="00EE5403">
        <w:rPr>
          <w:rFonts w:cstheme="minorHAnsi"/>
          <w:lang w:val="ru-RU"/>
        </w:rPr>
        <w:br w:type="page"/>
      </w:r>
    </w:p>
    <w:p w14:paraId="0F3B1A5C" w14:textId="77777777" w:rsidR="001655CE" w:rsidRPr="00C72BC9" w:rsidRDefault="001655CE" w:rsidP="003C1E23">
      <w:pPr>
        <w:jc w:val="both"/>
        <w:rPr>
          <w:rFonts w:eastAsiaTheme="majorEastAsia" w:cstheme="minorHAnsi"/>
          <w:color w:val="2F5496" w:themeColor="accent1" w:themeShade="BF"/>
          <w:sz w:val="32"/>
          <w:szCs w:val="32"/>
          <w:lang w:val="uk-UA"/>
        </w:rPr>
      </w:pPr>
      <w:r w:rsidRPr="00C72BC9">
        <w:rPr>
          <w:rFonts w:eastAsiaTheme="majorEastAsia" w:cstheme="minorHAnsi"/>
          <w:color w:val="2F5496" w:themeColor="accent1" w:themeShade="BF"/>
          <w:sz w:val="32"/>
          <w:szCs w:val="32"/>
          <w:lang w:val="uk-UA"/>
        </w:rPr>
        <w:lastRenderedPageBreak/>
        <w:t>Короткий опис</w:t>
      </w:r>
    </w:p>
    <w:p w14:paraId="0D34BC90" w14:textId="3C9D6F78" w:rsidR="003C1E23" w:rsidRPr="00C72BC9" w:rsidRDefault="001655CE" w:rsidP="001655CE">
      <w:pPr>
        <w:jc w:val="both"/>
        <w:rPr>
          <w:lang w:val="uk-UA"/>
        </w:rPr>
      </w:pPr>
      <w:r w:rsidRPr="00C72BC9">
        <w:rPr>
          <w:lang w:val="uk-UA"/>
        </w:rPr>
        <w:t xml:space="preserve">Оцінка </w:t>
      </w:r>
      <w:r w:rsidR="00EE5403">
        <w:rPr>
          <w:lang w:val="uk-UA"/>
        </w:rPr>
        <w:t xml:space="preserve">систем екологічного і </w:t>
      </w:r>
      <w:r w:rsidRPr="00C72BC9">
        <w:rPr>
          <w:lang w:val="uk-UA"/>
        </w:rPr>
        <w:t>соціальн</w:t>
      </w:r>
      <w:r w:rsidR="00EE5403">
        <w:rPr>
          <w:lang w:val="uk-UA"/>
        </w:rPr>
        <w:t>ого менеджменту (</w:t>
      </w:r>
      <w:r w:rsidR="00EE5403" w:rsidRPr="00C72BC9">
        <w:rPr>
          <w:lang w:val="uk-UA"/>
        </w:rPr>
        <w:t>ESSA</w:t>
      </w:r>
      <w:r w:rsidR="00EE5403">
        <w:rPr>
          <w:lang w:val="uk-UA"/>
        </w:rPr>
        <w:t>)  була підготовлена для даної програми в рамках Програми для результатів</w:t>
      </w:r>
      <w:r w:rsidRPr="00C72BC9">
        <w:rPr>
          <w:lang w:val="uk-UA"/>
        </w:rPr>
        <w:t xml:space="preserve"> </w:t>
      </w:r>
      <w:r w:rsidR="00EE5403">
        <w:rPr>
          <w:lang w:val="uk-UA"/>
        </w:rPr>
        <w:t>(</w:t>
      </w:r>
      <w:r w:rsidRPr="00C72BC9">
        <w:rPr>
          <w:lang w:val="uk-UA"/>
        </w:rPr>
        <w:t>PForR</w:t>
      </w:r>
      <w:r w:rsidR="00EE5403">
        <w:rPr>
          <w:lang w:val="uk-UA"/>
        </w:rPr>
        <w:t>)</w:t>
      </w:r>
      <w:r w:rsidRPr="00C72BC9">
        <w:rPr>
          <w:lang w:val="uk-UA"/>
        </w:rPr>
        <w:t xml:space="preserve"> відповідно до пункту 9 Розділу III Політики PforR та Директиви </w:t>
      </w:r>
      <w:r w:rsidR="00EE5403">
        <w:rPr>
          <w:lang w:val="uk-UA"/>
        </w:rPr>
        <w:t xml:space="preserve">Світового банку щодо PforR. </w:t>
      </w:r>
      <w:r w:rsidRPr="00C72BC9">
        <w:rPr>
          <w:lang w:val="uk-UA"/>
        </w:rPr>
        <w:t xml:space="preserve">ESSA (a) розглядає масштаб, контекст і потенційний вплив Програми з точки зору екологічних та соціальних аспектів; (b) детально оцінює різні екологічні та соціальні наслідки заходів Програми, включно з непрямими та кумулятивними наслідками, контекстуальними та політичними ризиками, пов'язаними з екологічними та соціальними питаннями; (c) оцінює спроможність </w:t>
      </w:r>
      <w:r w:rsidR="00BC11E9">
        <w:rPr>
          <w:lang w:val="uk-UA"/>
        </w:rPr>
        <w:t>національних органів щодо подолання</w:t>
      </w:r>
      <w:r w:rsidRPr="00C72BC9">
        <w:rPr>
          <w:lang w:val="uk-UA"/>
        </w:rPr>
        <w:t xml:space="preserve"> пов'язаних екологічних</w:t>
      </w:r>
      <w:r w:rsidR="00BC11E9">
        <w:rPr>
          <w:lang w:val="uk-UA"/>
        </w:rPr>
        <w:t xml:space="preserve"> і соціальних ризиків та визначає</w:t>
      </w:r>
      <w:r w:rsidRPr="00C72BC9">
        <w:rPr>
          <w:lang w:val="uk-UA"/>
        </w:rPr>
        <w:t xml:space="preserve"> будь-які комплексні ризики в процесі реалізації екологічних і соціальних заходів; (d) порівнює системи позичальника (закони, нормативно-правові акти, стандарти, процедури та ефективність їх впровадження) з основними принципами PforR у сфері екологічних і соц</w:t>
      </w:r>
      <w:r w:rsidR="00BC11E9">
        <w:rPr>
          <w:lang w:val="uk-UA"/>
        </w:rPr>
        <w:t>іальних заходів; та (e) формулює</w:t>
      </w:r>
      <w:r w:rsidRPr="00C72BC9">
        <w:rPr>
          <w:lang w:val="uk-UA"/>
        </w:rPr>
        <w:t xml:space="preserve"> рекомендовані заходи для підвищення спроможності та ефективності у вирішенні питань політики та конкретних операційних аспектів, пов'язаних з управлінням </w:t>
      </w:r>
      <w:r w:rsidR="00127412">
        <w:rPr>
          <w:lang w:val="uk-UA"/>
        </w:rPr>
        <w:t>ризиками програми</w:t>
      </w:r>
      <w:r w:rsidRPr="00C72BC9">
        <w:rPr>
          <w:lang w:val="uk-UA"/>
        </w:rPr>
        <w:t>.</w:t>
      </w:r>
      <w:r w:rsidR="003C1E23" w:rsidRPr="00C72BC9">
        <w:rPr>
          <w:lang w:val="uk-UA"/>
        </w:rPr>
        <w:t xml:space="preserve">    </w:t>
      </w:r>
    </w:p>
    <w:p w14:paraId="3B32A03A" w14:textId="31730A3E" w:rsidR="003C1E23" w:rsidRPr="00C72BC9" w:rsidRDefault="005A023B" w:rsidP="003C1E23">
      <w:pPr>
        <w:jc w:val="both"/>
        <w:rPr>
          <w:lang w:val="uk-UA"/>
        </w:rPr>
      </w:pPr>
      <w:r w:rsidRPr="00C72BC9">
        <w:rPr>
          <w:b/>
          <w:bCs/>
          <w:lang w:val="uk-UA"/>
        </w:rPr>
        <w:t>Методологія</w:t>
      </w:r>
      <w:r w:rsidR="003C1E23" w:rsidRPr="00C72BC9">
        <w:rPr>
          <w:lang w:val="uk-UA"/>
        </w:rPr>
        <w:t xml:space="preserve">. </w:t>
      </w:r>
      <w:r w:rsidR="00BC11E9">
        <w:rPr>
          <w:lang w:val="uk-UA"/>
        </w:rPr>
        <w:t>З метою</w:t>
      </w:r>
      <w:r w:rsidRPr="00C72BC9">
        <w:rPr>
          <w:lang w:val="uk-UA"/>
        </w:rPr>
        <w:t xml:space="preserve"> підготовки ESSA </w:t>
      </w:r>
      <w:r w:rsidR="00BC11E9">
        <w:rPr>
          <w:lang w:val="uk-UA"/>
        </w:rPr>
        <w:t xml:space="preserve">для </w:t>
      </w:r>
      <w:r w:rsidRPr="00C72BC9">
        <w:rPr>
          <w:lang w:val="uk-UA"/>
        </w:rPr>
        <w:t>запропонованої операції</w:t>
      </w:r>
      <w:r w:rsidR="00127412">
        <w:rPr>
          <w:lang w:val="uk-UA"/>
        </w:rPr>
        <w:t>, Світовий банк провів оцінку систем екологічного</w:t>
      </w:r>
      <w:r w:rsidRPr="00C72BC9">
        <w:rPr>
          <w:lang w:val="uk-UA"/>
        </w:rPr>
        <w:t xml:space="preserve"> </w:t>
      </w:r>
      <w:r w:rsidR="00127412">
        <w:rPr>
          <w:lang w:val="uk-UA"/>
        </w:rPr>
        <w:t>і соціального менеджменту</w:t>
      </w:r>
      <w:r w:rsidRPr="00C72BC9">
        <w:rPr>
          <w:lang w:val="uk-UA"/>
        </w:rPr>
        <w:t xml:space="preserve"> Міністерства освіти і науки (МОН), проаналізувавши наявні документи та </w:t>
      </w:r>
      <w:r w:rsidR="00BC11E9">
        <w:rPr>
          <w:lang w:val="uk-UA"/>
        </w:rPr>
        <w:t xml:space="preserve">провівши </w:t>
      </w:r>
      <w:r w:rsidRPr="00C72BC9">
        <w:rPr>
          <w:lang w:val="uk-UA"/>
        </w:rPr>
        <w:t xml:space="preserve">робочі зустрічі з основними зацікавленими сторонами, а також </w:t>
      </w:r>
      <w:r w:rsidR="00BC11E9">
        <w:rPr>
          <w:lang w:val="uk-UA"/>
        </w:rPr>
        <w:t xml:space="preserve">було проаналізоване </w:t>
      </w:r>
      <w:r w:rsidRPr="00C72BC9">
        <w:rPr>
          <w:lang w:val="uk-UA"/>
        </w:rPr>
        <w:t>відповідне націо</w:t>
      </w:r>
      <w:r w:rsidR="00BC11E9">
        <w:rPr>
          <w:lang w:val="uk-UA"/>
        </w:rPr>
        <w:t>нальне законодавство та практика</w:t>
      </w:r>
      <w:r w:rsidR="003C1E23" w:rsidRPr="00C72BC9">
        <w:rPr>
          <w:lang w:val="uk-UA"/>
        </w:rPr>
        <w:t xml:space="preserve">. </w:t>
      </w:r>
      <w:r w:rsidR="00127412">
        <w:rPr>
          <w:lang w:val="uk-UA"/>
        </w:rPr>
        <w:t>ESSA підготовлена на основі: наявної інформації</w:t>
      </w:r>
      <w:r w:rsidRPr="00C72BC9">
        <w:rPr>
          <w:lang w:val="uk-UA"/>
        </w:rPr>
        <w:t xml:space="preserve"> </w:t>
      </w:r>
      <w:r w:rsidR="00127412">
        <w:rPr>
          <w:lang w:val="uk-UA"/>
        </w:rPr>
        <w:t>та додаткового вивчення</w:t>
      </w:r>
      <w:r w:rsidRPr="00C72BC9">
        <w:rPr>
          <w:lang w:val="uk-UA"/>
        </w:rPr>
        <w:t xml:space="preserve"> систем</w:t>
      </w:r>
      <w:r w:rsidR="00127412">
        <w:rPr>
          <w:lang w:val="uk-UA"/>
        </w:rPr>
        <w:t xml:space="preserve"> екологічного і соціального менеджменту</w:t>
      </w:r>
      <w:r w:rsidRPr="00C72BC9">
        <w:rPr>
          <w:lang w:val="uk-UA"/>
        </w:rPr>
        <w:t>, які мають відношення до програми, включно з нормативно-правовою</w:t>
      </w:r>
      <w:r w:rsidR="00127412">
        <w:rPr>
          <w:lang w:val="uk-UA"/>
        </w:rPr>
        <w:t xml:space="preserve"> базою, що регулює екологічну і</w:t>
      </w:r>
      <w:r w:rsidRPr="00C72BC9">
        <w:rPr>
          <w:lang w:val="uk-UA"/>
        </w:rPr>
        <w:t xml:space="preserve"> соціальну оцінку; трудо</w:t>
      </w:r>
      <w:r w:rsidR="00127412">
        <w:rPr>
          <w:lang w:val="uk-UA"/>
        </w:rPr>
        <w:t>ві відносини, техніку безпеки й</w:t>
      </w:r>
      <w:r w:rsidRPr="00C72BC9">
        <w:rPr>
          <w:lang w:val="uk-UA"/>
        </w:rPr>
        <w:t xml:space="preserve"> охорону праці; </w:t>
      </w:r>
      <w:r w:rsidR="00127412">
        <w:rPr>
          <w:lang w:val="uk-UA"/>
        </w:rPr>
        <w:t xml:space="preserve">питання </w:t>
      </w:r>
      <w:r w:rsidRPr="00C72BC9">
        <w:rPr>
          <w:lang w:val="uk-UA"/>
        </w:rPr>
        <w:t>культурн</w:t>
      </w:r>
      <w:r w:rsidR="00127412">
        <w:rPr>
          <w:lang w:val="uk-UA"/>
        </w:rPr>
        <w:t>ої спадщини</w:t>
      </w:r>
      <w:r w:rsidRPr="00C72BC9">
        <w:rPr>
          <w:lang w:val="uk-UA"/>
        </w:rPr>
        <w:t xml:space="preserve">; будівельні стандарти; недискримінацію, гендерну рівність та інтеграцію людей з обмеженими можливостями; розкриття інформації та розгляд </w:t>
      </w:r>
      <w:r w:rsidR="007C1288">
        <w:rPr>
          <w:lang w:val="uk-UA"/>
        </w:rPr>
        <w:t xml:space="preserve">і врегулювання </w:t>
      </w:r>
      <w:r w:rsidR="00CF4868">
        <w:rPr>
          <w:lang w:val="uk-UA"/>
        </w:rPr>
        <w:t>скарг.</w:t>
      </w:r>
      <w:r w:rsidRPr="00C72BC9">
        <w:rPr>
          <w:lang w:val="uk-UA"/>
        </w:rPr>
        <w:t xml:space="preserve"> </w:t>
      </w:r>
      <w:r w:rsidR="00CF4868">
        <w:rPr>
          <w:lang w:val="uk-UA"/>
        </w:rPr>
        <w:t>Т</w:t>
      </w:r>
      <w:r w:rsidRPr="00C72BC9">
        <w:rPr>
          <w:lang w:val="uk-UA"/>
        </w:rPr>
        <w:t xml:space="preserve">акож </w:t>
      </w:r>
      <w:r w:rsidR="00CF4868">
        <w:rPr>
          <w:lang w:val="uk-UA"/>
        </w:rPr>
        <w:t>для цілей ESSA була проведена оцінка ефективності</w:t>
      </w:r>
      <w:r w:rsidR="007C1288">
        <w:rPr>
          <w:lang w:val="uk-UA"/>
        </w:rPr>
        <w:t xml:space="preserve"> </w:t>
      </w:r>
      <w:r w:rsidR="007C1288" w:rsidRPr="00C72BC9">
        <w:rPr>
          <w:lang w:val="uk-UA"/>
        </w:rPr>
        <w:t>нормативно-правов</w:t>
      </w:r>
      <w:r w:rsidR="007C1288">
        <w:rPr>
          <w:lang w:val="uk-UA"/>
        </w:rPr>
        <w:t>ої бази щодо врегулювання екологічних і</w:t>
      </w:r>
      <w:r w:rsidRPr="00C72BC9">
        <w:rPr>
          <w:lang w:val="uk-UA"/>
        </w:rPr>
        <w:t xml:space="preserve"> соціальн</w:t>
      </w:r>
      <w:r w:rsidR="007C1288">
        <w:rPr>
          <w:lang w:val="uk-UA"/>
        </w:rPr>
        <w:t>их питань, виходячи з</w:t>
      </w:r>
      <w:r w:rsidRPr="00C72BC9">
        <w:rPr>
          <w:lang w:val="uk-UA"/>
        </w:rPr>
        <w:t xml:space="preserve"> досвіду інших операцій Світового банку, оглядів існуючих механізмів аналізу та прогнозування, оприлюдненої інформації та звітів, а також візитів до навчальних закладів, де в попередні роки було зведено захисні споруди. Для отримання до</w:t>
      </w:r>
      <w:r w:rsidR="007C1288">
        <w:rPr>
          <w:lang w:val="uk-UA"/>
        </w:rPr>
        <w:t>даткової інформації для цілей підготовки</w:t>
      </w:r>
      <w:r w:rsidRPr="00C72BC9">
        <w:rPr>
          <w:lang w:val="uk-UA"/>
        </w:rPr>
        <w:t xml:space="preserve"> цього документа, перед проведенням оцінювання будуть проведені консультації з широким колом зацікавлених сторін та стейкхолдерів. </w:t>
      </w:r>
      <w:r w:rsidR="00355592">
        <w:rPr>
          <w:lang w:val="uk-UA"/>
        </w:rPr>
        <w:t>Через воєнний стан</w:t>
      </w:r>
      <w:r w:rsidRPr="00C72BC9">
        <w:rPr>
          <w:lang w:val="uk-UA"/>
        </w:rPr>
        <w:t xml:space="preserve"> </w:t>
      </w:r>
      <w:r w:rsidR="007C1288" w:rsidRPr="00C72BC9">
        <w:rPr>
          <w:lang w:val="uk-UA"/>
        </w:rPr>
        <w:t xml:space="preserve">особисті консультації </w:t>
      </w:r>
      <w:r w:rsidR="007C1288">
        <w:rPr>
          <w:lang w:val="uk-UA"/>
        </w:rPr>
        <w:t>вірогідно будуть</w:t>
      </w:r>
      <w:r w:rsidRPr="00C72BC9">
        <w:rPr>
          <w:lang w:val="uk-UA"/>
        </w:rPr>
        <w:t xml:space="preserve"> обмежен</w:t>
      </w:r>
      <w:r w:rsidR="007C1288">
        <w:rPr>
          <w:lang w:val="uk-UA"/>
        </w:rPr>
        <w:t>ими</w:t>
      </w:r>
      <w:r w:rsidRPr="00C72BC9">
        <w:rPr>
          <w:lang w:val="uk-UA"/>
        </w:rPr>
        <w:t>; основною формою консультацій будуть онлайн-консультації.</w:t>
      </w:r>
      <w:r w:rsidR="003C1E23" w:rsidRPr="00C72BC9">
        <w:rPr>
          <w:lang w:val="uk-UA"/>
        </w:rPr>
        <w:t xml:space="preserve">  </w:t>
      </w:r>
    </w:p>
    <w:p w14:paraId="2039A897" w14:textId="4BB8891B" w:rsidR="003C1E23" w:rsidRPr="00C72BC9" w:rsidRDefault="005A023B" w:rsidP="003C1E23">
      <w:pPr>
        <w:jc w:val="both"/>
        <w:rPr>
          <w:lang w:val="uk-UA"/>
        </w:rPr>
      </w:pPr>
      <w:r w:rsidRPr="00C72BC9">
        <w:rPr>
          <w:b/>
          <w:bCs/>
          <w:lang w:val="uk-UA"/>
        </w:rPr>
        <w:t>Екологічні ризики оцінюються як Суттєві</w:t>
      </w:r>
      <w:r w:rsidR="003C1E23" w:rsidRPr="00C72BC9">
        <w:rPr>
          <w:lang w:val="uk-UA"/>
        </w:rPr>
        <w:t xml:space="preserve">. </w:t>
      </w:r>
      <w:r w:rsidR="000B14FB" w:rsidRPr="00C72BC9">
        <w:rPr>
          <w:lang w:val="uk-UA"/>
        </w:rPr>
        <w:t xml:space="preserve">Екологічні ризики та впливи здебільшого стосуються будівельних робіт, пов'язаних з проєктом (для відновлення / облаштування інфраструктури / встановлення обладнання), а також питань, пов'язаних зі шкільними автобусами. Ризики, пов'язані з відновленням та будівництвом, включають потенційне збільшення </w:t>
      </w:r>
      <w:r w:rsidR="007C1288">
        <w:rPr>
          <w:lang w:val="uk-UA"/>
        </w:rPr>
        <w:t xml:space="preserve">рівня </w:t>
      </w:r>
      <w:r w:rsidR="000B14FB" w:rsidRPr="00C72BC9">
        <w:rPr>
          <w:lang w:val="uk-UA"/>
        </w:rPr>
        <w:t>заб</w:t>
      </w:r>
      <w:r w:rsidR="00355592">
        <w:rPr>
          <w:lang w:val="uk-UA"/>
        </w:rPr>
        <w:t>руднення через неналежне використання</w:t>
      </w:r>
      <w:r w:rsidR="000B14FB" w:rsidRPr="00C72BC9">
        <w:rPr>
          <w:lang w:val="uk-UA"/>
        </w:rPr>
        <w:t>, поводження та зберігання будівельних матеріалів і відходів; тимчасовий вплив на систему перехресного водовідведення; вплив на якість води/ґрунту у разі забруднення під час будівництва, а також навантаження на навколишнє середовище, спричинене постачанням будівельних матеріалів</w:t>
      </w:r>
      <w:r w:rsidR="003C1E23" w:rsidRPr="00C72BC9">
        <w:rPr>
          <w:lang w:val="uk-UA"/>
        </w:rPr>
        <w:t xml:space="preserve">; </w:t>
      </w:r>
      <w:r w:rsidR="000B14FB" w:rsidRPr="00C72BC9">
        <w:rPr>
          <w:lang w:val="uk-UA"/>
        </w:rPr>
        <w:t xml:space="preserve">утворення надмірного рівня шуму та пилу від вантажівок та іншої будівельної техніки; порушення ґрунту під час земляних робіт; вирубка дерев та втрата рослинності; негативний вплив на екосистеми (через </w:t>
      </w:r>
      <w:r w:rsidR="001C65EB">
        <w:rPr>
          <w:lang w:val="uk-UA"/>
        </w:rPr>
        <w:t xml:space="preserve">їх </w:t>
      </w:r>
      <w:r w:rsidR="000B14FB" w:rsidRPr="00C72BC9">
        <w:rPr>
          <w:lang w:val="uk-UA"/>
        </w:rPr>
        <w:t>порушення); проблеми з безпекою дорожнього руху; інциденти, пов'язані зі здоров'ям та безпекою громади та робітників. Ризики, пов'язані з експлуатацією шк</w:t>
      </w:r>
      <w:r w:rsidR="001C65EB">
        <w:rPr>
          <w:lang w:val="uk-UA"/>
        </w:rPr>
        <w:t>ільних автобусів, включають проє</w:t>
      </w:r>
      <w:r w:rsidR="000B14FB" w:rsidRPr="00C72BC9">
        <w:rPr>
          <w:lang w:val="uk-UA"/>
        </w:rPr>
        <w:t>ктув</w:t>
      </w:r>
      <w:r w:rsidR="005B44AD">
        <w:rPr>
          <w:lang w:val="uk-UA"/>
        </w:rPr>
        <w:t>ання та функціональне розташування</w:t>
      </w:r>
      <w:r w:rsidR="000B14FB" w:rsidRPr="00C72BC9">
        <w:rPr>
          <w:lang w:val="uk-UA"/>
        </w:rPr>
        <w:t xml:space="preserve"> нових об'єктів (укриттів) та обладнання для забезпечення належних умов охорони праці, здоров'я та безпеки громади; а також практики поводження з побутовими та органічними відходами</w:t>
      </w:r>
      <w:r w:rsidR="003C1E23" w:rsidRPr="00C72BC9">
        <w:rPr>
          <w:lang w:val="uk-UA"/>
        </w:rPr>
        <w:t xml:space="preserve">. </w:t>
      </w:r>
      <w:r w:rsidR="000B14FB" w:rsidRPr="00C72BC9">
        <w:rPr>
          <w:lang w:val="uk-UA"/>
        </w:rPr>
        <w:t>Ці ризики є тимчасовими та специфічними для конкретних об'єктів і можуть бути зменшені за допомогою існуючих передових практик управління будівн</w:t>
      </w:r>
      <w:r w:rsidR="005B44AD">
        <w:rPr>
          <w:lang w:val="uk-UA"/>
        </w:rPr>
        <w:t>ицтвом та техніки безпеки й охорони праці</w:t>
      </w:r>
      <w:r w:rsidR="000B14FB" w:rsidRPr="00C72BC9">
        <w:rPr>
          <w:lang w:val="uk-UA"/>
        </w:rPr>
        <w:t xml:space="preserve">. Однак ці ризики можуть посилитися через потенційні повітряні </w:t>
      </w:r>
      <w:r w:rsidR="005B44AD">
        <w:rPr>
          <w:lang w:val="uk-UA"/>
        </w:rPr>
        <w:t>удари та інші військові дії, що</w:t>
      </w:r>
      <w:r w:rsidR="000B14FB" w:rsidRPr="00C72BC9">
        <w:rPr>
          <w:lang w:val="uk-UA"/>
        </w:rPr>
        <w:t xml:space="preserve"> додають елемент надзвичайної невизначеності та ризику загибелі або серйозних травм, які неможливо повністю мінімізувати за допомогою заходів екологічного та соціального менеджменту. Крім того</w:t>
      </w:r>
      <w:r w:rsidR="005B44AD">
        <w:rPr>
          <w:lang w:val="uk-UA"/>
        </w:rPr>
        <w:t xml:space="preserve">, існує ризик того, що </w:t>
      </w:r>
      <w:r w:rsidR="000B14FB" w:rsidRPr="00C72BC9">
        <w:rPr>
          <w:lang w:val="uk-UA"/>
        </w:rPr>
        <w:t>майданчики</w:t>
      </w:r>
      <w:r w:rsidR="005B44AD">
        <w:rPr>
          <w:lang w:val="uk-UA"/>
        </w:rPr>
        <w:t xml:space="preserve"> проєкту</w:t>
      </w:r>
      <w:r w:rsidR="000B14FB" w:rsidRPr="00C72BC9">
        <w:rPr>
          <w:lang w:val="uk-UA"/>
        </w:rPr>
        <w:t xml:space="preserve"> можуть стати мішенню для повітряних ударів, що </w:t>
      </w:r>
      <w:r w:rsidR="00355592">
        <w:rPr>
          <w:lang w:val="uk-UA"/>
        </w:rPr>
        <w:t>поставить під загрозу сусідні</w:t>
      </w:r>
      <w:r w:rsidR="000B14FB" w:rsidRPr="00C72BC9">
        <w:rPr>
          <w:lang w:val="uk-UA"/>
        </w:rPr>
        <w:t xml:space="preserve"> громади та працівників на </w:t>
      </w:r>
      <w:r w:rsidR="000B14FB" w:rsidRPr="00C72BC9">
        <w:rPr>
          <w:lang w:val="uk-UA"/>
        </w:rPr>
        <w:lastRenderedPageBreak/>
        <w:t>майданчиках. Інші ризики, пов'язані з війною, включають можливе забруднення території небезпечними сполуками та ВЗВ</w:t>
      </w:r>
      <w:r w:rsidR="003C1E23" w:rsidRPr="00C72BC9">
        <w:rPr>
          <w:lang w:val="uk-UA"/>
        </w:rPr>
        <w:t>.</w:t>
      </w:r>
    </w:p>
    <w:p w14:paraId="5F056253" w14:textId="5B8AA328" w:rsidR="003C1E23" w:rsidRPr="00C848F3" w:rsidRDefault="00C72BC9" w:rsidP="00C72BC9">
      <w:pPr>
        <w:jc w:val="both"/>
        <w:rPr>
          <w:lang w:val="uk-UA"/>
        </w:rPr>
      </w:pPr>
      <w:r w:rsidRPr="00C848F3">
        <w:rPr>
          <w:b/>
          <w:bCs/>
          <w:lang w:val="uk-UA"/>
        </w:rPr>
        <w:t>Соціальні ризики оцінюються як Суттєві</w:t>
      </w:r>
      <w:r w:rsidR="003C1E23" w:rsidRPr="00C848F3">
        <w:rPr>
          <w:b/>
          <w:bCs/>
          <w:lang w:val="uk-UA"/>
        </w:rPr>
        <w:t>.</w:t>
      </w:r>
      <w:r w:rsidR="003C1E23" w:rsidRPr="00C848F3">
        <w:rPr>
          <w:lang w:val="uk-UA"/>
        </w:rPr>
        <w:t xml:space="preserve">  </w:t>
      </w:r>
      <w:r w:rsidRPr="00C848F3">
        <w:rPr>
          <w:lang w:val="uk-UA"/>
        </w:rPr>
        <w:t>Запропонована операція матиме позитивний соціальний ефект завдяки розширенню доступу до очного навчання та покращенню умов викладання і навчання в Україні. Однак, операція впроваджується у вкрай нестабільному контексті, а ризики для здоров'я населення та працівників, а також ризики для безпеки в</w:t>
      </w:r>
      <w:r w:rsidR="005B44AD">
        <w:rPr>
          <w:lang w:val="uk-UA"/>
        </w:rPr>
        <w:t xml:space="preserve"> освітньому секторі є високими.</w:t>
      </w:r>
      <w:r w:rsidRPr="00C848F3">
        <w:rPr>
          <w:lang w:val="uk-UA"/>
        </w:rPr>
        <w:t xml:space="preserve"> Ці ризики значною мірою залежать від контексту, перебувають поза безпосереднім контролем позичальника, і операція покликана допомогти пом'якшити їхній вплив на систему освіти в Україні та підвищити її стійкість до майбутніх потрясінь. Основні потенційні негативні соціальні наслідки пов'язані з будівництвом та відновленням приблизно 286 захисних споруд на території існуючих шкіл, які підтримуют</w:t>
      </w:r>
      <w:r w:rsidR="005B44AD">
        <w:rPr>
          <w:lang w:val="uk-UA"/>
        </w:rPr>
        <w:t>ься в рамках Компоненту 1 PforR.</w:t>
      </w:r>
      <w:r w:rsidRPr="00C848F3">
        <w:rPr>
          <w:lang w:val="uk-UA"/>
        </w:rPr>
        <w:t xml:space="preserve"> </w:t>
      </w:r>
      <w:r w:rsidR="005B44AD">
        <w:rPr>
          <w:lang w:val="uk-UA"/>
        </w:rPr>
        <w:t>Н</w:t>
      </w:r>
      <w:r w:rsidRPr="00C848F3">
        <w:rPr>
          <w:lang w:val="uk-UA"/>
        </w:rPr>
        <w:t>априклад, якщо споруди будуть побудовані неналежним чином, це може призвести до обвалу або травмування під час експлу</w:t>
      </w:r>
      <w:r w:rsidR="005B44AD">
        <w:rPr>
          <w:lang w:val="uk-UA"/>
        </w:rPr>
        <w:t>атації, або якщо роботи впливатимуть</w:t>
      </w:r>
      <w:r w:rsidRPr="00C848F3">
        <w:rPr>
          <w:lang w:val="uk-UA"/>
        </w:rPr>
        <w:t xml:space="preserve"> на здоров'я та б</w:t>
      </w:r>
      <w:r w:rsidR="005B44AD">
        <w:rPr>
          <w:lang w:val="uk-UA"/>
        </w:rPr>
        <w:t>езпеку працівників та громади (</w:t>
      </w:r>
      <w:r w:rsidRPr="00C848F3">
        <w:rPr>
          <w:lang w:val="uk-UA"/>
        </w:rPr>
        <w:t>включно з дітьми, які навчаються на території шкіл). Придбання земельних ділянок буде виключено з програми. Інші соціальні ризики програми пов'язані з забезпеченням того, щоб блага (наприклад, укриття в школах, шкільні автобуси, підручники, підготовка вчителів) були інклюзивними та доступними для вразливих осіб і груп, наприклад, шляхом охоплення найбідніших дітей та д</w:t>
      </w:r>
      <w:r w:rsidR="00CD3257" w:rsidRPr="00C848F3">
        <w:rPr>
          <w:lang w:val="uk-UA"/>
        </w:rPr>
        <w:t>ітей з обмеженими можливостями.</w:t>
      </w:r>
    </w:p>
    <w:p w14:paraId="6C99F034" w14:textId="4AEC2809" w:rsidR="003C1E23" w:rsidRPr="00C848F3" w:rsidRDefault="005B44AD" w:rsidP="003C1E23">
      <w:pPr>
        <w:jc w:val="both"/>
        <w:rPr>
          <w:lang w:val="uk-UA"/>
        </w:rPr>
      </w:pPr>
      <w:r>
        <w:rPr>
          <w:b/>
          <w:bCs/>
          <w:lang w:val="uk-UA"/>
        </w:rPr>
        <w:t>С</w:t>
      </w:r>
      <w:r w:rsidR="000954B6" w:rsidRPr="00C848F3">
        <w:rPr>
          <w:b/>
          <w:bCs/>
          <w:lang w:val="uk-UA"/>
        </w:rPr>
        <w:t>истеми</w:t>
      </w:r>
      <w:r>
        <w:rPr>
          <w:b/>
          <w:bCs/>
          <w:lang w:val="uk-UA"/>
        </w:rPr>
        <w:t xml:space="preserve"> екологічного і соціального менеджменту</w:t>
      </w:r>
      <w:r w:rsidR="000954B6" w:rsidRPr="00C848F3">
        <w:rPr>
          <w:b/>
          <w:bCs/>
          <w:lang w:val="uk-UA"/>
        </w:rPr>
        <w:t xml:space="preserve"> для укриттів</w:t>
      </w:r>
      <w:r w:rsidR="003C1E23" w:rsidRPr="00C848F3">
        <w:rPr>
          <w:b/>
          <w:bCs/>
          <w:lang w:val="uk-UA"/>
        </w:rPr>
        <w:t>.</w:t>
      </w:r>
      <w:r w:rsidR="003C1E23" w:rsidRPr="00C848F3">
        <w:rPr>
          <w:lang w:val="uk-UA"/>
        </w:rPr>
        <w:t xml:space="preserve"> </w:t>
      </w:r>
      <w:r w:rsidR="000954B6" w:rsidRPr="00C848F3">
        <w:rPr>
          <w:lang w:val="uk-UA"/>
        </w:rPr>
        <w:t xml:space="preserve">Існують надійні екологічні та соціальні системи для будівництва укриттів, але є прогалини, пов'язані з управлінням підрядниками та моніторингом на субнаціональному та місцевому рівнях.   В Україні існує добре налагоджена система управління екологічними та соціальними наслідками будівельних робіт, закріплена в первинному законодавстві (про оцінку впливу, про умови праці тощо), а також у будівельних, трудових та санітарних нормах і правилах. Деякі аспекти, як-от доступ для людей з обмеженими можливостями, постачання матеріалів, адаптація до клімату тощо, не передбачені законодавством щодо екологічних і соціальних питань, а регулюються нормами </w:t>
      </w:r>
      <w:r>
        <w:rPr>
          <w:lang w:val="uk-UA"/>
        </w:rPr>
        <w:t>проєкт</w:t>
      </w:r>
      <w:r w:rsidR="000954B6" w:rsidRPr="00C848F3">
        <w:rPr>
          <w:lang w:val="uk-UA"/>
        </w:rPr>
        <w:t xml:space="preserve">ування, що додає ще один окремий рівень нагляду/контролю. Для будівництва/модернізації укриттів проведення ОВД не вимагається законом, отже, всі вимоги будуть викладені в загальній проєктній документації (з розділами про заходи з охорони навколишнього середовища (ОВНС) та техніку безпеки й охорону праці (ТБОП), а роль нагляду буде покладена на уповноважену сторону. </w:t>
      </w:r>
      <w:r w:rsidR="007D555D" w:rsidRPr="007D555D">
        <w:rPr>
          <w:lang w:val="uk-UA"/>
        </w:rPr>
        <w:t>Вони отримують фінансові звіти про реалізацію, але наразі не мають повноважень здійснювати моніторинг будівництва, а прогалини в системі існують через обмеженість можливостей на місцевому рівні щодо управління підрядниками та забезпечення дотримання нормативних вимог з боку Міністерства інфраструктури та Міністерства захисту довкілля та природних ресурсів</w:t>
      </w:r>
      <w:r w:rsidR="000954B6" w:rsidRPr="00C848F3">
        <w:rPr>
          <w:lang w:val="uk-UA"/>
        </w:rPr>
        <w:t>. Крім того, бенефіціарам субвенції (школам, місцевим адміністраціям) відводиться дуже незначна роль у моніторингу, зокрема через брак технічних знань</w:t>
      </w:r>
      <w:r w:rsidR="003C1E23" w:rsidRPr="00C848F3">
        <w:rPr>
          <w:lang w:val="uk-UA"/>
        </w:rPr>
        <w:t xml:space="preserve">. </w:t>
      </w:r>
      <w:r w:rsidR="000954B6" w:rsidRPr="00C848F3">
        <w:rPr>
          <w:lang w:val="uk-UA"/>
        </w:rPr>
        <w:t>Це призводить до подекуди незадовільних результатів у сфері охорони здор</w:t>
      </w:r>
      <w:r w:rsidR="007D555D">
        <w:rPr>
          <w:lang w:val="uk-UA"/>
        </w:rPr>
        <w:t>ов'я та безпеки громади, а також</w:t>
      </w:r>
      <w:r w:rsidR="000954B6" w:rsidRPr="00C848F3">
        <w:rPr>
          <w:lang w:val="uk-UA"/>
        </w:rPr>
        <w:t xml:space="preserve"> техніки безпеки й охорони праці (відсутність огорожі майданчика, недостатнє використання ЗІЗ, невідповідність графіку роботи, недотримання протоколів безпеки тощо), поводження з відходами (неналежне зберігання будівельних та небезпечних відходів), звітування про інциденти та ін</w:t>
      </w:r>
      <w:r w:rsidR="003C1E23" w:rsidRPr="00C848F3">
        <w:rPr>
          <w:lang w:val="uk-UA"/>
        </w:rPr>
        <w:t xml:space="preserve">.  </w:t>
      </w:r>
      <w:r w:rsidR="007D555D">
        <w:rPr>
          <w:lang w:val="uk-UA"/>
        </w:rPr>
        <w:t>Для усунення</w:t>
      </w:r>
      <w:r w:rsidR="000E165A" w:rsidRPr="00C848F3">
        <w:rPr>
          <w:lang w:val="uk-UA"/>
        </w:rPr>
        <w:t xml:space="preserve"> прогалин</w:t>
      </w:r>
      <w:r w:rsidR="007D555D">
        <w:rPr>
          <w:lang w:val="uk-UA"/>
        </w:rPr>
        <w:t xml:space="preserve"> у системі</w:t>
      </w:r>
      <w:r w:rsidR="000E165A" w:rsidRPr="00C848F3">
        <w:rPr>
          <w:lang w:val="uk-UA"/>
        </w:rPr>
        <w:t xml:space="preserve"> МОН планує включити Контрольний перелік Плану екологічного і соціального менеджменту (розроблений відповідно до Основних принципів Світового банку та Керівних принципів </w:t>
      </w:r>
      <w:r w:rsidR="007D555D">
        <w:rPr>
          <w:lang w:val="uk-UA"/>
        </w:rPr>
        <w:t>щодо санітарного стану довкілля та екологічної безпеки</w:t>
      </w:r>
      <w:r w:rsidR="000E165A" w:rsidRPr="00C848F3">
        <w:rPr>
          <w:lang w:val="uk-UA"/>
        </w:rPr>
        <w:t xml:space="preserve">) до постанови про виділення субвенції на шкільні укриття. Метою контрольного переліку ПЕСМ є інформування широкої аудиторії (підрядників, робітників, представників місцевої адміністрації, працівників шкіл, батьків) про чинні нормативні акти та необхідні заходи з пом'якшення екологічних і соціальних наслідків. Контрольний перелік ПЕСМ містить інструкції для адміністратора </w:t>
      </w:r>
      <w:r>
        <w:rPr>
          <w:lang w:val="uk-UA"/>
        </w:rPr>
        <w:t>проєкт</w:t>
      </w:r>
      <w:r w:rsidR="000E165A" w:rsidRPr="00C848F3">
        <w:rPr>
          <w:lang w:val="uk-UA"/>
        </w:rPr>
        <w:t>у щодо його використання та окреслює заходи для уникнення та мінімізації потенційних ризиків та негативного впливу на довкілля, а також здоров'я та безпеку громади та працівників, у тому числі дітей на шкільних майданчиках, під час будівельних робіт. Необхідне подальше розповсюдження інформації та навчання підрядників та місцевих органів влади щодо використання Контрольного переліку ПЕСМ.</w:t>
      </w:r>
      <w:r w:rsidR="003C1E23" w:rsidRPr="00C848F3">
        <w:rPr>
          <w:lang w:val="uk-UA"/>
        </w:rPr>
        <w:t xml:space="preserve">    </w:t>
      </w:r>
    </w:p>
    <w:p w14:paraId="68A0E3DD" w14:textId="2EE30326" w:rsidR="003C1E23" w:rsidRPr="00D51079" w:rsidRDefault="00C848F3" w:rsidP="003C1E23">
      <w:pPr>
        <w:jc w:val="both"/>
        <w:rPr>
          <w:lang w:val="uk-UA"/>
        </w:rPr>
      </w:pPr>
      <w:r w:rsidRPr="00D51079">
        <w:rPr>
          <w:lang w:val="uk-UA"/>
        </w:rPr>
        <w:lastRenderedPageBreak/>
        <w:t>Програ</w:t>
      </w:r>
      <w:r w:rsidR="007D555D">
        <w:rPr>
          <w:lang w:val="uk-UA"/>
        </w:rPr>
        <w:t>ма підтримуватиме бюджетне фінансування</w:t>
      </w:r>
      <w:r w:rsidRPr="00D51079">
        <w:rPr>
          <w:lang w:val="uk-UA"/>
        </w:rPr>
        <w:t xml:space="preserve"> на буді</w:t>
      </w:r>
      <w:r w:rsidR="007949EE">
        <w:rPr>
          <w:lang w:val="uk-UA"/>
        </w:rPr>
        <w:t>вництво укриттів, доступ до якого</w:t>
      </w:r>
      <w:r w:rsidRPr="00D51079">
        <w:rPr>
          <w:lang w:val="uk-UA"/>
        </w:rPr>
        <w:t xml:space="preserve"> надаватиметься на підставі заявок, поданих місцевими органами влади до МОН.  Процес подання заявок та затвердження бюджетних субвенцій регулюється Постановою Кабінету Міністрів України </w:t>
      </w:r>
      <w:r w:rsidR="007949EE">
        <w:rPr>
          <w:lang w:val="uk-UA"/>
        </w:rPr>
        <w:t>«</w:t>
      </w:r>
      <w:r w:rsidR="007949EE" w:rsidRPr="007949EE">
        <w:rPr>
          <w:lang w:val="uk-UA"/>
        </w:rPr>
        <w:t>Деякі питання надання субвенції з державного бюджету місцевим бюджетам на облаштування безпечних умов у закладах, що надають загальну середню освіту</w:t>
      </w:r>
      <w:r w:rsidR="007949EE">
        <w:rPr>
          <w:lang w:val="uk-UA"/>
        </w:rPr>
        <w:t>»</w:t>
      </w:r>
      <w:r w:rsidR="003C1E23" w:rsidRPr="00D51079">
        <w:rPr>
          <w:lang w:val="uk-UA"/>
        </w:rPr>
        <w:t xml:space="preserve">.  </w:t>
      </w:r>
      <w:r w:rsidRPr="00D51079">
        <w:rPr>
          <w:lang w:val="uk-UA"/>
        </w:rPr>
        <w:t>Постанова визна</w:t>
      </w:r>
      <w:r w:rsidR="007949EE">
        <w:rPr>
          <w:lang w:val="uk-UA"/>
        </w:rPr>
        <w:t>чає географічні райони, де дозволено</w:t>
      </w:r>
      <w:r w:rsidRPr="00D51079">
        <w:rPr>
          <w:lang w:val="uk-UA"/>
        </w:rPr>
        <w:t xml:space="preserve"> будувати укриття на основі затверджених зон безпеки та захисту (тобто близькість до районів, де існують проблеми з безпекою). Постанова 2024 року запроваджує нові критерії оцінювання та ухвалення рішень щодо заявок на основі фінансової стійкості, готовності проєкту, а також того, де кошти найбільше потрібні для відновлення або продовження очного навчання в районах, наближених до лінії фронту, або в районах, які знову перебувають під контролем уряду, та інших чинників</w:t>
      </w:r>
      <w:r w:rsidR="003C1E23" w:rsidRPr="00D51079">
        <w:rPr>
          <w:lang w:val="uk-UA"/>
        </w:rPr>
        <w:t xml:space="preserve">. </w:t>
      </w:r>
      <w:r w:rsidRPr="00D51079">
        <w:rPr>
          <w:lang w:val="uk-UA"/>
        </w:rPr>
        <w:t xml:space="preserve">Громади з нижчим рівнем податкової спроможності отримають додаткові бали для забезпечення справедливого розподілу коштів. МОН використовуватиме </w:t>
      </w:r>
      <w:r w:rsidR="007949EE">
        <w:rPr>
          <w:lang w:val="uk-UA"/>
        </w:rPr>
        <w:t>Єдину ц</w:t>
      </w:r>
      <w:r w:rsidRPr="00D51079">
        <w:rPr>
          <w:lang w:val="uk-UA"/>
        </w:rPr>
        <w:t>ифрову інтегровану інформаційно-аналітичну систему (DREAM) для ранжування заявок та сприяння прозорому прийняттю рішень. ESSA рекомендує розробити критерії відбору для майбутніх субвенцій на укриття з урахуванням соціально-економічних чинників</w:t>
      </w:r>
      <w:r w:rsidR="003C1E23" w:rsidRPr="00D51079">
        <w:rPr>
          <w:lang w:val="uk-UA"/>
        </w:rPr>
        <w:t xml:space="preserve">.  </w:t>
      </w:r>
    </w:p>
    <w:p w14:paraId="7F52818E" w14:textId="687ACCC0" w:rsidR="003C1E23" w:rsidRPr="00D51079" w:rsidRDefault="00C848F3" w:rsidP="003C1E23">
      <w:pPr>
        <w:jc w:val="both"/>
        <w:rPr>
          <w:lang w:val="uk-UA"/>
        </w:rPr>
      </w:pPr>
      <w:r w:rsidRPr="00D51079">
        <w:rPr>
          <w:b/>
          <w:bCs/>
          <w:lang w:val="uk-UA"/>
        </w:rPr>
        <w:t xml:space="preserve">Оцінка </w:t>
      </w:r>
      <w:r w:rsidR="009D0844">
        <w:rPr>
          <w:b/>
          <w:bCs/>
          <w:lang w:val="uk-UA"/>
        </w:rPr>
        <w:t>систем екологічного і соціального менеджменту</w:t>
      </w:r>
      <w:r w:rsidRPr="00D51079">
        <w:rPr>
          <w:b/>
          <w:bCs/>
          <w:lang w:val="uk-UA"/>
        </w:rPr>
        <w:t xml:space="preserve"> для шкільних автобусів</w:t>
      </w:r>
      <w:r w:rsidR="003C1E23" w:rsidRPr="00D51079">
        <w:rPr>
          <w:b/>
          <w:bCs/>
          <w:lang w:val="uk-UA"/>
        </w:rPr>
        <w:t>.</w:t>
      </w:r>
      <w:r w:rsidR="003C1E23" w:rsidRPr="00D51079">
        <w:rPr>
          <w:lang w:val="uk-UA"/>
        </w:rPr>
        <w:t xml:space="preserve"> </w:t>
      </w:r>
      <w:r w:rsidRPr="00D51079">
        <w:rPr>
          <w:lang w:val="uk-UA"/>
        </w:rPr>
        <w:t>Програма також підтримуватиме</w:t>
      </w:r>
      <w:r w:rsidR="009D0844">
        <w:rPr>
          <w:lang w:val="uk-UA"/>
        </w:rPr>
        <w:t xml:space="preserve"> надання бюджетної</w:t>
      </w:r>
      <w:r w:rsidRPr="00D51079">
        <w:rPr>
          <w:lang w:val="uk-UA"/>
        </w:rPr>
        <w:t xml:space="preserve"> субвенції закладам загальної середньої освіти на придбання </w:t>
      </w:r>
      <w:r w:rsidR="009D0844">
        <w:rPr>
          <w:lang w:val="uk-UA"/>
        </w:rPr>
        <w:t>шкільних автобусів для забезпечення</w:t>
      </w:r>
      <w:r w:rsidRPr="00D51079">
        <w:rPr>
          <w:lang w:val="uk-UA"/>
        </w:rPr>
        <w:t xml:space="preserve"> очного навчання шляхом вирішення транспортних проблем.  Постанова Кабінету Міністрів України </w:t>
      </w:r>
      <w:r w:rsidR="009D0844">
        <w:rPr>
          <w:lang w:val="uk-UA"/>
        </w:rPr>
        <w:t>«</w:t>
      </w:r>
      <w:r w:rsidR="009D0844" w:rsidRPr="009D0844">
        <w:rPr>
          <w:lang w:val="uk-UA"/>
        </w:rPr>
        <w:t>Деякі питання надання субвенції з державного бюджету місцевим бюджетам на придбання шкільних автобусів</w:t>
      </w:r>
      <w:r w:rsidR="009D0844">
        <w:rPr>
          <w:lang w:val="uk-UA"/>
        </w:rPr>
        <w:t xml:space="preserve">» </w:t>
      </w:r>
      <w:r w:rsidRPr="00D51079">
        <w:rPr>
          <w:lang w:val="uk-UA"/>
        </w:rPr>
        <w:t>була прийнята урядом і буде введена в дію</w:t>
      </w:r>
      <w:r w:rsidR="003C1E23" w:rsidRPr="00D51079">
        <w:rPr>
          <w:lang w:val="uk-UA"/>
        </w:rPr>
        <w:t xml:space="preserve">. </w:t>
      </w:r>
      <w:r w:rsidRPr="00D51079">
        <w:rPr>
          <w:lang w:val="uk-UA"/>
        </w:rPr>
        <w:t xml:space="preserve">Постанова про шкільні автобуси містить посилання на вимоги до таких автобусів, </w:t>
      </w:r>
      <w:r w:rsidR="009D0844">
        <w:rPr>
          <w:lang w:val="uk-UA"/>
        </w:rPr>
        <w:t xml:space="preserve">в ній також зазначені </w:t>
      </w:r>
      <w:r w:rsidR="009D0844" w:rsidRPr="00D51079">
        <w:rPr>
          <w:lang w:val="uk-UA"/>
        </w:rPr>
        <w:t>відповідні українські стандарти</w:t>
      </w:r>
      <w:r w:rsidR="009D0844">
        <w:rPr>
          <w:lang w:val="uk-UA"/>
        </w:rPr>
        <w:t>, у разі</w:t>
      </w:r>
      <w:r w:rsidRPr="00D51079">
        <w:rPr>
          <w:lang w:val="uk-UA"/>
        </w:rPr>
        <w:t xml:space="preserve"> якщо школа має учнів з обмеженою мобільністю і бажає придбати автобус для перевезення інвалідних візків. ESSA рекомендує МОН провести додаткову оцінку потреб у перевезенні дітей з інвалідністю разом із відповідними зацікавленими сторонами та видати додаткові інструкції обласним/районним</w:t>
      </w:r>
      <w:r w:rsidR="00AB33AE" w:rsidRPr="00D51079">
        <w:rPr>
          <w:lang w:val="uk-UA"/>
        </w:rPr>
        <w:t xml:space="preserve"> органам влади з цього приводу. ESSA також рекомендує всім школам розробити протоколи безпеки (Плани готовності до надзвичайних ситуацій та реагування на них) на випадок воєнних загроз (наприклад, повітряних ударів), які можуть виникнути під час перевезення. Протоколи технічного обслуговування та вимоги до кваліфікації водіїв охоплюються чинним національним законодавством щодо безпеки дорожнього руху та ін</w:t>
      </w:r>
      <w:r w:rsidR="003C1E23" w:rsidRPr="00D51079">
        <w:rPr>
          <w:lang w:val="uk-UA"/>
        </w:rPr>
        <w:t>.</w:t>
      </w:r>
    </w:p>
    <w:p w14:paraId="6A1146DC" w14:textId="55B5F7BF" w:rsidR="009C2584" w:rsidRPr="00D51079" w:rsidRDefault="009C2584" w:rsidP="009C2584">
      <w:pPr>
        <w:jc w:val="both"/>
        <w:rPr>
          <w:lang w:val="uk-UA"/>
        </w:rPr>
      </w:pPr>
      <w:r w:rsidRPr="00D51079">
        <w:rPr>
          <w:b/>
          <w:bCs/>
          <w:lang w:val="uk-UA"/>
        </w:rPr>
        <w:t xml:space="preserve">Підготовка вчителів з оцінки екологічних і соціальних систем та </w:t>
      </w:r>
      <w:r w:rsidR="009D0844">
        <w:rPr>
          <w:b/>
          <w:bCs/>
          <w:lang w:val="uk-UA"/>
        </w:rPr>
        <w:t xml:space="preserve">підготовка </w:t>
      </w:r>
      <w:r w:rsidRPr="00D51079">
        <w:rPr>
          <w:b/>
          <w:bCs/>
          <w:lang w:val="uk-UA"/>
        </w:rPr>
        <w:t>підручників з цієї теми</w:t>
      </w:r>
      <w:r w:rsidR="003C1E23" w:rsidRPr="00D51079">
        <w:rPr>
          <w:b/>
          <w:bCs/>
          <w:lang w:val="uk-UA"/>
        </w:rPr>
        <w:t xml:space="preserve">. </w:t>
      </w:r>
      <w:r w:rsidRPr="00D51079">
        <w:rPr>
          <w:lang w:val="uk-UA"/>
        </w:rPr>
        <w:t>Заходи з підготовки вчителів та підручників, що підтримуються Програмою, впроваджуються в рамках ширшого розгортання навчальної програми Нової української школи (НУШ). Як зазначено в технічній оцінці, НУШ була розроблена та ініційована у 2018 році,</w:t>
      </w:r>
      <w:r w:rsidR="009D0844">
        <w:rPr>
          <w:lang w:val="uk-UA"/>
        </w:rPr>
        <w:t xml:space="preserve"> і</w:t>
      </w:r>
      <w:r w:rsidRPr="00D51079">
        <w:rPr>
          <w:lang w:val="uk-UA"/>
        </w:rPr>
        <w:t xml:space="preserve"> узгоджена з нормами ЄС та пройшла широкі громадські консультації</w:t>
      </w:r>
      <w:r w:rsidR="003C1E23" w:rsidRPr="00D51079">
        <w:rPr>
          <w:lang w:val="uk-UA"/>
        </w:rPr>
        <w:t xml:space="preserve">. </w:t>
      </w:r>
      <w:r w:rsidRPr="00D51079">
        <w:rPr>
          <w:lang w:val="uk-UA"/>
        </w:rPr>
        <w:t>Екологічних та соціальних ризиків, які б викликали серйозне занепокоєння, не виявлено. Щодо програмної діяльності з підготовки вчителів та підручників: українська нормативно-правова база містить широкий спектр політик та законодавчих актів на різних адміністративних рівнях, що стосуються гендерної та соціальної інтеграції в системі освіти та застосовуються до розробки навчальних матеріалів та інклюзивного доступу до вигод програми для вразливих груп населення. МОН розробило комплексний оперативний план заходів на 2022-2024 роки, який деталізує широкий спектр заходів для підвищення квалі</w:t>
      </w:r>
      <w:r w:rsidR="009D0844">
        <w:rPr>
          <w:lang w:val="uk-UA"/>
        </w:rPr>
        <w:t>фікації та обізнаності працівників в таких сферах</w:t>
      </w:r>
      <w:r w:rsidRPr="00D51079">
        <w:rPr>
          <w:lang w:val="uk-UA"/>
        </w:rPr>
        <w:t xml:space="preserve"> як подолання ґендерних стереотипів, обізнаність щодо ґендерної рівності та ґе</w:t>
      </w:r>
      <w:r w:rsidR="00024450">
        <w:rPr>
          <w:lang w:val="uk-UA"/>
        </w:rPr>
        <w:t xml:space="preserve">ндерно зумовленого насильства. </w:t>
      </w:r>
      <w:r w:rsidRPr="00D51079">
        <w:rPr>
          <w:lang w:val="uk-UA"/>
        </w:rPr>
        <w:t>ESSA рекомендує МОН створити відділ або підрозділ з ґендерних питань з належним кадровим забезпеченням для п</w:t>
      </w:r>
      <w:r w:rsidR="00024450">
        <w:rPr>
          <w:lang w:val="uk-UA"/>
        </w:rPr>
        <w:t>ідтримки реалізації оперативного</w:t>
      </w:r>
      <w:r w:rsidRPr="00D51079">
        <w:rPr>
          <w:lang w:val="uk-UA"/>
        </w:rPr>
        <w:t xml:space="preserve"> плану. ESSA також реком</w:t>
      </w:r>
      <w:r w:rsidR="00024450">
        <w:rPr>
          <w:lang w:val="uk-UA"/>
        </w:rPr>
        <w:t>ендує МОН видати вимоги до кваліфікації</w:t>
      </w:r>
      <w:r w:rsidRPr="00D51079">
        <w:rPr>
          <w:lang w:val="uk-UA"/>
        </w:rPr>
        <w:t xml:space="preserve"> (навчальні програми для підготовки вчителів, підручники тощо) для просування та впровадження можливих заходів з адаптації/ пом'якшення наслідків зміни клімату, практик сталого розвитку тощо.</w:t>
      </w:r>
    </w:p>
    <w:p w14:paraId="2A222E1B" w14:textId="2F7065CD" w:rsidR="003C1E23" w:rsidRPr="0066194E" w:rsidRDefault="00282D80" w:rsidP="003C1E23">
      <w:pPr>
        <w:jc w:val="both"/>
        <w:rPr>
          <w:lang w:val="uk-UA"/>
        </w:rPr>
      </w:pPr>
      <w:r w:rsidRPr="00D51079">
        <w:rPr>
          <w:b/>
          <w:bCs/>
          <w:lang w:val="uk-UA"/>
        </w:rPr>
        <w:t>Залучення зацікавлених сторін та механізм розгляду та врегулювання скарг</w:t>
      </w:r>
      <w:r w:rsidR="003C1E23" w:rsidRPr="00D51079">
        <w:rPr>
          <w:b/>
          <w:bCs/>
          <w:lang w:val="uk-UA"/>
        </w:rPr>
        <w:t>.</w:t>
      </w:r>
      <w:r w:rsidR="003C1E23" w:rsidRPr="00D51079">
        <w:rPr>
          <w:lang w:val="uk-UA"/>
        </w:rPr>
        <w:t xml:space="preserve">  </w:t>
      </w:r>
      <w:r w:rsidRPr="00D51079">
        <w:rPr>
          <w:lang w:val="uk-UA"/>
        </w:rPr>
        <w:t>Існує кілька державних політик та нормативн</w:t>
      </w:r>
      <w:r w:rsidR="00034736">
        <w:rPr>
          <w:lang w:val="uk-UA"/>
        </w:rPr>
        <w:t>о-правових актів, які містять</w:t>
      </w:r>
      <w:r w:rsidRPr="00D51079">
        <w:rPr>
          <w:lang w:val="uk-UA"/>
        </w:rPr>
        <w:t xml:space="preserve"> наскрізні системи взаємодії із зацікавленими сторонами та розкриття інформації за всіма </w:t>
      </w:r>
      <w:r w:rsidR="00034736">
        <w:rPr>
          <w:lang w:val="uk-UA"/>
        </w:rPr>
        <w:t xml:space="preserve">напрямами діяльності програми. </w:t>
      </w:r>
      <w:r w:rsidRPr="00D51079">
        <w:rPr>
          <w:lang w:val="uk-UA"/>
        </w:rPr>
        <w:t xml:space="preserve">На додаток до зобов'язань, покладених на МОН Законами України, які регулюють звернення громадян, Міністерство </w:t>
      </w:r>
      <w:r w:rsidRPr="00D51079">
        <w:rPr>
          <w:lang w:val="uk-UA"/>
        </w:rPr>
        <w:lastRenderedPageBreak/>
        <w:t>має власні механізми комунікації</w:t>
      </w:r>
      <w:r w:rsidR="003C1E23" w:rsidRPr="00D51079">
        <w:rPr>
          <w:lang w:val="uk-UA"/>
        </w:rPr>
        <w:t xml:space="preserve">. </w:t>
      </w:r>
      <w:r w:rsidRPr="00D51079">
        <w:rPr>
          <w:lang w:val="uk-UA"/>
        </w:rPr>
        <w:t>Для задоволення інформаційних потреб громадян МОН активно використовує соціальні мереж</w:t>
      </w:r>
      <w:r w:rsidR="00034736">
        <w:rPr>
          <w:lang w:val="uk-UA"/>
        </w:rPr>
        <w:t>і. У Міністерстві також працює «гаряча лінія»</w:t>
      </w:r>
      <w:r w:rsidRPr="00D51079">
        <w:rPr>
          <w:lang w:val="uk-UA"/>
        </w:rPr>
        <w:t xml:space="preserve"> з питань освіти для громадян з тимчасово непідконтрольних уряду територій. Міністерство активно проводить онлайн-консультації та має спеціальну сторінку на веб-сайті, на якій розміщено підсумки поточних та архівних консультацій</w:t>
      </w:r>
      <w:r w:rsidR="00034736">
        <w:rPr>
          <w:lang w:val="uk-UA"/>
        </w:rPr>
        <w:t xml:space="preserve">. </w:t>
      </w:r>
      <w:r w:rsidRPr="00D51079">
        <w:rPr>
          <w:lang w:val="uk-UA"/>
        </w:rPr>
        <w:t xml:space="preserve">Міністерство також має кілька каналів подання скарг відповідно до українського законодавства, а також </w:t>
      </w:r>
      <w:r w:rsidR="00034736">
        <w:rPr>
          <w:lang w:val="uk-UA"/>
        </w:rPr>
        <w:t>Освітнього омбудсмена</w:t>
      </w:r>
      <w:r w:rsidRPr="00D51079">
        <w:rPr>
          <w:lang w:val="uk-UA"/>
        </w:rPr>
        <w:t xml:space="preserve">, відповідального за медіацію та розгляд скарг.  Українське законодавство не дозволяє подавати анонімні скарги. Будуть надані подальші рекомендації щодо забезпечення доступного, ефективного та конфіденційного механізму розгляду та врегулювання скарг у рамках Програми. З цією метою ESSA рекомендує МОН створити механізм розгляду та врегулювання скарг для програми, включно з каналом для анонімних скарг; підготувати процедури для розгляду скарг щодо ГЗН у конфіденційний, орієнтований на потерпілих та їхню безпеку спосіб, що відповідає належній міжнародній практиці, включно з протоколами </w:t>
      </w:r>
      <w:r w:rsidRPr="0066194E">
        <w:rPr>
          <w:lang w:val="uk-UA"/>
        </w:rPr>
        <w:t>перенаправлення до кваліфікованих надавачів послуг, а також відповідними інструкціями для шкіл</w:t>
      </w:r>
      <w:r w:rsidR="003C1E23" w:rsidRPr="0066194E">
        <w:rPr>
          <w:lang w:val="uk-UA"/>
        </w:rPr>
        <w:t>.</w:t>
      </w:r>
    </w:p>
    <w:p w14:paraId="7C4F791A" w14:textId="32DC2D27" w:rsidR="003C1E23" w:rsidRPr="0066194E" w:rsidRDefault="00A025FF" w:rsidP="003C1E23">
      <w:pPr>
        <w:rPr>
          <w:b/>
          <w:bCs/>
          <w:lang w:val="uk-UA"/>
        </w:rPr>
      </w:pPr>
      <w:r w:rsidRPr="0066194E">
        <w:rPr>
          <w:b/>
          <w:bCs/>
          <w:lang w:val="uk-UA"/>
        </w:rPr>
        <w:t>Висновки та рекомендації</w:t>
      </w:r>
      <w:r w:rsidR="003C1E23" w:rsidRPr="0066194E">
        <w:rPr>
          <w:b/>
          <w:bCs/>
          <w:lang w:val="uk-UA"/>
        </w:rPr>
        <w:t xml:space="preserve">  </w:t>
      </w:r>
    </w:p>
    <w:p w14:paraId="0FE5DC99" w14:textId="713CBEE1" w:rsidR="003C1E23" w:rsidRPr="0066194E" w:rsidRDefault="00A025FF" w:rsidP="003C1E23">
      <w:pPr>
        <w:spacing w:after="0" w:line="240" w:lineRule="auto"/>
        <w:jc w:val="both"/>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t xml:space="preserve">ESSA дійшла висновку, що екологічні і соціальні ризики Програми вважаються належним чином пом'якшеними завдяки заходам, передбаченим у Плані дій та структурі Програми.  Всі рекомендації будуть контролюватися </w:t>
      </w:r>
      <w:r w:rsidR="00085295">
        <w:rPr>
          <w:rFonts w:eastAsia="Times New Roman" w:cstheme="minorHAnsi"/>
          <w:kern w:val="0"/>
          <w:lang w:val="uk-UA"/>
          <w14:ligatures w14:val="none"/>
        </w:rPr>
        <w:t>Б</w:t>
      </w:r>
      <w:r w:rsidR="00085295" w:rsidRPr="0066194E">
        <w:rPr>
          <w:rFonts w:eastAsia="Times New Roman" w:cstheme="minorHAnsi"/>
          <w:kern w:val="0"/>
          <w:lang w:val="uk-UA"/>
          <w14:ligatures w14:val="none"/>
        </w:rPr>
        <w:t xml:space="preserve">анком </w:t>
      </w:r>
      <w:r w:rsidRPr="0066194E">
        <w:rPr>
          <w:rFonts w:eastAsia="Times New Roman" w:cstheme="minorHAnsi"/>
          <w:kern w:val="0"/>
          <w:lang w:val="uk-UA"/>
          <w14:ligatures w14:val="none"/>
        </w:rPr>
        <w:t>протягом усього періоду реалізації</w:t>
      </w:r>
      <w:r w:rsidR="003C1E23" w:rsidRPr="0066194E">
        <w:rPr>
          <w:rFonts w:cstheme="minorHAnsi"/>
          <w:lang w:val="uk-UA"/>
        </w:rPr>
        <w:t>:</w:t>
      </w:r>
    </w:p>
    <w:p w14:paraId="004CA0B1" w14:textId="77777777" w:rsidR="003C1E23" w:rsidRPr="0066194E" w:rsidRDefault="003C1E23" w:rsidP="003C1E23">
      <w:pPr>
        <w:spacing w:after="0" w:line="240" w:lineRule="auto"/>
        <w:jc w:val="both"/>
        <w:textAlignment w:val="baseline"/>
        <w:rPr>
          <w:rFonts w:eastAsia="Times New Roman" w:cstheme="minorHAnsi"/>
          <w:kern w:val="0"/>
          <w:lang w:val="uk-UA"/>
          <w14:ligatures w14:val="none"/>
        </w:rPr>
      </w:pPr>
    </w:p>
    <w:p w14:paraId="16BD683E" w14:textId="3BF4BBB7" w:rsidR="003C1E23" w:rsidRPr="0066194E" w:rsidRDefault="00A025FF" w:rsidP="003C1E23">
      <w:pPr>
        <w:spacing w:after="0" w:line="240" w:lineRule="auto"/>
        <w:jc w:val="both"/>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t>Нижче наведено перелік дій та заходів, пов'язаних з ESSA, які МОН має вжити під час реалізації програми LEARN для покращення ефективності системи</w:t>
      </w:r>
      <w:r w:rsidR="003C1E23" w:rsidRPr="0066194E">
        <w:rPr>
          <w:rFonts w:eastAsia="Times New Roman" w:cstheme="minorHAnsi"/>
          <w:kern w:val="0"/>
          <w:lang w:val="uk-UA"/>
          <w14:ligatures w14:val="none"/>
        </w:rPr>
        <w:t xml:space="preserve">. </w:t>
      </w:r>
    </w:p>
    <w:p w14:paraId="7B54C001" w14:textId="77777777" w:rsidR="003C1E23" w:rsidRPr="0066194E" w:rsidRDefault="003C1E23" w:rsidP="003C1E23">
      <w:pPr>
        <w:spacing w:after="0" w:line="240" w:lineRule="auto"/>
        <w:jc w:val="both"/>
        <w:textAlignment w:val="baseline"/>
        <w:rPr>
          <w:rFonts w:eastAsia="Times New Roman" w:cstheme="minorHAnsi"/>
          <w:kern w:val="0"/>
          <w:lang w:val="uk-UA"/>
          <w14:ligatures w14:val="none"/>
        </w:rPr>
      </w:pPr>
    </w:p>
    <w:tbl>
      <w:tblPr>
        <w:tblStyle w:val="TableGrid"/>
        <w:tblW w:w="9355" w:type="dxa"/>
        <w:tblLook w:val="04A0" w:firstRow="1" w:lastRow="0" w:firstColumn="1" w:lastColumn="0" w:noHBand="0" w:noVBand="1"/>
      </w:tblPr>
      <w:tblGrid>
        <w:gridCol w:w="5755"/>
        <w:gridCol w:w="3600"/>
      </w:tblGrid>
      <w:tr w:rsidR="003C1E23" w:rsidRPr="00947698" w14:paraId="3CED71D4" w14:textId="77777777" w:rsidTr="00062984">
        <w:trPr>
          <w:tblHeader/>
        </w:trPr>
        <w:tc>
          <w:tcPr>
            <w:tcW w:w="5755" w:type="dxa"/>
            <w:shd w:val="clear" w:color="auto" w:fill="0070C0"/>
            <w:vAlign w:val="center"/>
          </w:tcPr>
          <w:p w14:paraId="7D56D862" w14:textId="11D6DC37" w:rsidR="003C1E23" w:rsidRPr="0066194E" w:rsidRDefault="00A025FF" w:rsidP="00062984">
            <w:pPr>
              <w:jc w:val="center"/>
              <w:textAlignment w:val="baseline"/>
              <w:rPr>
                <w:rFonts w:eastAsia="Times New Roman" w:cstheme="minorHAnsi"/>
                <w:b/>
                <w:bCs/>
                <w:color w:val="FFFFFF" w:themeColor="background1"/>
                <w:kern w:val="0"/>
                <w:lang w:val="uk-UA"/>
                <w14:ligatures w14:val="none"/>
              </w:rPr>
            </w:pPr>
            <w:r w:rsidRPr="0066194E">
              <w:rPr>
                <w:rFonts w:eastAsia="Times New Roman" w:cstheme="minorHAnsi"/>
                <w:b/>
                <w:bCs/>
                <w:color w:val="FFFFFF" w:themeColor="background1"/>
                <w:kern w:val="0"/>
                <w:lang w:val="uk-UA"/>
                <w14:ligatures w14:val="none"/>
              </w:rPr>
              <w:t>Діяльність</w:t>
            </w:r>
          </w:p>
        </w:tc>
        <w:tc>
          <w:tcPr>
            <w:tcW w:w="3600" w:type="dxa"/>
            <w:shd w:val="clear" w:color="auto" w:fill="0070C0"/>
            <w:vAlign w:val="center"/>
          </w:tcPr>
          <w:p w14:paraId="07B81AEC" w14:textId="01BC7E87" w:rsidR="003C1E23" w:rsidRPr="0066194E" w:rsidRDefault="00EA538B" w:rsidP="00062984">
            <w:pPr>
              <w:jc w:val="center"/>
              <w:textAlignment w:val="baseline"/>
              <w:rPr>
                <w:rFonts w:eastAsia="Times New Roman" w:cstheme="minorHAnsi"/>
                <w:b/>
                <w:bCs/>
                <w:color w:val="FFFFFF" w:themeColor="background1"/>
                <w:kern w:val="0"/>
                <w:lang w:val="uk-UA"/>
                <w14:ligatures w14:val="none"/>
              </w:rPr>
            </w:pPr>
            <w:r w:rsidRPr="00EA538B">
              <w:rPr>
                <w:rFonts w:eastAsia="Times New Roman" w:cstheme="minorHAnsi"/>
                <w:b/>
                <w:bCs/>
                <w:color w:val="FFFFFF" w:themeColor="background1"/>
                <w:kern w:val="0"/>
                <w:lang w:val="uk-UA"/>
                <w14:ligatures w14:val="none"/>
              </w:rPr>
              <w:t>Включення в розробку проєкту та впровадження перед початком його реалізації</w:t>
            </w:r>
          </w:p>
        </w:tc>
      </w:tr>
      <w:tr w:rsidR="003C1E23" w:rsidRPr="00947698" w14:paraId="45AC4CB0" w14:textId="77777777" w:rsidTr="00062984">
        <w:tc>
          <w:tcPr>
            <w:tcW w:w="5755" w:type="dxa"/>
          </w:tcPr>
          <w:p w14:paraId="7C349E4A" w14:textId="4D3F25BA" w:rsidR="003C1E23" w:rsidRPr="0066194E" w:rsidRDefault="00EA538B" w:rsidP="00062984">
            <w:pPr>
              <w:jc w:val="both"/>
              <w:textAlignment w:val="baseline"/>
              <w:rPr>
                <w:rFonts w:eastAsia="Times New Roman" w:cstheme="minorHAnsi"/>
                <w:kern w:val="0"/>
                <w:lang w:val="uk-UA"/>
                <w14:ligatures w14:val="none"/>
              </w:rPr>
            </w:pPr>
            <w:r>
              <w:rPr>
                <w:rFonts w:cstheme="minorHAnsi"/>
                <w:lang w:val="uk-UA"/>
              </w:rPr>
              <w:t>Розробити вимоги до кваліфікації</w:t>
            </w:r>
            <w:r w:rsidR="00A025FF" w:rsidRPr="0066194E">
              <w:rPr>
                <w:rFonts w:cstheme="minorHAnsi"/>
                <w:lang w:val="uk-UA"/>
              </w:rPr>
              <w:t xml:space="preserve"> (навчальні програми для підготовки вчителів, підручники тощо) для просування та впровадження можливих заходів з адаптації/ пом'якшення наслідків зміни клімату, практик сталого розвитку тощо</w:t>
            </w:r>
            <w:r w:rsidR="003C1E23" w:rsidRPr="0066194E">
              <w:rPr>
                <w:rFonts w:cstheme="minorHAnsi"/>
                <w:lang w:val="uk-UA"/>
              </w:rPr>
              <w:t>.</w:t>
            </w:r>
          </w:p>
        </w:tc>
        <w:tc>
          <w:tcPr>
            <w:tcW w:w="3600" w:type="dxa"/>
          </w:tcPr>
          <w:p w14:paraId="09A979A4" w14:textId="4803856E" w:rsidR="003C1E23" w:rsidRPr="0066194E" w:rsidRDefault="00A025FF" w:rsidP="00062984">
            <w:pPr>
              <w:jc w:val="both"/>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t>Буде включено до протоколів перевірки проєкту та ОПП</w:t>
            </w:r>
          </w:p>
        </w:tc>
      </w:tr>
      <w:tr w:rsidR="003C1E23" w:rsidRPr="00947698" w14:paraId="452CE4F6" w14:textId="77777777" w:rsidTr="00062984">
        <w:tc>
          <w:tcPr>
            <w:tcW w:w="5755" w:type="dxa"/>
          </w:tcPr>
          <w:p w14:paraId="7E06DA0B" w14:textId="3B0C14A9" w:rsidR="003C1E23" w:rsidRPr="0066194E" w:rsidRDefault="00A025FF" w:rsidP="00062984">
            <w:pPr>
              <w:jc w:val="both"/>
              <w:textAlignment w:val="baseline"/>
              <w:rPr>
                <w:rFonts w:eastAsia="Times New Roman" w:cstheme="minorHAnsi"/>
                <w:kern w:val="0"/>
                <w:lang w:val="uk-UA"/>
                <w14:ligatures w14:val="none"/>
              </w:rPr>
            </w:pPr>
            <w:r w:rsidRPr="0066194E">
              <w:rPr>
                <w:rFonts w:cstheme="minorHAnsi"/>
                <w:lang w:val="uk-UA"/>
              </w:rPr>
              <w:t>Розробити рекомендації щодо технічних вимог (для укриттів, шкільних автобусів та ІТ-інфраструктури) для просування та впровадження доцільних заходів з адаптації/ пом'якшення наслідків зміни клімату, практик сталого розвитку тощо.</w:t>
            </w:r>
          </w:p>
        </w:tc>
        <w:tc>
          <w:tcPr>
            <w:tcW w:w="3600" w:type="dxa"/>
          </w:tcPr>
          <w:p w14:paraId="67E7DD97" w14:textId="11BD9FA6" w:rsidR="003C1E23" w:rsidRPr="0066194E" w:rsidRDefault="00A025FF" w:rsidP="00062984">
            <w:pPr>
              <w:jc w:val="both"/>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t>Буде включено до протоколів перевірки проєкту та ОПП</w:t>
            </w:r>
          </w:p>
        </w:tc>
      </w:tr>
      <w:tr w:rsidR="003C1E23" w:rsidRPr="00947698" w14:paraId="0501381C" w14:textId="77777777" w:rsidTr="00062984">
        <w:tc>
          <w:tcPr>
            <w:tcW w:w="5755" w:type="dxa"/>
          </w:tcPr>
          <w:p w14:paraId="66589BEA" w14:textId="7E0619F9" w:rsidR="003C1E23" w:rsidRPr="0066194E" w:rsidRDefault="00FC5273" w:rsidP="00062984">
            <w:pPr>
              <w:jc w:val="both"/>
              <w:textAlignment w:val="baseline"/>
              <w:rPr>
                <w:rFonts w:cstheme="minorHAnsi"/>
                <w:lang w:val="uk-UA"/>
              </w:rPr>
            </w:pPr>
            <w:r w:rsidRPr="0066194E">
              <w:rPr>
                <w:rFonts w:eastAsia="Calibri" w:cstheme="minorHAnsi"/>
                <w:lang w:val="uk-UA"/>
              </w:rPr>
              <w:t>Створити та забезпечити функціонування механізму розгляду та врегулювання скарг для програми на основі ESSA, включно з каналом для анонімних скарг та відповідними інструментами для розгляду скарг щодо СЕН/СД.</w:t>
            </w:r>
          </w:p>
        </w:tc>
        <w:tc>
          <w:tcPr>
            <w:tcW w:w="3600" w:type="dxa"/>
          </w:tcPr>
          <w:p w14:paraId="70624515" w14:textId="13363D10" w:rsidR="003C1E23" w:rsidRPr="0066194E" w:rsidRDefault="00EB05E3" w:rsidP="00062984">
            <w:pPr>
              <w:jc w:val="both"/>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t>Процедури, визначені в ОПП, та регулярне звітування після цього (щоквартальне)</w:t>
            </w:r>
          </w:p>
        </w:tc>
      </w:tr>
    </w:tbl>
    <w:p w14:paraId="613012DD" w14:textId="77777777" w:rsidR="003C1E23" w:rsidRPr="0066194E" w:rsidRDefault="003C1E23" w:rsidP="003C1E23">
      <w:pPr>
        <w:spacing w:after="0" w:line="240" w:lineRule="auto"/>
        <w:jc w:val="both"/>
        <w:textAlignment w:val="baseline"/>
        <w:rPr>
          <w:rFonts w:eastAsia="Times New Roman" w:cstheme="minorHAnsi"/>
          <w:kern w:val="0"/>
          <w:lang w:val="uk-UA"/>
          <w14:ligatures w14:val="none"/>
        </w:rPr>
      </w:pPr>
    </w:p>
    <w:p w14:paraId="0C50959C" w14:textId="40ABCEE9" w:rsidR="003C1E23" w:rsidRPr="0066194E" w:rsidRDefault="00FC5273" w:rsidP="003C1E23">
      <w:pPr>
        <w:spacing w:after="0" w:line="240" w:lineRule="auto"/>
        <w:jc w:val="both"/>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t>Наступні дії, які будуть включені до Плану дій програми (ПДП)</w:t>
      </w:r>
      <w:r w:rsidR="003C1E23" w:rsidRPr="0066194E">
        <w:rPr>
          <w:rFonts w:eastAsia="Times New Roman" w:cstheme="minorHAnsi"/>
          <w:kern w:val="0"/>
          <w:lang w:val="uk-UA"/>
          <w14:ligatures w14:val="none"/>
        </w:rPr>
        <w:t>:</w:t>
      </w:r>
    </w:p>
    <w:p w14:paraId="0A8835AD" w14:textId="77777777" w:rsidR="003C1E23" w:rsidRPr="0066194E" w:rsidRDefault="003C1E23" w:rsidP="003C1E23">
      <w:pPr>
        <w:spacing w:after="0" w:line="240" w:lineRule="auto"/>
        <w:jc w:val="both"/>
        <w:textAlignment w:val="baseline"/>
        <w:rPr>
          <w:rFonts w:eastAsia="Times New Roman" w:cstheme="minorHAnsi"/>
          <w:kern w:val="0"/>
          <w:lang w:val="uk-UA"/>
          <w14:ligatures w14:val="none"/>
        </w:rPr>
      </w:pPr>
    </w:p>
    <w:tbl>
      <w:tblPr>
        <w:tblStyle w:val="TableGrid"/>
        <w:tblW w:w="0" w:type="auto"/>
        <w:tblLook w:val="04A0" w:firstRow="1" w:lastRow="0" w:firstColumn="1" w:lastColumn="0" w:noHBand="0" w:noVBand="1"/>
      </w:tblPr>
      <w:tblGrid>
        <w:gridCol w:w="3406"/>
        <w:gridCol w:w="1922"/>
        <w:gridCol w:w="2080"/>
        <w:gridCol w:w="1994"/>
      </w:tblGrid>
      <w:tr w:rsidR="003C1E23" w:rsidRPr="0066194E" w14:paraId="651CE587" w14:textId="77777777" w:rsidTr="00062984">
        <w:trPr>
          <w:tblHeader/>
        </w:trPr>
        <w:tc>
          <w:tcPr>
            <w:tcW w:w="3406" w:type="dxa"/>
            <w:shd w:val="clear" w:color="auto" w:fill="0070C0"/>
            <w:vAlign w:val="center"/>
          </w:tcPr>
          <w:p w14:paraId="267FE393" w14:textId="5766814D" w:rsidR="003C1E23" w:rsidRPr="0066194E" w:rsidRDefault="00FC5273" w:rsidP="00062984">
            <w:pPr>
              <w:jc w:val="center"/>
              <w:textAlignment w:val="baseline"/>
              <w:rPr>
                <w:rFonts w:eastAsia="Times New Roman" w:cstheme="minorHAnsi"/>
                <w:b/>
                <w:bCs/>
                <w:color w:val="FFFFFF" w:themeColor="background1"/>
                <w:kern w:val="0"/>
                <w:lang w:val="uk-UA"/>
                <w14:ligatures w14:val="none"/>
              </w:rPr>
            </w:pPr>
            <w:r w:rsidRPr="0066194E">
              <w:rPr>
                <w:rFonts w:eastAsia="Times New Roman" w:cstheme="minorHAnsi"/>
                <w:b/>
                <w:bCs/>
                <w:color w:val="FFFFFF" w:themeColor="background1"/>
                <w:kern w:val="0"/>
                <w:lang w:val="uk-UA"/>
                <w14:ligatures w14:val="none"/>
              </w:rPr>
              <w:t>Дія</w:t>
            </w:r>
          </w:p>
        </w:tc>
        <w:tc>
          <w:tcPr>
            <w:tcW w:w="1922" w:type="dxa"/>
            <w:shd w:val="clear" w:color="auto" w:fill="0070C0"/>
            <w:vAlign w:val="center"/>
          </w:tcPr>
          <w:p w14:paraId="134A3AF3" w14:textId="3A230825" w:rsidR="003C1E23" w:rsidRPr="0066194E" w:rsidRDefault="00FC5273" w:rsidP="00062984">
            <w:pPr>
              <w:jc w:val="center"/>
              <w:textAlignment w:val="baseline"/>
              <w:rPr>
                <w:rFonts w:eastAsia="Times New Roman" w:cstheme="minorHAnsi"/>
                <w:b/>
                <w:bCs/>
                <w:color w:val="FFFFFF" w:themeColor="background1"/>
                <w:kern w:val="0"/>
                <w:lang w:val="uk-UA"/>
                <w14:ligatures w14:val="none"/>
              </w:rPr>
            </w:pPr>
            <w:r w:rsidRPr="0066194E">
              <w:rPr>
                <w:rFonts w:eastAsia="Times New Roman" w:cstheme="minorHAnsi"/>
                <w:b/>
                <w:bCs/>
                <w:color w:val="FFFFFF" w:themeColor="background1"/>
                <w:kern w:val="0"/>
                <w:lang w:val="uk-UA"/>
                <w14:ligatures w14:val="none"/>
              </w:rPr>
              <w:t>Відповідальні</w:t>
            </w:r>
          </w:p>
        </w:tc>
        <w:tc>
          <w:tcPr>
            <w:tcW w:w="2080" w:type="dxa"/>
            <w:shd w:val="clear" w:color="auto" w:fill="0070C0"/>
            <w:vAlign w:val="center"/>
          </w:tcPr>
          <w:p w14:paraId="21C426C4" w14:textId="5C977B95" w:rsidR="003C1E23" w:rsidRPr="0066194E" w:rsidRDefault="00FC5273" w:rsidP="00062984">
            <w:pPr>
              <w:jc w:val="center"/>
              <w:textAlignment w:val="baseline"/>
              <w:rPr>
                <w:rFonts w:eastAsia="Times New Roman" w:cstheme="minorHAnsi"/>
                <w:b/>
                <w:bCs/>
                <w:color w:val="FFFFFF" w:themeColor="background1"/>
                <w:kern w:val="0"/>
                <w:lang w:val="uk-UA"/>
                <w14:ligatures w14:val="none"/>
              </w:rPr>
            </w:pPr>
            <w:r w:rsidRPr="0066194E">
              <w:rPr>
                <w:rFonts w:eastAsia="Times New Roman" w:cstheme="minorHAnsi"/>
                <w:b/>
                <w:bCs/>
                <w:color w:val="FFFFFF" w:themeColor="background1"/>
                <w:kern w:val="0"/>
                <w:lang w:val="uk-UA"/>
                <w14:ligatures w14:val="none"/>
              </w:rPr>
              <w:t>Часові рамки</w:t>
            </w:r>
          </w:p>
        </w:tc>
        <w:tc>
          <w:tcPr>
            <w:tcW w:w="1942" w:type="dxa"/>
            <w:shd w:val="clear" w:color="auto" w:fill="0070C0"/>
            <w:vAlign w:val="center"/>
          </w:tcPr>
          <w:p w14:paraId="7D0FE04D" w14:textId="7471D7FE" w:rsidR="003C1E23" w:rsidRPr="0066194E" w:rsidRDefault="00FC5273" w:rsidP="00062984">
            <w:pPr>
              <w:jc w:val="center"/>
              <w:textAlignment w:val="baseline"/>
              <w:rPr>
                <w:rFonts w:eastAsia="Times New Roman" w:cstheme="minorHAnsi"/>
                <w:b/>
                <w:bCs/>
                <w:color w:val="FFFFFF" w:themeColor="background1"/>
                <w:kern w:val="0"/>
                <w:lang w:val="uk-UA"/>
                <w14:ligatures w14:val="none"/>
              </w:rPr>
            </w:pPr>
            <w:r w:rsidRPr="0066194E">
              <w:rPr>
                <w:rFonts w:eastAsia="Times New Roman" w:cstheme="minorHAnsi"/>
                <w:b/>
                <w:bCs/>
                <w:color w:val="FFFFFF" w:themeColor="background1"/>
                <w:kern w:val="0"/>
                <w:lang w:val="uk-UA"/>
                <w14:ligatures w14:val="none"/>
              </w:rPr>
              <w:t>Показники виконання заходів</w:t>
            </w:r>
          </w:p>
        </w:tc>
      </w:tr>
      <w:tr w:rsidR="003C1E23" w:rsidRPr="00947698" w14:paraId="4A8F4FB4" w14:textId="77777777" w:rsidTr="00062984">
        <w:tc>
          <w:tcPr>
            <w:tcW w:w="3406" w:type="dxa"/>
          </w:tcPr>
          <w:p w14:paraId="209E5A1D" w14:textId="2622348E" w:rsidR="003C1E23" w:rsidRPr="0066194E" w:rsidRDefault="00EA538B" w:rsidP="00EA538B">
            <w:pPr>
              <w:spacing w:line="257" w:lineRule="auto"/>
              <w:jc w:val="both"/>
              <w:rPr>
                <w:rFonts w:eastAsia="Calibri" w:cstheme="minorHAnsi"/>
                <w:lang w:val="uk-UA"/>
              </w:rPr>
            </w:pPr>
            <w:r>
              <w:rPr>
                <w:rFonts w:eastAsia="Calibri" w:cstheme="minorHAnsi"/>
                <w:lang w:val="uk-UA"/>
              </w:rPr>
              <w:t>До скраду Групи реалізації проєкту мають бути включені відповідні</w:t>
            </w:r>
            <w:r w:rsidR="00FC5273" w:rsidRPr="0066194E">
              <w:rPr>
                <w:rFonts w:eastAsia="Calibri" w:cstheme="minorHAnsi"/>
                <w:lang w:val="uk-UA"/>
              </w:rPr>
              <w:t xml:space="preserve"> фахівці з екологічних та соціальних питань (1 фахівець з соціальних питань/залучення зацікавлених сторін та 1 фахівець з екологічних питань/ТБОП)</w:t>
            </w:r>
          </w:p>
        </w:tc>
        <w:tc>
          <w:tcPr>
            <w:tcW w:w="1922" w:type="dxa"/>
          </w:tcPr>
          <w:p w14:paraId="75F3DDDA" w14:textId="50AEC9C0" w:rsidR="003C1E23" w:rsidRPr="0066194E" w:rsidRDefault="00EB05E3" w:rsidP="00062984">
            <w:pPr>
              <w:jc w:val="both"/>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t>МОН</w:t>
            </w:r>
          </w:p>
        </w:tc>
        <w:tc>
          <w:tcPr>
            <w:tcW w:w="2080" w:type="dxa"/>
          </w:tcPr>
          <w:p w14:paraId="2792F3CD" w14:textId="4E40A911" w:rsidR="003C1E23" w:rsidRPr="0066194E" w:rsidRDefault="00EB05E3" w:rsidP="00EA538B">
            <w:pPr>
              <w:jc w:val="both"/>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t xml:space="preserve">Фахівці з екологічних і соціальних питань повинні бути найняті через 1 місяць </w:t>
            </w:r>
            <w:r w:rsidR="00EA538B" w:rsidRPr="0066194E">
              <w:rPr>
                <w:rFonts w:eastAsia="Times New Roman" w:cstheme="minorHAnsi"/>
                <w:kern w:val="0"/>
                <w:lang w:val="uk-UA"/>
                <w14:ligatures w14:val="none"/>
              </w:rPr>
              <w:t>після дати набуття чинності Програми</w:t>
            </w:r>
            <w:r w:rsidR="00EA538B">
              <w:rPr>
                <w:rFonts w:eastAsia="Times New Roman" w:cstheme="minorHAnsi"/>
                <w:kern w:val="0"/>
                <w:lang w:val="uk-UA"/>
                <w14:ligatures w14:val="none"/>
              </w:rPr>
              <w:t xml:space="preserve"> </w:t>
            </w:r>
            <w:r w:rsidRPr="0066194E">
              <w:rPr>
                <w:rFonts w:eastAsia="Times New Roman" w:cstheme="minorHAnsi"/>
                <w:kern w:val="0"/>
                <w:lang w:val="uk-UA"/>
                <w14:ligatures w14:val="none"/>
              </w:rPr>
              <w:t xml:space="preserve">та працювати </w:t>
            </w:r>
            <w:r w:rsidRPr="0066194E">
              <w:rPr>
                <w:rFonts w:eastAsia="Times New Roman" w:cstheme="minorHAnsi"/>
                <w:kern w:val="0"/>
                <w:lang w:val="uk-UA"/>
                <w14:ligatures w14:val="none"/>
              </w:rPr>
              <w:lastRenderedPageBreak/>
              <w:t>впродовж усього періоду реалізації Програми</w:t>
            </w:r>
          </w:p>
        </w:tc>
        <w:tc>
          <w:tcPr>
            <w:tcW w:w="1942" w:type="dxa"/>
          </w:tcPr>
          <w:p w14:paraId="4B9FBFD6" w14:textId="01CB40EA" w:rsidR="003C1E23" w:rsidRPr="0066194E" w:rsidRDefault="00EB05E3" w:rsidP="00062984">
            <w:pPr>
              <w:jc w:val="both"/>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lastRenderedPageBreak/>
              <w:t>Регулярна звітність з екологічних та соціальних питань (щоквартально)</w:t>
            </w:r>
          </w:p>
        </w:tc>
      </w:tr>
      <w:tr w:rsidR="003C1E23" w:rsidRPr="00947698" w14:paraId="294B071D" w14:textId="77777777" w:rsidTr="00062984">
        <w:tc>
          <w:tcPr>
            <w:tcW w:w="3406" w:type="dxa"/>
          </w:tcPr>
          <w:p w14:paraId="76F199DC" w14:textId="378D026A" w:rsidR="003C1E23" w:rsidRPr="0066194E" w:rsidRDefault="00EB05E3" w:rsidP="00EB05E3">
            <w:pPr>
              <w:spacing w:line="257" w:lineRule="auto"/>
              <w:jc w:val="both"/>
              <w:rPr>
                <w:rFonts w:eastAsia="Calibri" w:cstheme="minorHAnsi"/>
                <w:lang w:val="uk-UA"/>
              </w:rPr>
            </w:pPr>
            <w:r w:rsidRPr="0066194E">
              <w:rPr>
                <w:rFonts w:eastAsia="Calibri" w:cstheme="minorHAnsi"/>
                <w:lang w:val="uk-UA"/>
              </w:rPr>
              <w:t>Видати рекомендацію міністерства щодо субвенції на укриття, щорічно затверджувати Контрольний перелік екологічних та соціальних питань (Додаток 1) для всіх бенефіціарів субвенції на укриття та забезпечити його включення до договорів підряду на будівельні роботи</w:t>
            </w:r>
            <w:r w:rsidR="003C1E23" w:rsidRPr="0066194E">
              <w:rPr>
                <w:rFonts w:eastAsia="Calibri" w:cstheme="minorHAnsi"/>
                <w:lang w:val="uk-UA"/>
              </w:rPr>
              <w:t xml:space="preserve">. </w:t>
            </w:r>
          </w:p>
        </w:tc>
        <w:tc>
          <w:tcPr>
            <w:tcW w:w="1922" w:type="dxa"/>
          </w:tcPr>
          <w:p w14:paraId="2DA87539" w14:textId="788E52B2" w:rsidR="003C1E23" w:rsidRPr="0066194E" w:rsidRDefault="00EB05E3" w:rsidP="00062984">
            <w:pPr>
              <w:jc w:val="both"/>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t>МОН</w:t>
            </w:r>
          </w:p>
        </w:tc>
        <w:tc>
          <w:tcPr>
            <w:tcW w:w="2080" w:type="dxa"/>
          </w:tcPr>
          <w:p w14:paraId="32A5DF8E" w14:textId="6D760DFE" w:rsidR="003C1E23" w:rsidRPr="0066194E" w:rsidRDefault="00EA538B" w:rsidP="00062984">
            <w:pPr>
              <w:jc w:val="both"/>
              <w:textAlignment w:val="baseline"/>
              <w:rPr>
                <w:rFonts w:eastAsia="Times New Roman" w:cstheme="minorHAnsi"/>
                <w:kern w:val="0"/>
                <w:lang w:val="uk-UA"/>
                <w14:ligatures w14:val="none"/>
              </w:rPr>
            </w:pPr>
            <w:r>
              <w:rPr>
                <w:rFonts w:eastAsia="Times New Roman" w:cstheme="minorHAnsi"/>
                <w:kern w:val="0"/>
                <w:lang w:val="uk-UA"/>
                <w14:ligatures w14:val="none"/>
              </w:rPr>
              <w:t>Через три</w:t>
            </w:r>
            <w:r w:rsidR="00EB05E3" w:rsidRPr="0066194E">
              <w:rPr>
                <w:rFonts w:eastAsia="Times New Roman" w:cstheme="minorHAnsi"/>
                <w:kern w:val="0"/>
                <w:lang w:val="uk-UA"/>
                <w14:ligatures w14:val="none"/>
              </w:rPr>
              <w:t xml:space="preserve"> місяці після дати набуття чинності Програми</w:t>
            </w:r>
          </w:p>
        </w:tc>
        <w:tc>
          <w:tcPr>
            <w:tcW w:w="1942" w:type="dxa"/>
          </w:tcPr>
          <w:p w14:paraId="1E010C8C" w14:textId="28C345E6" w:rsidR="003C1E23" w:rsidRPr="0066194E" w:rsidRDefault="00EB05E3" w:rsidP="00062984">
            <w:pPr>
              <w:jc w:val="both"/>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t>Докази розповсюдження Контрольного переліку екологічних та соціальних питань</w:t>
            </w:r>
          </w:p>
        </w:tc>
      </w:tr>
      <w:tr w:rsidR="00EB05E3" w:rsidRPr="00947698" w14:paraId="66BEA413" w14:textId="77777777" w:rsidTr="00062984">
        <w:tc>
          <w:tcPr>
            <w:tcW w:w="3406" w:type="dxa"/>
          </w:tcPr>
          <w:p w14:paraId="3E5CBC7A" w14:textId="164CBF66" w:rsidR="00EB05E3" w:rsidRPr="0066194E" w:rsidRDefault="00EB05E3" w:rsidP="00EB05E3">
            <w:pPr>
              <w:rPr>
                <w:lang w:val="uk-UA"/>
              </w:rPr>
            </w:pPr>
            <w:r w:rsidRPr="0066194E">
              <w:rPr>
                <w:rFonts w:eastAsia="Calibri" w:cstheme="minorHAnsi"/>
                <w:lang w:val="uk-UA"/>
              </w:rPr>
              <w:t>Створити комплексну програму розбудови спроможності та нагляду відповідно до масштабів, окреслених у Додатку 3 до ESSA.</w:t>
            </w:r>
          </w:p>
          <w:p w14:paraId="06B75F1A" w14:textId="77777777" w:rsidR="00EB05E3" w:rsidRPr="0066194E" w:rsidRDefault="00EB05E3" w:rsidP="00EB05E3">
            <w:pPr>
              <w:spacing w:line="257" w:lineRule="auto"/>
              <w:jc w:val="both"/>
              <w:rPr>
                <w:rFonts w:eastAsia="Calibri" w:cstheme="minorHAnsi"/>
                <w:lang w:val="uk-UA"/>
              </w:rPr>
            </w:pPr>
          </w:p>
        </w:tc>
        <w:tc>
          <w:tcPr>
            <w:tcW w:w="1922" w:type="dxa"/>
          </w:tcPr>
          <w:p w14:paraId="43C82690" w14:textId="072E08F4" w:rsidR="00EB05E3" w:rsidRPr="0066194E" w:rsidRDefault="00EB05E3" w:rsidP="00EB05E3">
            <w:pPr>
              <w:jc w:val="both"/>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t>МОН</w:t>
            </w:r>
          </w:p>
        </w:tc>
        <w:tc>
          <w:tcPr>
            <w:tcW w:w="2080" w:type="dxa"/>
          </w:tcPr>
          <w:p w14:paraId="707C2C0A" w14:textId="361BA70B" w:rsidR="00EB05E3" w:rsidRPr="0066194E" w:rsidRDefault="00EA538B" w:rsidP="00EB05E3">
            <w:pPr>
              <w:jc w:val="both"/>
              <w:textAlignment w:val="baseline"/>
              <w:rPr>
                <w:rFonts w:eastAsia="Times New Roman" w:cstheme="minorHAnsi"/>
                <w:kern w:val="0"/>
                <w:lang w:val="uk-UA"/>
                <w14:ligatures w14:val="none"/>
              </w:rPr>
            </w:pPr>
            <w:r>
              <w:rPr>
                <w:rFonts w:eastAsia="Times New Roman" w:cstheme="minorHAnsi"/>
                <w:kern w:val="0"/>
                <w:lang w:val="uk-UA"/>
                <w14:ligatures w14:val="none"/>
              </w:rPr>
              <w:t>Через шість</w:t>
            </w:r>
            <w:r w:rsidR="00EB05E3" w:rsidRPr="0066194E">
              <w:rPr>
                <w:rFonts w:eastAsia="Times New Roman" w:cstheme="minorHAnsi"/>
                <w:kern w:val="0"/>
                <w:lang w:val="uk-UA"/>
                <w14:ligatures w14:val="none"/>
              </w:rPr>
              <w:t xml:space="preserve"> місяців після дати набуття чинності Програми</w:t>
            </w:r>
          </w:p>
        </w:tc>
        <w:tc>
          <w:tcPr>
            <w:tcW w:w="1942" w:type="dxa"/>
          </w:tcPr>
          <w:p w14:paraId="66B271A5" w14:textId="4895137D" w:rsidR="00EB05E3" w:rsidRPr="0066194E" w:rsidRDefault="00EB05E3" w:rsidP="00EB05E3">
            <w:pPr>
              <w:jc w:val="both"/>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t>План нагляду за виконанням програми розбудови спроможності та нагляду, а також регулярне звітування про її виконання</w:t>
            </w:r>
          </w:p>
        </w:tc>
      </w:tr>
      <w:tr w:rsidR="00EB05E3" w:rsidRPr="00947698" w14:paraId="7B6D2E0A" w14:textId="77777777" w:rsidTr="00062984">
        <w:trPr>
          <w:trHeight w:val="300"/>
        </w:trPr>
        <w:tc>
          <w:tcPr>
            <w:tcW w:w="3406" w:type="dxa"/>
          </w:tcPr>
          <w:p w14:paraId="3AA964A3" w14:textId="66EC057A" w:rsidR="00EB05E3" w:rsidRPr="0066194E" w:rsidRDefault="00EB05E3" w:rsidP="00EB05E3">
            <w:pPr>
              <w:jc w:val="both"/>
              <w:rPr>
                <w:rFonts w:eastAsia="Times New Roman"/>
                <w:lang w:val="uk-UA"/>
              </w:rPr>
            </w:pPr>
            <w:r w:rsidRPr="0066194E">
              <w:rPr>
                <w:rFonts w:eastAsia="Times New Roman"/>
                <w:lang w:val="uk-UA"/>
              </w:rPr>
              <w:t>Розробити протоколи безпеки (Плани готовності до надзвичайних ситуацій та реагування на них) на випадок воєнних загроз</w:t>
            </w:r>
          </w:p>
        </w:tc>
        <w:tc>
          <w:tcPr>
            <w:tcW w:w="1922" w:type="dxa"/>
          </w:tcPr>
          <w:p w14:paraId="0F86A519" w14:textId="62B990F7" w:rsidR="00EB05E3" w:rsidRPr="0066194E" w:rsidRDefault="00EB05E3" w:rsidP="00EB05E3">
            <w:pPr>
              <w:jc w:val="both"/>
              <w:rPr>
                <w:rFonts w:eastAsia="Times New Roman"/>
                <w:lang w:val="uk-UA"/>
              </w:rPr>
            </w:pPr>
            <w:r w:rsidRPr="0066194E">
              <w:rPr>
                <w:rFonts w:eastAsia="Times New Roman" w:cstheme="minorHAnsi"/>
                <w:kern w:val="0"/>
                <w:lang w:val="uk-UA"/>
                <w14:ligatures w14:val="none"/>
              </w:rPr>
              <w:t>МОН</w:t>
            </w:r>
          </w:p>
        </w:tc>
        <w:tc>
          <w:tcPr>
            <w:tcW w:w="2080" w:type="dxa"/>
          </w:tcPr>
          <w:p w14:paraId="3B78686E" w14:textId="03514E52" w:rsidR="00EB05E3" w:rsidRPr="0066194E" w:rsidRDefault="00EA538B" w:rsidP="00EB05E3">
            <w:pPr>
              <w:jc w:val="both"/>
              <w:rPr>
                <w:rFonts w:eastAsia="Times New Roman"/>
                <w:lang w:val="uk-UA"/>
              </w:rPr>
            </w:pPr>
            <w:r>
              <w:rPr>
                <w:rFonts w:eastAsia="Times New Roman" w:cstheme="minorHAnsi"/>
                <w:kern w:val="0"/>
                <w:lang w:val="uk-UA"/>
                <w14:ligatures w14:val="none"/>
              </w:rPr>
              <w:t>Через три</w:t>
            </w:r>
            <w:r w:rsidR="00EB05E3" w:rsidRPr="0066194E">
              <w:rPr>
                <w:rFonts w:eastAsia="Times New Roman" w:cstheme="minorHAnsi"/>
                <w:kern w:val="0"/>
                <w:lang w:val="uk-UA"/>
                <w14:ligatures w14:val="none"/>
              </w:rPr>
              <w:t xml:space="preserve"> місяці після дати набуття чинності Програми</w:t>
            </w:r>
          </w:p>
        </w:tc>
        <w:tc>
          <w:tcPr>
            <w:tcW w:w="1942" w:type="dxa"/>
          </w:tcPr>
          <w:p w14:paraId="154B0E38" w14:textId="37A5FBB6" w:rsidR="00EB05E3" w:rsidRPr="0066194E" w:rsidRDefault="00EB05E3" w:rsidP="00EB05E3">
            <w:pPr>
              <w:jc w:val="both"/>
              <w:rPr>
                <w:rFonts w:eastAsia="Times New Roman"/>
                <w:lang w:val="uk-UA"/>
              </w:rPr>
            </w:pPr>
            <w:r w:rsidRPr="0066194E">
              <w:rPr>
                <w:rFonts w:eastAsia="Times New Roman"/>
                <w:lang w:val="uk-UA"/>
              </w:rPr>
              <w:t>Звіт про підготовку та впровадження протоколів безпеки</w:t>
            </w:r>
          </w:p>
        </w:tc>
      </w:tr>
      <w:tr w:rsidR="00EB05E3" w:rsidRPr="00947698" w14:paraId="2250B158" w14:textId="77777777" w:rsidTr="00062984">
        <w:tc>
          <w:tcPr>
            <w:tcW w:w="3406" w:type="dxa"/>
          </w:tcPr>
          <w:p w14:paraId="268C4293" w14:textId="043EE898" w:rsidR="00EB05E3" w:rsidRPr="0066194E" w:rsidRDefault="00EB05E3" w:rsidP="00EB05E3">
            <w:pPr>
              <w:jc w:val="both"/>
              <w:textAlignment w:val="baseline"/>
              <w:rPr>
                <w:rFonts w:eastAsia="Times New Roman" w:cstheme="minorHAnsi"/>
                <w:kern w:val="0"/>
                <w:highlight w:val="yellow"/>
                <w:lang w:val="uk-UA"/>
                <w14:ligatures w14:val="none"/>
              </w:rPr>
            </w:pPr>
            <w:r w:rsidRPr="0066194E">
              <w:rPr>
                <w:rFonts w:eastAsia="Times New Roman" w:cstheme="minorHAnsi"/>
                <w:kern w:val="0"/>
                <w:lang w:val="uk-UA"/>
                <w14:ligatures w14:val="none"/>
              </w:rPr>
              <w:t xml:space="preserve">Підготувати контрольний перелік рекомендацій щодо роботи зі скаргами щодо ГЗН у конфіденційний, чутливий, орієнтований на потерпілих та їхню безпеку спосіб, що відповідає належній міжнародній практиці, включно з протоколами перенаправлення до кваліфікованих фахівців, а також з рекомендаціями для шкіл.  </w:t>
            </w:r>
          </w:p>
        </w:tc>
        <w:tc>
          <w:tcPr>
            <w:tcW w:w="1922" w:type="dxa"/>
          </w:tcPr>
          <w:p w14:paraId="6DE2CE80" w14:textId="59BEE14A" w:rsidR="00EB05E3" w:rsidRPr="0066194E" w:rsidRDefault="00EB05E3" w:rsidP="00EB05E3">
            <w:pPr>
              <w:jc w:val="both"/>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t>МОН</w:t>
            </w:r>
          </w:p>
        </w:tc>
        <w:tc>
          <w:tcPr>
            <w:tcW w:w="2080" w:type="dxa"/>
          </w:tcPr>
          <w:p w14:paraId="3119012F" w14:textId="38BCCEDC" w:rsidR="00EB05E3" w:rsidRPr="0066194E" w:rsidRDefault="00EA538B" w:rsidP="00EB05E3">
            <w:pPr>
              <w:jc w:val="both"/>
              <w:textAlignment w:val="baseline"/>
              <w:rPr>
                <w:rFonts w:eastAsia="Times New Roman" w:cstheme="minorHAnsi"/>
                <w:kern w:val="0"/>
                <w:lang w:val="uk-UA"/>
                <w14:ligatures w14:val="none"/>
              </w:rPr>
            </w:pPr>
            <w:r>
              <w:rPr>
                <w:rFonts w:eastAsia="Times New Roman" w:cstheme="minorHAnsi"/>
                <w:kern w:val="0"/>
                <w:lang w:val="uk-UA"/>
                <w14:ligatures w14:val="none"/>
              </w:rPr>
              <w:t>Через три</w:t>
            </w:r>
            <w:r w:rsidR="00EB05E3" w:rsidRPr="0066194E">
              <w:rPr>
                <w:rFonts w:eastAsia="Times New Roman" w:cstheme="minorHAnsi"/>
                <w:kern w:val="0"/>
                <w:lang w:val="uk-UA"/>
                <w14:ligatures w14:val="none"/>
              </w:rPr>
              <w:t xml:space="preserve"> місяці після дати набуття чинності Програми</w:t>
            </w:r>
          </w:p>
        </w:tc>
        <w:tc>
          <w:tcPr>
            <w:tcW w:w="1942" w:type="dxa"/>
          </w:tcPr>
          <w:p w14:paraId="274F2525" w14:textId="224E2603" w:rsidR="00EB05E3" w:rsidRPr="0066194E" w:rsidRDefault="00EB05E3" w:rsidP="00EB05E3">
            <w:pPr>
              <w:jc w:val="both"/>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t>Заповнення контрольного переліку та розповсюдження інструкцій</w:t>
            </w:r>
          </w:p>
        </w:tc>
      </w:tr>
      <w:tr w:rsidR="00EB05E3" w:rsidRPr="00947698" w14:paraId="7F905CC8" w14:textId="77777777" w:rsidTr="00062984">
        <w:tc>
          <w:tcPr>
            <w:tcW w:w="3406" w:type="dxa"/>
          </w:tcPr>
          <w:p w14:paraId="0CB03997" w14:textId="587E91AC" w:rsidR="00EB05E3" w:rsidRPr="0066194E" w:rsidRDefault="00EB05E3" w:rsidP="00EB05E3">
            <w:pPr>
              <w:spacing w:after="160" w:line="259" w:lineRule="auto"/>
              <w:rPr>
                <w:rFonts w:eastAsia="Times New Roman" w:cstheme="minorHAnsi"/>
                <w:kern w:val="0"/>
                <w:highlight w:val="yellow"/>
                <w:lang w:val="uk-UA"/>
                <w14:ligatures w14:val="none"/>
              </w:rPr>
            </w:pPr>
            <w:r w:rsidRPr="0066194E">
              <w:rPr>
                <w:rFonts w:eastAsia="Times New Roman" w:cstheme="minorHAnsi"/>
                <w:kern w:val="0"/>
                <w:lang w:val="uk-UA"/>
                <w14:ligatures w14:val="none"/>
              </w:rPr>
              <w:t xml:space="preserve">Підготувати план залучення зацікавлених сторін та комунікації для програми.    </w:t>
            </w:r>
          </w:p>
        </w:tc>
        <w:tc>
          <w:tcPr>
            <w:tcW w:w="1922" w:type="dxa"/>
          </w:tcPr>
          <w:p w14:paraId="5F9E074E" w14:textId="2FFCDD48" w:rsidR="00EB05E3" w:rsidRPr="0066194E" w:rsidRDefault="00EB05E3" w:rsidP="00EB05E3">
            <w:pPr>
              <w:jc w:val="both"/>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t>МОН</w:t>
            </w:r>
          </w:p>
        </w:tc>
        <w:tc>
          <w:tcPr>
            <w:tcW w:w="2080" w:type="dxa"/>
          </w:tcPr>
          <w:p w14:paraId="4C8B370B" w14:textId="3C5800D3" w:rsidR="00EB05E3" w:rsidRPr="0066194E" w:rsidRDefault="00EB05E3" w:rsidP="00EB05E3">
            <w:pPr>
              <w:jc w:val="both"/>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t>Протягом одного місяця</w:t>
            </w:r>
            <w:r w:rsidR="0066194E" w:rsidRPr="0066194E">
              <w:rPr>
                <w:rFonts w:eastAsia="Times New Roman" w:cstheme="minorHAnsi"/>
                <w:kern w:val="0"/>
                <w:lang w:val="uk-UA"/>
                <w14:ligatures w14:val="none"/>
              </w:rPr>
              <w:t xml:space="preserve"> після дати набуття чинності Програми</w:t>
            </w:r>
          </w:p>
        </w:tc>
        <w:tc>
          <w:tcPr>
            <w:tcW w:w="1942" w:type="dxa"/>
          </w:tcPr>
          <w:p w14:paraId="13CB7691" w14:textId="0735F392" w:rsidR="00EB05E3" w:rsidRPr="0066194E" w:rsidRDefault="00EA538B" w:rsidP="00EA538B">
            <w:pPr>
              <w:jc w:val="both"/>
              <w:textAlignment w:val="baseline"/>
              <w:rPr>
                <w:rFonts w:eastAsia="Times New Roman" w:cstheme="minorHAnsi"/>
                <w:kern w:val="0"/>
                <w:lang w:val="uk-UA"/>
                <w14:ligatures w14:val="none"/>
              </w:rPr>
            </w:pPr>
            <w:r>
              <w:rPr>
                <w:rFonts w:eastAsia="Times New Roman" w:cstheme="minorHAnsi"/>
                <w:kern w:val="0"/>
                <w:lang w:val="uk-UA"/>
                <w14:ligatures w14:val="none"/>
              </w:rPr>
              <w:t>Підготовлений</w:t>
            </w:r>
            <w:r w:rsidR="0066194E" w:rsidRPr="0066194E">
              <w:rPr>
                <w:rFonts w:eastAsia="Times New Roman" w:cstheme="minorHAnsi"/>
                <w:kern w:val="0"/>
                <w:lang w:val="uk-UA"/>
                <w14:ligatures w14:val="none"/>
              </w:rPr>
              <w:t xml:space="preserve"> план та подальше звітування про його реалізацію.  </w:t>
            </w:r>
          </w:p>
        </w:tc>
      </w:tr>
      <w:tr w:rsidR="00EB05E3" w:rsidRPr="0066194E" w14:paraId="600F1E57" w14:textId="77777777" w:rsidTr="00062984">
        <w:tc>
          <w:tcPr>
            <w:tcW w:w="3406" w:type="dxa"/>
          </w:tcPr>
          <w:p w14:paraId="60446921" w14:textId="07DA4341" w:rsidR="00EB05E3" w:rsidRPr="0066194E" w:rsidRDefault="0066194E" w:rsidP="0066194E">
            <w:pPr>
              <w:textAlignment w:val="baseline"/>
              <w:rPr>
                <w:rFonts w:eastAsia="Times New Roman" w:cstheme="minorHAnsi"/>
                <w:kern w:val="0"/>
                <w:highlight w:val="yellow"/>
                <w:lang w:val="uk-UA"/>
                <w14:ligatures w14:val="none"/>
              </w:rPr>
            </w:pPr>
            <w:r w:rsidRPr="0066194E">
              <w:rPr>
                <w:rFonts w:eastAsia="Times New Roman" w:cstheme="minorHAnsi"/>
                <w:kern w:val="0"/>
                <w:lang w:val="uk-UA"/>
                <w14:ligatures w14:val="none"/>
              </w:rPr>
              <w:t>На виконання постанови про автобуси провести оцінку потреб у перевезенні дітей з інвалідністю та видати відповідні розпорядження щодо закупівлі автобусів, пристосованих для дітей з обмеженою мобільністю.</w:t>
            </w:r>
          </w:p>
        </w:tc>
        <w:tc>
          <w:tcPr>
            <w:tcW w:w="1922" w:type="dxa"/>
          </w:tcPr>
          <w:p w14:paraId="3B81F639" w14:textId="345D47EE" w:rsidR="00EB05E3" w:rsidRPr="0066194E" w:rsidRDefault="00EB05E3" w:rsidP="00EB05E3">
            <w:pPr>
              <w:jc w:val="center"/>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t>МОН</w:t>
            </w:r>
          </w:p>
        </w:tc>
        <w:tc>
          <w:tcPr>
            <w:tcW w:w="2080" w:type="dxa"/>
          </w:tcPr>
          <w:p w14:paraId="03CFBD61" w14:textId="02C3A769" w:rsidR="00EB05E3" w:rsidRPr="0066194E" w:rsidRDefault="0066194E" w:rsidP="0066194E">
            <w:pPr>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t>Протягом одного місяця після дати набуття чинності Програми</w:t>
            </w:r>
          </w:p>
        </w:tc>
        <w:tc>
          <w:tcPr>
            <w:tcW w:w="1942" w:type="dxa"/>
          </w:tcPr>
          <w:p w14:paraId="53A0EF74" w14:textId="7DB3E5DA" w:rsidR="00EB05E3" w:rsidRPr="0066194E" w:rsidRDefault="0066194E" w:rsidP="00EB05E3">
            <w:pPr>
              <w:jc w:val="center"/>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t>Видано інструкції</w:t>
            </w:r>
          </w:p>
        </w:tc>
      </w:tr>
      <w:tr w:rsidR="00EB05E3" w:rsidRPr="00947698" w14:paraId="3DCABB32" w14:textId="77777777" w:rsidTr="00062984">
        <w:tc>
          <w:tcPr>
            <w:tcW w:w="3406" w:type="dxa"/>
          </w:tcPr>
          <w:p w14:paraId="3F0BCA58" w14:textId="71D4527E" w:rsidR="00EB05E3" w:rsidRPr="0066194E" w:rsidRDefault="0066194E" w:rsidP="00EB05E3">
            <w:pPr>
              <w:jc w:val="both"/>
              <w:textAlignment w:val="baseline"/>
              <w:rPr>
                <w:rFonts w:eastAsia="Times New Roman" w:cstheme="minorHAnsi"/>
                <w:kern w:val="0"/>
                <w:lang w:val="uk-UA"/>
                <w14:ligatures w14:val="none"/>
              </w:rPr>
            </w:pPr>
            <w:r w:rsidRPr="0066194E">
              <w:rPr>
                <w:rFonts w:eastAsia="Times New Roman" w:cstheme="minorHAnsi"/>
                <w:color w:val="0D0D0D"/>
                <w:kern w:val="0"/>
                <w:shd w:val="clear" w:color="auto" w:fill="FFFFFF"/>
                <w:lang w:val="uk-UA"/>
                <w14:ligatures w14:val="none"/>
              </w:rPr>
              <w:t xml:space="preserve">Створити відділ / підрозділ з ґендерних питань та укомплектувати його персоналом </w:t>
            </w:r>
            <w:r w:rsidRPr="0066194E">
              <w:rPr>
                <w:rFonts w:eastAsia="Times New Roman" w:cstheme="minorHAnsi"/>
                <w:color w:val="0D0D0D"/>
                <w:kern w:val="0"/>
                <w:shd w:val="clear" w:color="auto" w:fill="FFFFFF"/>
                <w:lang w:val="uk-UA"/>
                <w14:ligatures w14:val="none"/>
              </w:rPr>
              <w:lastRenderedPageBreak/>
              <w:t xml:space="preserve">для підтримки реалізації Оперативного плану.  </w:t>
            </w:r>
          </w:p>
        </w:tc>
        <w:tc>
          <w:tcPr>
            <w:tcW w:w="1922" w:type="dxa"/>
          </w:tcPr>
          <w:p w14:paraId="425E6A89" w14:textId="22F24EE8" w:rsidR="00EB05E3" w:rsidRPr="0066194E" w:rsidRDefault="00EB05E3" w:rsidP="00EB05E3">
            <w:pPr>
              <w:jc w:val="both"/>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lastRenderedPageBreak/>
              <w:t>МОН</w:t>
            </w:r>
          </w:p>
        </w:tc>
        <w:tc>
          <w:tcPr>
            <w:tcW w:w="2080" w:type="dxa"/>
          </w:tcPr>
          <w:p w14:paraId="3B29D812" w14:textId="7356CA20" w:rsidR="00EB05E3" w:rsidRPr="0066194E" w:rsidRDefault="00EA538B" w:rsidP="00EB05E3">
            <w:pPr>
              <w:jc w:val="both"/>
              <w:textAlignment w:val="baseline"/>
              <w:rPr>
                <w:rFonts w:eastAsia="Times New Roman" w:cstheme="minorHAnsi"/>
                <w:kern w:val="0"/>
                <w:lang w:val="uk-UA"/>
                <w14:ligatures w14:val="none"/>
              </w:rPr>
            </w:pPr>
            <w:r>
              <w:rPr>
                <w:rFonts w:eastAsia="Times New Roman" w:cstheme="minorHAnsi"/>
                <w:kern w:val="0"/>
                <w:lang w:val="uk-UA"/>
                <w14:ligatures w14:val="none"/>
              </w:rPr>
              <w:t>Через шість</w:t>
            </w:r>
            <w:r w:rsidR="0066194E" w:rsidRPr="0066194E">
              <w:rPr>
                <w:rFonts w:eastAsia="Times New Roman" w:cstheme="minorHAnsi"/>
                <w:kern w:val="0"/>
                <w:lang w:val="uk-UA"/>
                <w14:ligatures w14:val="none"/>
              </w:rPr>
              <w:t xml:space="preserve"> місяців після дати набуття чинності Програми</w:t>
            </w:r>
          </w:p>
        </w:tc>
        <w:tc>
          <w:tcPr>
            <w:tcW w:w="1942" w:type="dxa"/>
          </w:tcPr>
          <w:p w14:paraId="4F52FD42" w14:textId="568C5407" w:rsidR="00EB05E3" w:rsidRPr="0066194E" w:rsidRDefault="0066194E" w:rsidP="00EB05E3">
            <w:pPr>
              <w:jc w:val="both"/>
              <w:textAlignment w:val="baseline"/>
              <w:rPr>
                <w:rFonts w:eastAsia="Times New Roman" w:cstheme="minorHAnsi"/>
                <w:kern w:val="0"/>
                <w:lang w:val="uk-UA"/>
                <w14:ligatures w14:val="none"/>
              </w:rPr>
            </w:pPr>
            <w:r w:rsidRPr="0066194E">
              <w:rPr>
                <w:rFonts w:eastAsia="Times New Roman" w:cstheme="minorHAnsi"/>
                <w:kern w:val="0"/>
                <w:lang w:val="uk-UA"/>
                <w14:ligatures w14:val="none"/>
              </w:rPr>
              <w:t>Створено підрозділ/набрано персонал (за підтримки IPF</w:t>
            </w:r>
            <w:r w:rsidR="00EB05E3" w:rsidRPr="0066194E">
              <w:rPr>
                <w:rFonts w:eastAsia="Times New Roman" w:cstheme="minorHAnsi"/>
                <w:kern w:val="0"/>
                <w:lang w:val="uk-UA"/>
                <w14:ligatures w14:val="none"/>
              </w:rPr>
              <w:t xml:space="preserve">)  </w:t>
            </w:r>
          </w:p>
        </w:tc>
      </w:tr>
    </w:tbl>
    <w:p w14:paraId="257C4E6C" w14:textId="77777777" w:rsidR="00C55746" w:rsidRPr="0066194E" w:rsidRDefault="00C55746">
      <w:pPr>
        <w:rPr>
          <w:lang w:val="ru-RU"/>
        </w:rPr>
      </w:pPr>
    </w:p>
    <w:sectPr w:rsidR="00C55746" w:rsidRPr="006619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23"/>
    <w:rsid w:val="00024450"/>
    <w:rsid w:val="00034736"/>
    <w:rsid w:val="00044D53"/>
    <w:rsid w:val="00085295"/>
    <w:rsid w:val="000954B6"/>
    <w:rsid w:val="000B14FB"/>
    <w:rsid w:val="000E165A"/>
    <w:rsid w:val="00127412"/>
    <w:rsid w:val="001655CE"/>
    <w:rsid w:val="001C65EB"/>
    <w:rsid w:val="00282D80"/>
    <w:rsid w:val="00355592"/>
    <w:rsid w:val="003C1E23"/>
    <w:rsid w:val="004720C2"/>
    <w:rsid w:val="00594DCE"/>
    <w:rsid w:val="005A023B"/>
    <w:rsid w:val="005B44AD"/>
    <w:rsid w:val="0066194E"/>
    <w:rsid w:val="007949EE"/>
    <w:rsid w:val="007C1288"/>
    <w:rsid w:val="007D555D"/>
    <w:rsid w:val="00947698"/>
    <w:rsid w:val="009C2584"/>
    <w:rsid w:val="009D0844"/>
    <w:rsid w:val="00A0137A"/>
    <w:rsid w:val="00A025FF"/>
    <w:rsid w:val="00AB33AE"/>
    <w:rsid w:val="00BC11E9"/>
    <w:rsid w:val="00C55746"/>
    <w:rsid w:val="00C72BC9"/>
    <w:rsid w:val="00C848F3"/>
    <w:rsid w:val="00CA6C5E"/>
    <w:rsid w:val="00CD3257"/>
    <w:rsid w:val="00CF4868"/>
    <w:rsid w:val="00D51079"/>
    <w:rsid w:val="00DF7A02"/>
    <w:rsid w:val="00EA538B"/>
    <w:rsid w:val="00EB05E3"/>
    <w:rsid w:val="00EC3D5C"/>
    <w:rsid w:val="00EE5403"/>
    <w:rsid w:val="00FC52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F45F"/>
  <w15:chartTrackingRefBased/>
  <w15:docId w15:val="{BA55C479-687C-4D66-844C-53903D54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E23"/>
    <w:rPr>
      <w:lang w:val="en-US"/>
    </w:rPr>
  </w:style>
  <w:style w:type="paragraph" w:styleId="Heading1">
    <w:name w:val="heading 1"/>
    <w:basedOn w:val="Normal"/>
    <w:next w:val="Normal"/>
    <w:link w:val="Heading1Char"/>
    <w:uiPriority w:val="9"/>
    <w:qFormat/>
    <w:rsid w:val="003C1E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E23"/>
    <w:rPr>
      <w:rFonts w:asciiTheme="majorHAnsi" w:eastAsiaTheme="majorEastAsia" w:hAnsiTheme="majorHAnsi" w:cstheme="majorBidi"/>
      <w:color w:val="2F5496" w:themeColor="accent1" w:themeShade="BF"/>
      <w:sz w:val="32"/>
      <w:szCs w:val="32"/>
      <w:lang w:val="en-US"/>
    </w:rPr>
  </w:style>
  <w:style w:type="paragraph" w:customStyle="1" w:styleId="paragraph">
    <w:name w:val="paragraph"/>
    <w:basedOn w:val="Normal"/>
    <w:rsid w:val="003C1E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C1E23"/>
  </w:style>
  <w:style w:type="character" w:customStyle="1" w:styleId="eop">
    <w:name w:val="eop"/>
    <w:basedOn w:val="DefaultParagraphFont"/>
    <w:rsid w:val="003C1E23"/>
  </w:style>
  <w:style w:type="table" w:styleId="TableGrid">
    <w:name w:val="Table Grid"/>
    <w:aliases w:val="表格样式,BPUA Table,CV table,CV1,EY Table,TNS table,TabelEcorys,Table Grid (Appendix list),Table Grid CEPA,Table Grid CFAA,Table Grid_mod,Table long document,Table style,mtbs,none,notes"/>
    <w:basedOn w:val="TableNormal"/>
    <w:uiPriority w:val="39"/>
    <w:qFormat/>
    <w:rsid w:val="003C1E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1E23"/>
    <w:rPr>
      <w:sz w:val="16"/>
      <w:szCs w:val="16"/>
    </w:rPr>
  </w:style>
  <w:style w:type="paragraph" w:styleId="CommentText">
    <w:name w:val="annotation text"/>
    <w:basedOn w:val="Normal"/>
    <w:link w:val="CommentTextChar"/>
    <w:uiPriority w:val="99"/>
    <w:unhideWhenUsed/>
    <w:rsid w:val="003C1E23"/>
    <w:pPr>
      <w:spacing w:line="240" w:lineRule="auto"/>
    </w:pPr>
    <w:rPr>
      <w:sz w:val="20"/>
      <w:szCs w:val="20"/>
    </w:rPr>
  </w:style>
  <w:style w:type="character" w:customStyle="1" w:styleId="CommentTextChar">
    <w:name w:val="Comment Text Char"/>
    <w:basedOn w:val="DefaultParagraphFont"/>
    <w:link w:val="CommentText"/>
    <w:uiPriority w:val="99"/>
    <w:rsid w:val="003C1E23"/>
    <w:rPr>
      <w:sz w:val="20"/>
      <w:szCs w:val="20"/>
      <w:lang w:val="en-US"/>
    </w:rPr>
  </w:style>
  <w:style w:type="character" w:customStyle="1" w:styleId="Mention1">
    <w:name w:val="Mention1"/>
    <w:basedOn w:val="DefaultParagraphFont"/>
    <w:uiPriority w:val="99"/>
    <w:unhideWhenUsed/>
    <w:rsid w:val="003C1E23"/>
    <w:rPr>
      <w:color w:val="2B579A"/>
      <w:shd w:val="clear" w:color="auto" w:fill="E1DFDD"/>
    </w:rPr>
  </w:style>
  <w:style w:type="character" w:styleId="Hyperlink">
    <w:name w:val="Hyperlink"/>
    <w:basedOn w:val="DefaultParagraphFont"/>
    <w:uiPriority w:val="99"/>
    <w:unhideWhenUsed/>
    <w:rsid w:val="003C1E23"/>
    <w:rPr>
      <w:color w:val="0563C1" w:themeColor="hyperlink"/>
      <w:u w:val="single"/>
    </w:rPr>
  </w:style>
  <w:style w:type="paragraph" w:styleId="TOCHeading">
    <w:name w:val="TOC Heading"/>
    <w:basedOn w:val="Heading1"/>
    <w:next w:val="Normal"/>
    <w:uiPriority w:val="39"/>
    <w:unhideWhenUsed/>
    <w:qFormat/>
    <w:rsid w:val="003C1E23"/>
    <w:pPr>
      <w:outlineLvl w:val="9"/>
    </w:pPr>
    <w:rPr>
      <w:kern w:val="0"/>
      <w14:ligatures w14:val="none"/>
    </w:rPr>
  </w:style>
  <w:style w:type="paragraph" w:styleId="TOC1">
    <w:name w:val="toc 1"/>
    <w:basedOn w:val="Normal"/>
    <w:next w:val="Normal"/>
    <w:autoRedefine/>
    <w:uiPriority w:val="39"/>
    <w:unhideWhenUsed/>
    <w:rsid w:val="003C1E23"/>
    <w:pPr>
      <w:tabs>
        <w:tab w:val="left" w:pos="440"/>
        <w:tab w:val="right" w:leader="dot" w:pos="9350"/>
      </w:tabs>
      <w:spacing w:after="100"/>
    </w:pPr>
  </w:style>
  <w:style w:type="paragraph" w:styleId="TOC2">
    <w:name w:val="toc 2"/>
    <w:basedOn w:val="Normal"/>
    <w:next w:val="Normal"/>
    <w:autoRedefine/>
    <w:uiPriority w:val="39"/>
    <w:unhideWhenUsed/>
    <w:rsid w:val="003C1E23"/>
    <w:pPr>
      <w:tabs>
        <w:tab w:val="left" w:pos="880"/>
        <w:tab w:val="right" w:leader="dot" w:pos="9350"/>
      </w:tabs>
      <w:spacing w:after="100"/>
      <w:ind w:left="220"/>
    </w:pPr>
  </w:style>
  <w:style w:type="paragraph" w:styleId="TOC3">
    <w:name w:val="toc 3"/>
    <w:basedOn w:val="Normal"/>
    <w:next w:val="Normal"/>
    <w:autoRedefine/>
    <w:uiPriority w:val="39"/>
    <w:unhideWhenUsed/>
    <w:rsid w:val="003C1E23"/>
    <w:pPr>
      <w:tabs>
        <w:tab w:val="right" w:leader="dot" w:pos="9350"/>
      </w:tabs>
      <w:spacing w:after="100"/>
      <w:ind w:left="440"/>
    </w:pPr>
  </w:style>
  <w:style w:type="paragraph" w:styleId="BalloonText">
    <w:name w:val="Balloon Text"/>
    <w:basedOn w:val="Normal"/>
    <w:link w:val="BalloonTextChar"/>
    <w:uiPriority w:val="99"/>
    <w:semiHidden/>
    <w:unhideWhenUsed/>
    <w:rsid w:val="003C1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E23"/>
    <w:rPr>
      <w:rFonts w:ascii="Segoe UI" w:hAnsi="Segoe UI" w:cs="Segoe UI"/>
      <w:sz w:val="18"/>
      <w:szCs w:val="18"/>
      <w:lang w:val="en-US"/>
    </w:rPr>
  </w:style>
  <w:style w:type="paragraph" w:styleId="Revision">
    <w:name w:val="Revision"/>
    <w:hidden/>
    <w:uiPriority w:val="99"/>
    <w:semiHidden/>
    <w:rsid w:val="00EC3D5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E0D55-6F3B-4C00-82A2-1A3F01F7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2106</Words>
  <Characters>17064</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Burachenko</dc:creator>
  <cp:keywords/>
  <dc:description/>
  <cp:lastModifiedBy>Kateryna Suprun</cp:lastModifiedBy>
  <cp:revision>4</cp:revision>
  <dcterms:created xsi:type="dcterms:W3CDTF">2024-06-24T09:42:00Z</dcterms:created>
  <dcterms:modified xsi:type="dcterms:W3CDTF">2024-06-24T16:12:00Z</dcterms:modified>
</cp:coreProperties>
</file>