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4130" w14:textId="77777777" w:rsidR="00E00E8E" w:rsidRPr="00E00E8E" w:rsidRDefault="00E00E8E" w:rsidP="00E00E8E">
      <w:pPr>
        <w:shd w:val="clear" w:color="auto" w:fill="FFFFFF"/>
        <w:suppressAutoHyphens/>
        <w:overflowPunct w:val="0"/>
        <w:autoSpaceDE w:val="0"/>
        <w:ind w:left="552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0E8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ЗАТВЕРДЖЕНО</w:t>
      </w:r>
    </w:p>
    <w:p w14:paraId="1060ABD6" w14:textId="77777777" w:rsidR="00E00E8E" w:rsidRPr="00E00E8E" w:rsidRDefault="00E00E8E" w:rsidP="00E00E8E">
      <w:pPr>
        <w:shd w:val="clear" w:color="auto" w:fill="FFFFFF"/>
        <w:suppressAutoHyphens/>
        <w:overflowPunct w:val="0"/>
        <w:autoSpaceDE w:val="0"/>
        <w:ind w:left="552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0E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Наказом Міністерства</w:t>
      </w:r>
    </w:p>
    <w:p w14:paraId="67ACF05B" w14:textId="77777777" w:rsidR="00E00E8E" w:rsidRPr="00E00E8E" w:rsidRDefault="00E00E8E" w:rsidP="00E00E8E">
      <w:pPr>
        <w:shd w:val="clear" w:color="auto" w:fill="FFFFFF"/>
        <w:suppressAutoHyphens/>
        <w:overflowPunct w:val="0"/>
        <w:autoSpaceDE w:val="0"/>
        <w:ind w:left="552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0E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освіти і науки України</w:t>
      </w:r>
    </w:p>
    <w:p w14:paraId="708DB510" w14:textId="65A4F35B" w:rsidR="00E00E8E" w:rsidRPr="00E00E8E" w:rsidRDefault="00E00E8E" w:rsidP="00E00E8E">
      <w:pPr>
        <w:widowControl w:val="0"/>
        <w:ind w:left="5529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E00E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від «___» _________ 202</w:t>
      </w:r>
      <w:r w:rsidR="00252C2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E00E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р. № ___</w:t>
      </w:r>
    </w:p>
    <w:p w14:paraId="07681722" w14:textId="77777777" w:rsidR="00E00E8E" w:rsidRPr="00E00E8E" w:rsidRDefault="00E00E8E" w:rsidP="00E00E8E">
      <w:pPr>
        <w:widowControl w:val="0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3F4C319E" w14:textId="77777777" w:rsidR="00E00E8E" w:rsidRPr="00E00E8E" w:rsidRDefault="00E00E8E" w:rsidP="00E00E8E">
      <w:pPr>
        <w:widowControl w:val="0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69185210" w14:textId="77777777" w:rsidR="00E00E8E" w:rsidRPr="00E00E8E" w:rsidRDefault="00E00E8E" w:rsidP="00E00E8E">
      <w:pPr>
        <w:widowControl w:val="0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65111D95" w14:textId="77777777" w:rsidR="00E00E8E" w:rsidRPr="00E00E8E" w:rsidRDefault="00E00E8E" w:rsidP="00E00E8E">
      <w:pPr>
        <w:widowControl w:val="0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5CA8BAF0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1872E9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FD39CC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9F2932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FC0DBA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ВИЩОЇ ОСВІТИ </w:t>
      </w:r>
    </w:p>
    <w:p w14:paraId="5DA752A3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A2EA6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7C84AD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FAA9C1" w14:textId="77777777" w:rsidR="00E00E8E" w:rsidRPr="00E00E8E" w:rsidRDefault="00E00E8E" w:rsidP="00E00E8E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РІВЕНЬ ВИЩОЇ </w:t>
      </w:r>
      <w:proofErr w:type="spellStart"/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r w:rsidRPr="00E00E8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E00E8E">
        <w:rPr>
          <w:rFonts w:ascii="Times New Roman" w:eastAsia="Times New Roman" w:hAnsi="Times New Roman" w:cs="Times New Roman"/>
          <w:sz w:val="28"/>
          <w:szCs w:val="28"/>
          <w:u w:val="single"/>
        </w:rPr>
        <w:t>другий</w:t>
      </w:r>
      <w:proofErr w:type="spellEnd"/>
      <w:r w:rsidRPr="00E00E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(магістерський)</w:t>
      </w:r>
      <w:r w:rsidRPr="00E00E8E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544F20D6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  <w:t xml:space="preserve">                     (назва рівня вищої освіти)</w:t>
      </w:r>
    </w:p>
    <w:p w14:paraId="7AAB95C5" w14:textId="77777777" w:rsidR="00E00E8E" w:rsidRPr="00E00E8E" w:rsidRDefault="00E00E8E" w:rsidP="00E00E8E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D9337" w14:textId="77777777" w:rsidR="00E00E8E" w:rsidRPr="00E00E8E" w:rsidRDefault="00E00E8E" w:rsidP="00E00E8E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СТУПІНЬ ВИЩОЇ </w:t>
      </w:r>
      <w:proofErr w:type="spellStart"/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ОСВІТИ_______</w:t>
      </w:r>
      <w:r w:rsidRPr="00E00E8E">
        <w:rPr>
          <w:rFonts w:ascii="Times New Roman" w:eastAsia="Times New Roman" w:hAnsi="Times New Roman" w:cs="Times New Roman"/>
          <w:sz w:val="28"/>
          <w:szCs w:val="28"/>
          <w:u w:val="single"/>
        </w:rPr>
        <w:t>магістр</w:t>
      </w:r>
      <w:proofErr w:type="spellEnd"/>
      <w:r w:rsidRPr="00E00E8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F256724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  <w:t xml:space="preserve">                                (назва ступеня вищої освіти)</w:t>
      </w:r>
    </w:p>
    <w:p w14:paraId="08F2B8D5" w14:textId="77777777" w:rsidR="00E00E8E" w:rsidRPr="00E00E8E" w:rsidRDefault="00E00E8E" w:rsidP="00E00E8E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A97475" w14:textId="64980EA3" w:rsidR="00E00E8E" w:rsidRPr="00E00E8E" w:rsidRDefault="00E00E8E" w:rsidP="00E00E8E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ГАЛУЗЬ ЗНАНЬ</w:t>
      </w:r>
      <w:r w:rsidRPr="00E00E8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F0F9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22</w:t>
      </w:r>
      <w:r w:rsidRPr="00E00E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Охорона здоров’я</w:t>
      </w:r>
      <w:r w:rsidRPr="00E00E8E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19E5855F" w14:textId="77777777" w:rsidR="00E00E8E" w:rsidRPr="00E00E8E" w:rsidRDefault="00E00E8E" w:rsidP="00E00E8E">
      <w:pPr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</w:pPr>
      <w:r w:rsidRPr="00E00E8E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  <w:t xml:space="preserve">                                                                      (шифр та назва галузі знань)</w:t>
      </w:r>
    </w:p>
    <w:p w14:paraId="153A5153" w14:textId="77777777" w:rsidR="00E00E8E" w:rsidRPr="00E00E8E" w:rsidRDefault="00E00E8E" w:rsidP="00E00E8E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E9F63" w14:textId="67A42E30" w:rsidR="00E00E8E" w:rsidRPr="00E00E8E" w:rsidRDefault="00E00E8E" w:rsidP="00E00E8E">
      <w:pPr>
        <w:tabs>
          <w:tab w:val="left" w:pos="7371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СПЕЦІАЛЬНІСТЬ________________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228 Педіатрія</w:t>
      </w: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</w:p>
    <w:p w14:paraId="584588AF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</w:pPr>
      <w:r w:rsidRPr="00E00E8E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</w:rPr>
        <w:t xml:space="preserve">                                          (код та найменування спеціальності)</w:t>
      </w:r>
    </w:p>
    <w:p w14:paraId="60236E8F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4A554EDF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45BFA291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63CC818B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3792AEC7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1147D6BF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0C0617AF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60C75430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59F59771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3DBFBA5E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8"/>
        </w:rPr>
        <w:t>Видання офіційне</w:t>
      </w:r>
    </w:p>
    <w:p w14:paraId="7F5D8CB3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EBA617" w14:textId="77777777" w:rsidR="00E00E8E" w:rsidRPr="00E00E8E" w:rsidRDefault="00E00E8E" w:rsidP="00E00E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 ОСВІТИ  І  НАУКИ  УКРАЇНИ</w:t>
      </w:r>
    </w:p>
    <w:p w14:paraId="654F8BF5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37B91A69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5336F0E8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7DC4C80C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013B776A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6160C525" w14:textId="77777777" w:rsidR="00E00E8E" w:rsidRPr="00E00E8E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14:paraId="5877F9A7" w14:textId="77777777" w:rsidR="00E00E8E" w:rsidRPr="00E00E8E" w:rsidRDefault="00E00E8E" w:rsidP="00E00E8E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Київ</w:t>
      </w:r>
    </w:p>
    <w:p w14:paraId="0DB15F7A" w14:textId="46F42DF1" w:rsidR="00E00E8E" w:rsidRPr="001F0F90" w:rsidRDefault="00E00E8E" w:rsidP="00E00E8E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52C2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3FEA2507" w14:textId="7BD8396B" w:rsidR="00A06D65" w:rsidRDefault="00AC060D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 Преамбула</w:t>
      </w:r>
    </w:p>
    <w:p w14:paraId="2B66BE3B" w14:textId="77777777" w:rsidR="00E00E8E" w:rsidRDefault="00E00E8E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9B5FC7" w14:textId="4A63E296" w:rsidR="00A06D65" w:rsidRPr="00E00E8E" w:rsidRDefault="00AC060D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0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 вищої освіти другого (магістерського) рівня галуз</w:t>
      </w:r>
      <w:r w:rsidR="00E00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</w:t>
      </w:r>
      <w:r w:rsidRPr="00E00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знань 22 Охорона здоров’я спеціальн</w:t>
      </w:r>
      <w:r w:rsidR="00E00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ості</w:t>
      </w:r>
      <w:r w:rsidRPr="00E00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228 Педіатрія.</w:t>
      </w:r>
    </w:p>
    <w:p w14:paraId="7BC9EC3C" w14:textId="77777777" w:rsidR="00E00E8E" w:rsidRDefault="00E00E8E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3BD694" w14:textId="10BA6325" w:rsidR="00A06D65" w:rsidRDefault="00AC060D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та введено в дію наказом Міністерства освіти і науки України від </w:t>
      </w:r>
      <w:r w:rsidR="00E0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 w:rsidR="00114DE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0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_____.</w:t>
      </w:r>
    </w:p>
    <w:p w14:paraId="17C091B2" w14:textId="77777777" w:rsidR="00114DEA" w:rsidRPr="00E00E8E" w:rsidRDefault="00114DEA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078284" w14:textId="53C6BF01" w:rsidR="0053036B" w:rsidRDefault="00E00E8E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розроблено ч</w:t>
      </w:r>
      <w:r w:rsidR="0053036B" w:rsidRPr="0053036B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ами підкомісії зі спеціальності </w:t>
      </w:r>
      <w:r w:rsidR="0053036B" w:rsidRPr="0053036B">
        <w:rPr>
          <w:rFonts w:ascii="Times New Roman" w:hAnsi="Times New Roman" w:cs="Times New Roman"/>
          <w:sz w:val="28"/>
          <w:szCs w:val="28"/>
        </w:rPr>
        <w:t>підкомісії 22</w:t>
      </w:r>
      <w:r w:rsidR="005303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036B">
        <w:rPr>
          <w:rFonts w:ascii="Times New Roman" w:hAnsi="Times New Roman" w:cs="Times New Roman"/>
          <w:sz w:val="28"/>
          <w:szCs w:val="28"/>
        </w:rPr>
        <w:t>Педіатрія</w:t>
      </w:r>
      <w:r w:rsidR="0053036B" w:rsidRPr="0053036B"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53036B">
        <w:rPr>
          <w:rFonts w:ascii="Times New Roman" w:hAnsi="Times New Roman" w:cs="Times New Roman"/>
          <w:sz w:val="28"/>
          <w:szCs w:val="28"/>
        </w:rPr>
        <w:t>-</w:t>
      </w:r>
      <w:r w:rsidR="0053036B" w:rsidRPr="0053036B">
        <w:rPr>
          <w:rFonts w:ascii="Times New Roman" w:hAnsi="Times New Roman" w:cs="Times New Roman"/>
          <w:sz w:val="28"/>
          <w:szCs w:val="28"/>
        </w:rPr>
        <w:t>методичної комісії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036B" w:rsidRPr="0053036B">
        <w:rPr>
          <w:rFonts w:ascii="Times New Roman" w:hAnsi="Times New Roman" w:cs="Times New Roman"/>
          <w:sz w:val="28"/>
          <w:szCs w:val="28"/>
        </w:rPr>
        <w:t xml:space="preserve"> </w:t>
      </w:r>
      <w:r w:rsidRPr="00E00E8E">
        <w:rPr>
          <w:rFonts w:ascii="Times New Roman" w:hAnsi="Times New Roman" w:cs="Times New Roman"/>
          <w:sz w:val="28"/>
          <w:szCs w:val="28"/>
        </w:rPr>
        <w:t>з охорони здоров’я та соціального забезпечення</w:t>
      </w:r>
      <w:r w:rsidR="0053036B" w:rsidRPr="0053036B">
        <w:rPr>
          <w:rFonts w:ascii="Times New Roman" w:hAnsi="Times New Roman" w:cs="Times New Roman"/>
          <w:sz w:val="28"/>
          <w:szCs w:val="28"/>
        </w:rPr>
        <w:t xml:space="preserve"> сектору вищої освіти Науково-методичної ради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683AE3" w14:textId="7BC7A6B1" w:rsidR="00E00E8E" w:rsidRDefault="00E00E8E" w:rsidP="00E00E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2FF5">
        <w:rPr>
          <w:rFonts w:ascii="Times New Roman" w:hAnsi="Times New Roman" w:cs="Times New Roman"/>
          <w:sz w:val="28"/>
          <w:szCs w:val="28"/>
        </w:rPr>
        <w:t>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БЕШ Леся Василівна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E00E8E">
        <w:rPr>
          <w:rFonts w:ascii="Times New Roman" w:hAnsi="Times New Roman" w:cs="Times New Roman"/>
          <w:sz w:val="28"/>
          <w:szCs w:val="28"/>
        </w:rPr>
        <w:t>завідувач кафедри педіатрії № 2 Львівського національного медичного університету імені Данила Галицького</w:t>
      </w:r>
    </w:p>
    <w:p w14:paraId="617D60CF" w14:textId="6C51C489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00E8E" w:rsidRPr="00F42FF5">
        <w:rPr>
          <w:rFonts w:ascii="Times New Roman" w:hAnsi="Times New Roman" w:cs="Times New Roman"/>
          <w:b/>
          <w:bCs/>
          <w:sz w:val="28"/>
          <w:szCs w:val="28"/>
        </w:rPr>
        <w:t>БЄЛОУСОВА Ольга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E8E" w:rsidRPr="00F42FF5">
        <w:rPr>
          <w:rFonts w:ascii="Times New Roman" w:hAnsi="Times New Roman" w:cs="Times New Roman"/>
          <w:b/>
          <w:bCs/>
          <w:sz w:val="28"/>
          <w:szCs w:val="28"/>
        </w:rPr>
        <w:t>Юріївна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="00E00E8E" w:rsidRPr="00E00E8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1F0F90" w:rsidRPr="001F0F90">
        <w:rPr>
          <w:rFonts w:ascii="Times New Roman" w:hAnsi="Times New Roman" w:cs="Times New Roman"/>
          <w:sz w:val="28"/>
          <w:szCs w:val="28"/>
        </w:rPr>
        <w:t xml:space="preserve">завідуюча кафедрою педіатрії N3 та </w:t>
      </w:r>
      <w:proofErr w:type="spellStart"/>
      <w:r w:rsidR="001F0F90" w:rsidRPr="001F0F90">
        <w:rPr>
          <w:rFonts w:ascii="Times New Roman" w:hAnsi="Times New Roman" w:cs="Times New Roman"/>
          <w:sz w:val="28"/>
          <w:szCs w:val="28"/>
        </w:rPr>
        <w:t>неонатології</w:t>
      </w:r>
      <w:proofErr w:type="spellEnd"/>
      <w:r w:rsidR="001F0F90" w:rsidRPr="001F0F90">
        <w:rPr>
          <w:rFonts w:ascii="Times New Roman" w:hAnsi="Times New Roman" w:cs="Times New Roman"/>
          <w:sz w:val="28"/>
          <w:szCs w:val="28"/>
        </w:rPr>
        <w:t xml:space="preserve"> Навчально-наукового інституту післядипломної освіти</w:t>
      </w:r>
      <w:r w:rsidR="001F0F90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університету</w:t>
      </w:r>
    </w:p>
    <w:p w14:paraId="3AC73904" w14:textId="01DB792A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БОЯРЧУК Оксана Романівна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з дитячою хірургією Тернопільського національного медичного університету імені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FF5">
        <w:rPr>
          <w:rFonts w:ascii="Times New Roman" w:hAnsi="Times New Roman" w:cs="Times New Roman"/>
          <w:sz w:val="28"/>
          <w:szCs w:val="28"/>
        </w:rPr>
        <w:t>Я. Горбачевського</w:t>
      </w:r>
    </w:p>
    <w:p w14:paraId="3267E195" w14:textId="088F638D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ВИГОВСЬКА Оксана Валентинівна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декан медичного факультету № 3 (педіатрія) Національного медичного університету ім. О.О. Богомольця (голова робочої групи)</w:t>
      </w:r>
    </w:p>
    <w:p w14:paraId="49851BE2" w14:textId="1F9CB1E6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ГОНЧАРЬ Маргарита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педіатрії № 1 та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неонатології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університету</w:t>
      </w:r>
    </w:p>
    <w:p w14:paraId="4F184E85" w14:textId="5B36AE50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МАМЕНКО Марина Євгеніївна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декан педіатричного факультету Національного університету охорони здоров’я України імені П.Л. Шупика</w:t>
      </w:r>
    </w:p>
    <w:p w14:paraId="14227601" w14:textId="7FC72018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СИНОВЕРСЬКА Ольга Богданівна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післядипломної освіти ДВНЗ «Івано-Франківський національний медичний університет»</w:t>
      </w:r>
    </w:p>
    <w:p w14:paraId="41E761D5" w14:textId="39A9052F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СМІЯН Олександр Іванович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завідувач кафедри педіатрії Сумського державного університету</w:t>
      </w:r>
    </w:p>
    <w:p w14:paraId="229EF4BE" w14:textId="4A7165E0" w:rsidR="00E00E8E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УСАЧОВА Олена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C68"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інфекційних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Запорізького державного медико-фармацевтичного університету</w:t>
      </w:r>
    </w:p>
    <w:p w14:paraId="6C4C7D86" w14:textId="77777777" w:rsidR="00F42FF5" w:rsidRDefault="00F42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664BA" w14:textId="54EF9319" w:rsidR="00A06D65" w:rsidRPr="00794B51" w:rsidRDefault="00AC060D" w:rsidP="00F42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69">
        <w:rPr>
          <w:rFonts w:ascii="Times New Roman" w:eastAsia="Times New Roman" w:hAnsi="Times New Roman" w:cs="Times New Roman"/>
          <w:sz w:val="28"/>
          <w:szCs w:val="28"/>
        </w:rPr>
        <w:t xml:space="preserve">Стандарт розглянуто та схвалено на засіданні </w:t>
      </w:r>
      <w:r w:rsidR="00E8485F" w:rsidRPr="00E8485F">
        <w:rPr>
          <w:rFonts w:ascii="Times New Roman" w:eastAsia="Times New Roman" w:hAnsi="Times New Roman" w:cs="Times New Roman"/>
          <w:sz w:val="28"/>
          <w:szCs w:val="28"/>
        </w:rPr>
        <w:t>підкомісії 228 Педіатрія Науково-методичної комісії 11 з охорони здоров’я та соціального забезпечення сектору вищої освіти Науково-методичної ради Міністерства освіти і науки України</w:t>
      </w:r>
      <w:r w:rsidR="00E84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85F" w:rsidRPr="00794B51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        </w:t>
      </w:r>
      <w:r w:rsidR="00252C24" w:rsidRPr="00794B51">
        <w:rPr>
          <w:rFonts w:ascii="Times New Roman" w:eastAsia="Times New Roman" w:hAnsi="Times New Roman" w:cs="Times New Roman"/>
          <w:sz w:val="28"/>
          <w:szCs w:val="28"/>
        </w:rPr>
        <w:t>2024 р.</w:t>
      </w:r>
      <w:r w:rsidR="00E8485F" w:rsidRPr="00794B51">
        <w:rPr>
          <w:rFonts w:ascii="Times New Roman" w:eastAsia="Times New Roman" w:hAnsi="Times New Roman" w:cs="Times New Roman"/>
          <w:sz w:val="28"/>
          <w:szCs w:val="28"/>
        </w:rPr>
        <w:t xml:space="preserve">   №          </w:t>
      </w:r>
      <w:r w:rsidR="001A3A69" w:rsidRPr="00794B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DC6109" w14:textId="77777777" w:rsidR="0059444F" w:rsidRPr="00794B51" w:rsidRDefault="0059444F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CEBD0" w14:textId="05BCDA71" w:rsidR="0059444F" w:rsidRDefault="00AC060D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51">
        <w:rPr>
          <w:rFonts w:ascii="Times New Roman" w:eastAsia="Times New Roman" w:hAnsi="Times New Roman" w:cs="Times New Roman"/>
          <w:sz w:val="28"/>
          <w:szCs w:val="28"/>
        </w:rPr>
        <w:t>Стандарт розглянуто на засіданні сектору вищої освіти Науково-методичної ради Міністерства освіти і науки України</w:t>
      </w:r>
      <w:r w:rsidR="0059444F" w:rsidRPr="00794B51">
        <w:rPr>
          <w:rFonts w:ascii="Times New Roman" w:eastAsia="Times New Roman" w:hAnsi="Times New Roman" w:cs="Times New Roman"/>
          <w:sz w:val="28"/>
          <w:szCs w:val="28"/>
        </w:rPr>
        <w:t>, протокол від 21 червня 2019 р. № 3.</w:t>
      </w:r>
    </w:p>
    <w:p w14:paraId="1762F2DD" w14:textId="77777777" w:rsidR="001F0F90" w:rsidRPr="0059444F" w:rsidRDefault="001F0F90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99FEE" w14:textId="05EA85D5" w:rsidR="00A06D65" w:rsidRDefault="00AC060D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44F">
        <w:rPr>
          <w:rFonts w:ascii="Times New Roman" w:eastAsia="Times New Roman" w:hAnsi="Times New Roman" w:cs="Times New Roman"/>
          <w:sz w:val="28"/>
          <w:szCs w:val="28"/>
        </w:rPr>
        <w:t>Фахову експертизу проводили:</w:t>
      </w:r>
    </w:p>
    <w:p w14:paraId="684A0F35" w14:textId="77777777" w:rsidR="0059444F" w:rsidRDefault="0059444F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E8729" w14:textId="77777777" w:rsidR="003815E6" w:rsidRDefault="003815E6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71E15" w14:textId="7089B846" w:rsidR="0059444F" w:rsidRDefault="008775B0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B0">
        <w:rPr>
          <w:rFonts w:ascii="Times New Roman" w:eastAsia="Times New Roman" w:hAnsi="Times New Roman" w:cs="Times New Roman"/>
          <w:sz w:val="28"/>
          <w:szCs w:val="28"/>
        </w:rPr>
        <w:t>Методичну експертизу проводили:</w:t>
      </w:r>
    </w:p>
    <w:p w14:paraId="042D0C1C" w14:textId="77777777" w:rsidR="0059444F" w:rsidRDefault="0059444F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uk-UA" w:bidi="en-US"/>
        </w:rPr>
      </w:pPr>
    </w:p>
    <w:p w14:paraId="67950CFD" w14:textId="77777777" w:rsidR="003815E6" w:rsidRDefault="003815E6" w:rsidP="00594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F2DCA" w14:textId="73EF51CB" w:rsidR="00A06D65" w:rsidRDefault="00AC060D" w:rsidP="001F0F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розглянуто Міністерством охорони здоров’я України</w:t>
      </w:r>
      <w:r w:rsidR="00771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Федерацією роботодавців України</w:t>
      </w:r>
      <w:r w:rsidR="001F0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7C5A19" w14:textId="77777777" w:rsidR="00A06D65" w:rsidRDefault="00A06D65" w:rsidP="001F0F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9685E" w14:textId="56DF2F22" w:rsidR="00A06D65" w:rsidRPr="00794B51" w:rsidRDefault="00AC060D" w:rsidP="001F0F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розглянуто після надходження всіх зауважень та пропозицій та схвалено на засіданні підкомісії зі спеціальності </w:t>
      </w:r>
      <w:r w:rsidR="001F0F90" w:rsidRPr="001F0F90">
        <w:rPr>
          <w:rFonts w:ascii="Times New Roman" w:eastAsia="Times New Roman" w:hAnsi="Times New Roman" w:cs="Times New Roman"/>
          <w:color w:val="000000"/>
          <w:sz w:val="28"/>
          <w:szCs w:val="28"/>
        </w:rPr>
        <w:t>228 Педіатрія Науково-методичної комісії 11 з охорони здоров’я та соціального забезпечення сектору вищої освіти Науково-методичної ради Міністерства освіти і науки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 _________202</w:t>
      </w:r>
      <w:r w:rsidR="00252C24"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r w:rsidR="001F0F90"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№.</w:t>
      </w:r>
    </w:p>
    <w:p w14:paraId="5945BE94" w14:textId="77777777" w:rsidR="00A06D65" w:rsidRPr="00794B51" w:rsidRDefault="00A06D65" w:rsidP="001F0F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AD2B33" w14:textId="51850ED1" w:rsidR="00A06D65" w:rsidRDefault="00AC060D" w:rsidP="001F0F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погоджено Національним агентством із забезпечення якості вищої освіти, протокол від_______202</w:t>
      </w:r>
      <w:r w:rsidR="00252C24"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  <w:r w:rsidR="001F0F90"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     .</w:t>
      </w:r>
    </w:p>
    <w:p w14:paraId="055F31E7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A0D63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B057B9" w14:textId="2E1D7A31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ІІ Загальна характеристика</w:t>
      </w:r>
    </w:p>
    <w:p w14:paraId="642215FE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A06D65" w14:paraId="6004F0BF" w14:textId="77777777" w:rsidTr="003D4E41">
        <w:trPr>
          <w:trHeight w:val="151"/>
        </w:trPr>
        <w:tc>
          <w:tcPr>
            <w:tcW w:w="2835" w:type="dxa"/>
          </w:tcPr>
          <w:p w14:paraId="0AB29D8C" w14:textId="77777777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Рівень вищої освіти</w:t>
            </w:r>
          </w:p>
        </w:tc>
        <w:tc>
          <w:tcPr>
            <w:tcW w:w="7088" w:type="dxa"/>
          </w:tcPr>
          <w:p w14:paraId="0152C966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Другий (магістерський) рівень </w:t>
            </w:r>
          </w:p>
        </w:tc>
      </w:tr>
      <w:tr w:rsidR="00A06D65" w14:paraId="6182220C" w14:textId="77777777" w:rsidTr="003D4E41">
        <w:trPr>
          <w:trHeight w:val="151"/>
        </w:trPr>
        <w:tc>
          <w:tcPr>
            <w:tcW w:w="2835" w:type="dxa"/>
          </w:tcPr>
          <w:p w14:paraId="3894AD0D" w14:textId="79846983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Ступінь</w:t>
            </w:r>
            <w:r w:rsidR="003D4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вищої освіти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3ABF8C9C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Магістр </w:t>
            </w:r>
          </w:p>
        </w:tc>
      </w:tr>
      <w:tr w:rsidR="00A06D65" w14:paraId="0D2F4363" w14:textId="77777777" w:rsidTr="003D4E41">
        <w:tc>
          <w:tcPr>
            <w:tcW w:w="2835" w:type="dxa"/>
          </w:tcPr>
          <w:p w14:paraId="58611D58" w14:textId="270ACA30" w:rsidR="00A06D65" w:rsidRDefault="003D4E41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7088" w:type="dxa"/>
          </w:tcPr>
          <w:p w14:paraId="20AFA3E5" w14:textId="5C204237" w:rsidR="00A06D65" w:rsidRDefault="00AC060D" w:rsidP="0038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Охорона здоров’я </w:t>
            </w:r>
            <w:r w:rsidR="0038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A06D65" w14:paraId="045C42D4" w14:textId="77777777" w:rsidTr="003D4E41">
        <w:tc>
          <w:tcPr>
            <w:tcW w:w="2835" w:type="dxa"/>
          </w:tcPr>
          <w:p w14:paraId="6938F378" w14:textId="43447F31" w:rsidR="00A06D65" w:rsidRDefault="003D4E41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7088" w:type="dxa"/>
          </w:tcPr>
          <w:p w14:paraId="48E13FE0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 Педіатрія</w:t>
            </w:r>
          </w:p>
        </w:tc>
      </w:tr>
      <w:tr w:rsidR="00A06D65" w14:paraId="1F1B1BDB" w14:textId="77777777" w:rsidTr="003D4E41">
        <w:trPr>
          <w:trHeight w:val="151"/>
        </w:trPr>
        <w:tc>
          <w:tcPr>
            <w:tcW w:w="2835" w:type="dxa"/>
          </w:tcPr>
          <w:p w14:paraId="627C794F" w14:textId="7D9B9C9F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 </w:t>
            </w:r>
            <w:r w:rsidR="003D4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здобуття освіти</w:t>
            </w:r>
          </w:p>
        </w:tc>
        <w:tc>
          <w:tcPr>
            <w:tcW w:w="7088" w:type="dxa"/>
          </w:tcPr>
          <w:p w14:paraId="5C46B1AD" w14:textId="0C62BB4B" w:rsidR="00A06D65" w:rsidRPr="0053036B" w:rsidRDefault="00530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036B">
              <w:rPr>
                <w:rFonts w:ascii="Times New Roman" w:hAnsi="Times New Roman" w:cs="Times New Roman"/>
                <w:sz w:val="28"/>
                <w:szCs w:val="28"/>
              </w:rPr>
              <w:t>Підготовка здійснюється лише за денною формою навчання</w:t>
            </w:r>
          </w:p>
        </w:tc>
      </w:tr>
      <w:tr w:rsidR="00A06D65" w14:paraId="7AA44449" w14:textId="77777777" w:rsidTr="003D4E41">
        <w:trPr>
          <w:trHeight w:val="151"/>
        </w:trPr>
        <w:tc>
          <w:tcPr>
            <w:tcW w:w="2835" w:type="dxa"/>
          </w:tcPr>
          <w:p w14:paraId="6E086A83" w14:textId="77777777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7088" w:type="dxa"/>
          </w:tcPr>
          <w:p w14:paraId="53EB0825" w14:textId="4D9646E6" w:rsidR="00A06D65" w:rsidRDefault="00AC060D" w:rsidP="00530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Магістр педіатрії</w:t>
            </w:r>
          </w:p>
        </w:tc>
      </w:tr>
      <w:tr w:rsidR="00A06D65" w14:paraId="1E5B256B" w14:textId="77777777" w:rsidTr="003D4E41">
        <w:trPr>
          <w:trHeight w:val="151"/>
        </w:trPr>
        <w:tc>
          <w:tcPr>
            <w:tcW w:w="2835" w:type="dxa"/>
          </w:tcPr>
          <w:p w14:paraId="0ADCA45A" w14:textId="77777777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Професійна кваліфікація </w:t>
            </w:r>
          </w:p>
        </w:tc>
        <w:tc>
          <w:tcPr>
            <w:tcW w:w="7088" w:type="dxa"/>
          </w:tcPr>
          <w:p w14:paraId="4D99BFAD" w14:textId="6F6C8730" w:rsidR="00A06D65" w:rsidRDefault="00AC060D" w:rsidP="001A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Лікар</w:t>
            </w:r>
          </w:p>
        </w:tc>
      </w:tr>
      <w:tr w:rsidR="00A06D65" w14:paraId="513CC725" w14:textId="77777777" w:rsidTr="003D4E41">
        <w:trPr>
          <w:trHeight w:val="151"/>
        </w:trPr>
        <w:tc>
          <w:tcPr>
            <w:tcW w:w="2835" w:type="dxa"/>
          </w:tcPr>
          <w:p w14:paraId="29B73DFC" w14:textId="77777777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Кваліфікація в дипломі</w:t>
            </w:r>
          </w:p>
        </w:tc>
        <w:tc>
          <w:tcPr>
            <w:tcW w:w="7088" w:type="dxa"/>
          </w:tcPr>
          <w:p w14:paraId="7E54FA77" w14:textId="77777777" w:rsidR="007D7C7B" w:rsidRDefault="007D7C7B" w:rsidP="001A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− магістр </w:t>
            </w:r>
          </w:p>
          <w:p w14:paraId="411152E5" w14:textId="1958733A" w:rsidR="007D7C7B" w:rsidRDefault="007D7C7B" w:rsidP="007D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>Спеціальність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Педіатрія</w:t>
            </w: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E0F0D" w14:textId="77777777" w:rsidR="00671C68" w:rsidRDefault="007D7C7B" w:rsidP="007D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Спеціалізація – (зазначити назву спеціалізації за наявності) </w:t>
            </w:r>
          </w:p>
          <w:p w14:paraId="2AB7336E" w14:textId="7B5E10F9" w:rsidR="00A06D65" w:rsidRPr="007D7C7B" w:rsidRDefault="007D7C7B" w:rsidP="007D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7B">
              <w:rPr>
                <w:rFonts w:ascii="Times New Roman" w:hAnsi="Times New Roman" w:cs="Times New Roman"/>
                <w:sz w:val="28"/>
                <w:szCs w:val="28"/>
              </w:rPr>
              <w:t>Професійна кваліфікація – лікар</w:t>
            </w:r>
          </w:p>
        </w:tc>
      </w:tr>
      <w:tr w:rsidR="003D4E41" w14:paraId="61FCB61D" w14:textId="77777777" w:rsidTr="003D4E41">
        <w:trPr>
          <w:trHeight w:val="151"/>
        </w:trPr>
        <w:tc>
          <w:tcPr>
            <w:tcW w:w="2835" w:type="dxa"/>
          </w:tcPr>
          <w:p w14:paraId="1B5AC7A0" w14:textId="45E68EDC" w:rsidR="003D4E41" w:rsidRDefault="003D4E41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Додаткові вимоги до правил прийому</w:t>
            </w:r>
          </w:p>
        </w:tc>
        <w:tc>
          <w:tcPr>
            <w:tcW w:w="7088" w:type="dxa"/>
          </w:tcPr>
          <w:p w14:paraId="04A8FCF3" w14:textId="77777777" w:rsidR="003D4E41" w:rsidRPr="007D7C7B" w:rsidRDefault="003D4E41" w:rsidP="001A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65" w14:paraId="57F0F738" w14:textId="77777777" w:rsidTr="003D4E41">
        <w:trPr>
          <w:trHeight w:val="151"/>
        </w:trPr>
        <w:tc>
          <w:tcPr>
            <w:tcW w:w="2835" w:type="dxa"/>
          </w:tcPr>
          <w:p w14:paraId="23B0BB86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 предметної області</w:t>
            </w:r>
          </w:p>
          <w:p w14:paraId="4E16B86E" w14:textId="77777777" w:rsidR="00A06D65" w:rsidRDefault="00A0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AE2901" w14:textId="77777777" w:rsidR="00A06D65" w:rsidRDefault="00A0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7577ACD" w14:textId="77777777" w:rsidR="00671C68" w:rsidRPr="00671C68" w:rsidRDefault="00671C68" w:rsidP="00671C68">
            <w:pPr>
              <w:pStyle w:val="aff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Об’єктом діяльності є –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збереження здоров’я, профілактика, діагностика та лікування захворювань людини, зокрема дітей різних вікових груп.</w:t>
            </w:r>
          </w:p>
          <w:p w14:paraId="320ED0E8" w14:textId="77777777" w:rsidR="00671C68" w:rsidRPr="00671C68" w:rsidRDefault="00671C68" w:rsidP="00671C68">
            <w:pPr>
              <w:pStyle w:val="aff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Цілі навчання –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оволодіння сучасним клінічним мисленням; набуття здатності розв’язувати спеціалізовані задачі та практичні проблеми у галузі охорони здоров’я дітей і підлітків; готовність до проходження первинної спеціалізації (інтернатури) із подальшим виконанням професійної діяльності лікаря-спеціаліста.</w:t>
            </w:r>
          </w:p>
          <w:p w14:paraId="7D71243A" w14:textId="77777777" w:rsidR="00671C68" w:rsidRPr="00671C68" w:rsidRDefault="00671C68" w:rsidP="00671C68">
            <w:pPr>
              <w:pStyle w:val="aff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Теоретичний зміст предметної області: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система знань (поняття, концепції, теорії, принципи, алгоритми), які використовуються для здійснення професійної діяльності в галузі охорони здоров’я дітей і підлітків.</w:t>
            </w: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887BE00" w14:textId="77777777" w:rsidR="00671C68" w:rsidRPr="00671C68" w:rsidRDefault="00671C68" w:rsidP="00671C68">
            <w:pPr>
              <w:pStyle w:val="aff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Методи, методики та технології: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наукового пізнання; збору, пошуку та аналітичної обробки інформації; оцінки, діагностики, диференційної діагностики, лікування, реабілітації та профілактики; прийняття рішень, управління та організації роботи в галузі охорони здоров’я; статистичного аналізу даних та медичної інформатики; медичних комунікацій.</w:t>
            </w:r>
          </w:p>
          <w:p w14:paraId="3C5D0761" w14:textId="0A910CCD" w:rsidR="00A06D65" w:rsidRDefault="00671C68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C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Інструменти та обладнання (об’єкти/предмети, пристрої та прилади):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інструментарій та механічні пристрої, що використовують під час медичних маніпуляцій та хірургічних </w:t>
            </w:r>
            <w:proofErr w:type="spellStart"/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втручань</w:t>
            </w:r>
            <w:proofErr w:type="spellEnd"/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вимірювальні прилади; пристрої для діагностики, лікування та </w:t>
            </w:r>
            <w:r w:rsidRPr="00671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реабілітації; комп’ютерна техніка та спеціалізоване програмне забезпечення.</w:t>
            </w:r>
          </w:p>
        </w:tc>
      </w:tr>
      <w:tr w:rsidR="00A06D65" w14:paraId="1C92F01C" w14:textId="77777777" w:rsidTr="003D4E41">
        <w:trPr>
          <w:trHeight w:val="552"/>
        </w:trPr>
        <w:tc>
          <w:tcPr>
            <w:tcW w:w="2835" w:type="dxa"/>
          </w:tcPr>
          <w:p w14:paraId="5248F729" w14:textId="77777777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Академічні та професійні права випускників</w:t>
            </w:r>
          </w:p>
        </w:tc>
        <w:tc>
          <w:tcPr>
            <w:tcW w:w="7088" w:type="dxa"/>
          </w:tcPr>
          <w:p w14:paraId="072CEF90" w14:textId="77777777" w:rsidR="00671C68" w:rsidRPr="00671C68" w:rsidRDefault="00671C68" w:rsidP="00671C68">
            <w:pPr>
              <w:pStyle w:val="TableParagraph"/>
              <w:numPr>
                <w:ilvl w:val="0"/>
                <w:numId w:val="25"/>
              </w:numPr>
              <w:spacing w:before="1"/>
              <w:ind w:left="431" w:right="9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71C68">
              <w:rPr>
                <w:color w:val="000000" w:themeColor="text1"/>
                <w:sz w:val="28"/>
                <w:szCs w:val="28"/>
                <w:lang w:val="uk-UA"/>
              </w:rPr>
              <w:t xml:space="preserve">Вступати на програми післядипломної освіти (інтернатури, резидентури) за фахом «педіатрія» та іншими спеціальностями за переліком, визначеним Міністерством охорони здоров’я України, із подальшим набуттям звання «лікар-спеціаліст». </w:t>
            </w:r>
          </w:p>
          <w:p w14:paraId="61EF11B8" w14:textId="77777777" w:rsidR="00671C68" w:rsidRPr="00671C68" w:rsidRDefault="00671C68" w:rsidP="00671C68">
            <w:pPr>
              <w:pStyle w:val="TableParagraph"/>
              <w:numPr>
                <w:ilvl w:val="0"/>
                <w:numId w:val="25"/>
              </w:numPr>
              <w:spacing w:before="1"/>
              <w:ind w:left="431" w:right="9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71C68">
              <w:rPr>
                <w:color w:val="000000" w:themeColor="text1"/>
                <w:sz w:val="28"/>
                <w:szCs w:val="28"/>
                <w:lang w:val="uk-UA"/>
              </w:rPr>
              <w:t xml:space="preserve">Вступати на програми третього (освітньо-наукового) рівня </w:t>
            </w:r>
            <w:proofErr w:type="spellStart"/>
            <w:r w:rsidRPr="00671C68">
              <w:rPr>
                <w:color w:val="000000" w:themeColor="text1"/>
                <w:sz w:val="28"/>
                <w:szCs w:val="28"/>
                <w:lang w:val="uk-UA"/>
              </w:rPr>
              <w:t>вищоі</w:t>
            </w:r>
            <w:proofErr w:type="spellEnd"/>
            <w:r w:rsidRPr="00671C68">
              <w:rPr>
                <w:color w:val="000000" w:themeColor="text1"/>
                <w:sz w:val="28"/>
                <w:szCs w:val="28"/>
                <w:lang w:val="uk-UA"/>
              </w:rPr>
              <w:t xml:space="preserve">̈ освіти </w:t>
            </w:r>
            <w:r w:rsidRPr="00671C68">
              <w:rPr>
                <w:color w:val="000000" w:themeColor="text1"/>
                <w:sz w:val="28"/>
                <w:szCs w:val="28"/>
                <w:lang w:val="ru-RU"/>
              </w:rPr>
              <w:t>для</w:t>
            </w:r>
            <w:r w:rsidRPr="00671C6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1C68">
              <w:rPr>
                <w:color w:val="000000" w:themeColor="text1"/>
                <w:sz w:val="28"/>
                <w:szCs w:val="28"/>
                <w:lang w:val="ru-RU"/>
              </w:rPr>
              <w:t>здобуття</w:t>
            </w:r>
            <w:proofErr w:type="spellEnd"/>
            <w:r w:rsidRPr="00671C6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1C6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наукового</w:t>
            </w:r>
            <w:proofErr w:type="spellEnd"/>
            <w:r w:rsidRPr="00671C6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1C68">
              <w:rPr>
                <w:color w:val="000000" w:themeColor="text1"/>
                <w:sz w:val="28"/>
                <w:szCs w:val="28"/>
                <w:lang w:val="ru-RU"/>
              </w:rPr>
              <w:t>ступеня</w:t>
            </w:r>
            <w:proofErr w:type="spellEnd"/>
            <w:r w:rsidRPr="00671C6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71C68">
              <w:rPr>
                <w:color w:val="000000" w:themeColor="text1"/>
                <w:sz w:val="28"/>
                <w:szCs w:val="28"/>
                <w:lang w:val="ru-RU"/>
              </w:rPr>
              <w:t>доктора</w:t>
            </w:r>
            <w:r w:rsidRPr="00671C6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1C68">
              <w:rPr>
                <w:color w:val="000000" w:themeColor="text1"/>
                <w:sz w:val="28"/>
                <w:szCs w:val="28"/>
                <w:lang w:val="ru-RU"/>
              </w:rPr>
              <w:t>філософії</w:t>
            </w:r>
            <w:proofErr w:type="spellEnd"/>
            <w:r w:rsidRPr="00671C6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71C68">
              <w:rPr>
                <w:color w:val="000000" w:themeColor="text1"/>
                <w:sz w:val="28"/>
                <w:szCs w:val="28"/>
                <w:lang w:val="uk-UA"/>
              </w:rPr>
              <w:t>за спеціальностями, які не вимагають попереднього отримання сертифікату лікаря-спеціаліста.</w:t>
            </w:r>
          </w:p>
          <w:p w14:paraId="30F75C0B" w14:textId="2B87B8B4" w:rsidR="00A06D65" w:rsidRPr="00671C68" w:rsidRDefault="00671C68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Підвищувати</w:t>
            </w:r>
            <w:r w:rsidRPr="00671C68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кваліфікацію</w:t>
            </w:r>
            <w:r w:rsidRPr="00671C68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71C6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системі</w:t>
            </w:r>
            <w:r w:rsidRPr="00671C6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безперервного професійного</w:t>
            </w:r>
            <w:r w:rsidRPr="00671C6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розвитку.</w:t>
            </w:r>
          </w:p>
        </w:tc>
      </w:tr>
      <w:tr w:rsidR="00A06D65" w14:paraId="52AAE256" w14:textId="77777777" w:rsidTr="003D4E41">
        <w:trPr>
          <w:trHeight w:val="151"/>
        </w:trPr>
        <w:tc>
          <w:tcPr>
            <w:tcW w:w="2835" w:type="dxa"/>
          </w:tcPr>
          <w:p w14:paraId="4C121B0B" w14:textId="39035781" w:rsidR="00A06D65" w:rsidRDefault="00AC060D" w:rsidP="003D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Працевлаштування випускників </w:t>
            </w:r>
          </w:p>
        </w:tc>
        <w:tc>
          <w:tcPr>
            <w:tcW w:w="7088" w:type="dxa"/>
          </w:tcPr>
          <w:p w14:paraId="7B07FCFD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НАЦІОНАЛЬНОГО КЛАСИФІКАТОРА УКРАЇНИ фахівець підготовлений до роботи за ДК 009:2010</w:t>
            </w:r>
          </w:p>
          <w:p w14:paraId="7C817968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86 ОХОРОНА ЗДОРОВ’Я</w:t>
            </w:r>
          </w:p>
          <w:p w14:paraId="0E1B8298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Секція </w:t>
            </w:r>
            <w:r w:rsidRPr="00C601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Q</w:t>
            </w:r>
            <w:r w:rsidRPr="00C6015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 Охорона здоров’я та надання соціальної допомоги</w:t>
            </w:r>
          </w:p>
          <w:p w14:paraId="506DC5C7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86.1 – Діяльність лікарняних закладів</w:t>
            </w:r>
          </w:p>
          <w:p w14:paraId="1E4944DA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86.10 – Діяльність лікарняних закладів</w:t>
            </w:r>
          </w:p>
          <w:p w14:paraId="7BE325B3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86.21 – Загальна медична практика</w:t>
            </w:r>
          </w:p>
          <w:p w14:paraId="542A414E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86.22 – Спеціалізована медична практика</w:t>
            </w:r>
          </w:p>
          <w:p w14:paraId="74184225" w14:textId="77777777" w:rsidR="00671C68" w:rsidRPr="00C60159" w:rsidRDefault="00671C68" w:rsidP="00671C68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86.90 – Інша діяльність у сфері охорони здоров’я</w:t>
            </w:r>
          </w:p>
          <w:p w14:paraId="61AE8C76" w14:textId="77777777" w:rsidR="00671C68" w:rsidRPr="00C60159" w:rsidRDefault="00671C68" w:rsidP="00671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</w:rPr>
              <w:t>Після закінчення навчання за освітньою програмою магістра спеціальності 228 «Педіатрія» фахівець здатний виконувати професійну роботу:</w:t>
            </w:r>
          </w:p>
          <w:p w14:paraId="004F7100" w14:textId="77777777" w:rsidR="00671C68" w:rsidRPr="00C60159" w:rsidRDefault="00671C68" w:rsidP="0067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</w:rPr>
              <w:t>- лікар-інтерн (код КП – 3229);</w:t>
            </w:r>
          </w:p>
          <w:p w14:paraId="02AEB038" w14:textId="77777777" w:rsidR="00671C68" w:rsidRPr="00C60159" w:rsidRDefault="00671C68" w:rsidP="0067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</w:rPr>
              <w:t>- лікар-стажист (код КП - 3221);</w:t>
            </w:r>
          </w:p>
          <w:p w14:paraId="6DA449AA" w14:textId="02AB1610" w:rsidR="00A06D65" w:rsidRPr="00671C68" w:rsidRDefault="00671C68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0159">
              <w:rPr>
                <w:rFonts w:ascii="Times New Roman" w:hAnsi="Times New Roman" w:cs="Times New Roman"/>
                <w:sz w:val="28"/>
                <w:szCs w:val="28"/>
              </w:rPr>
              <w:t>- лікар-резидент (код КП – ХХХ).</w:t>
            </w:r>
          </w:p>
        </w:tc>
      </w:tr>
    </w:tbl>
    <w:p w14:paraId="76CD37A8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E6C64" w14:textId="75D65201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ІІІ Вимоги до рівня освіти осіб, які можуть розпочати навчання за освітніми програмами спеціальності</w:t>
      </w:r>
      <w:r w:rsidR="003D4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4E41" w:rsidRPr="003D4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228 Педіатрія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та їх результатів навчання </w:t>
      </w:r>
    </w:p>
    <w:p w14:paraId="23B0C51F" w14:textId="77777777" w:rsidR="003D4E41" w:rsidRDefault="003D4E41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F37D1C" w14:textId="5B2B3583" w:rsidR="00223940" w:rsidRPr="00223940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здобуття освітнього рівня «магістр» можуть вступати особи, що здобули повну загальну середню освіту</w:t>
      </w:r>
      <w:r w:rsidR="00223940" w:rsidRPr="00671C68">
        <w:rPr>
          <w:rFonts w:ascii="Times New Roman" w:hAnsi="Times New Roman" w:cs="Times New Roman"/>
          <w:sz w:val="28"/>
          <w:szCs w:val="28"/>
        </w:rPr>
        <w:t xml:space="preserve"> за умови успішного складання зовнішнього незалежного оцінювання якості освіти й відповідно до затверджених Правил прийому ЗВО та на основі освітньо-кваліфікаційного рівня фахового молодшого бакалавра (молодшого спеціаліста) за спеціальністю 223 «</w:t>
      </w:r>
      <w:proofErr w:type="spellStart"/>
      <w:r w:rsidR="00223940" w:rsidRPr="00671C68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="00223940" w:rsidRPr="00671C68">
        <w:rPr>
          <w:rFonts w:ascii="Times New Roman" w:hAnsi="Times New Roman" w:cs="Times New Roman"/>
          <w:sz w:val="28"/>
          <w:szCs w:val="28"/>
        </w:rPr>
        <w:t>», спеціалізацій: «Лікувальна справа», «Сестринська справа», «Акушерська справа» за умови успішного складання зовнішнього</w:t>
      </w:r>
      <w:r w:rsidR="00223940" w:rsidRPr="00671C68">
        <w:rPr>
          <w:rFonts w:ascii="Times New Roman" w:hAnsi="Times New Roman" w:cs="Times New Roman"/>
        </w:rPr>
        <w:t xml:space="preserve"> </w:t>
      </w:r>
      <w:r w:rsidR="00223940" w:rsidRPr="00671C68">
        <w:rPr>
          <w:rFonts w:ascii="Times New Roman" w:hAnsi="Times New Roman" w:cs="Times New Roman"/>
          <w:sz w:val="28"/>
          <w:szCs w:val="28"/>
        </w:rPr>
        <w:t>незалежного оцінювання якості освіти та відповідно до затверджених Правил прийому ЗВО.</w:t>
      </w:r>
    </w:p>
    <w:p w14:paraId="408A488B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2B9BC" w14:textId="77777777" w:rsidR="003D4E41" w:rsidRDefault="003D4E41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D2D7B" w14:textId="1B1DBAE4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Обсяг кредитів ЄКТС, необхідний для здобуття відповідного ступеня вищої освіти</w:t>
      </w:r>
    </w:p>
    <w:p w14:paraId="622C2E08" w14:textId="77777777" w:rsidR="003D4E41" w:rsidRDefault="003D4E41" w:rsidP="003D4E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6B3CD" w14:textId="0D77BF9C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кредитів ЄКТС, необхідний для здобуття ступеня магістра за спеціальністю «</w:t>
      </w:r>
      <w:r w:rsidRPr="001A3A69">
        <w:rPr>
          <w:rFonts w:ascii="Times New Roman" w:eastAsia="Times New Roman" w:hAnsi="Times New Roman" w:cs="Times New Roman"/>
          <w:color w:val="000000"/>
          <w:sz w:val="28"/>
          <w:szCs w:val="28"/>
        </w:rPr>
        <w:t>Педіатрія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базі повної загальної середньої освіти становить 360</w:t>
      </w:r>
      <w:r w:rsidR="003D4E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кредитів ЄКТС. </w:t>
      </w:r>
    </w:p>
    <w:p w14:paraId="454CC3DF" w14:textId="77777777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базі ступеня «молодший бакалавр» (освітньо-кваліфікаційного рівня «молодший спеціаліст») заклад вищої освіти має право визнати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перезарахувати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більше ніж 60 кредитів ЄКТС, отриманих в межах попередньої освітньої програми підготовки молодшого бакалавра (молодшого спеціаліста) за спеціальністю за спеціальністю 223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Медсестринство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D031A5B" w14:textId="5780A870" w:rsidR="00A06D65" w:rsidRPr="00671C68" w:rsidRDefault="00AC060D" w:rsidP="003D4E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68">
        <w:rPr>
          <w:rFonts w:ascii="Times New Roman" w:eastAsia="Times New Roman" w:hAnsi="Times New Roman" w:cs="Times New Roman"/>
          <w:sz w:val="28"/>
          <w:szCs w:val="28"/>
        </w:rPr>
        <w:t>На базі ступеня «бакалавр» галузі знань 22 Охорона здоров’я (за винятком 226</w:t>
      </w:r>
      <w:r w:rsidR="00967D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1C68">
        <w:rPr>
          <w:rFonts w:ascii="Times New Roman" w:eastAsia="Times New Roman" w:hAnsi="Times New Roman" w:cs="Times New Roman"/>
          <w:sz w:val="28"/>
          <w:szCs w:val="28"/>
        </w:rPr>
        <w:t xml:space="preserve"> Фармація, промислова фармація) заклад вищої освіти має право визнати та </w:t>
      </w:r>
      <w:proofErr w:type="spellStart"/>
      <w:r w:rsidRPr="00671C68">
        <w:rPr>
          <w:rFonts w:ascii="Times New Roman" w:eastAsia="Times New Roman" w:hAnsi="Times New Roman" w:cs="Times New Roman"/>
          <w:sz w:val="28"/>
          <w:szCs w:val="28"/>
        </w:rPr>
        <w:t>перезарахувати</w:t>
      </w:r>
      <w:proofErr w:type="spellEnd"/>
      <w:r w:rsidRPr="00671C68">
        <w:rPr>
          <w:rFonts w:ascii="Times New Roman" w:eastAsia="Times New Roman" w:hAnsi="Times New Roman" w:cs="Times New Roman"/>
          <w:sz w:val="28"/>
          <w:szCs w:val="28"/>
        </w:rPr>
        <w:t xml:space="preserve"> не більше ніж  60 кредитів ЄКТС, отриманих в межах попередньої освітньої програми підготовки бакалавра галузі знань 22 Охорона здоров’я, спеціальностей 223 </w:t>
      </w:r>
      <w:proofErr w:type="spellStart"/>
      <w:r w:rsidRPr="00671C68">
        <w:rPr>
          <w:rFonts w:ascii="Times New Roman" w:eastAsia="Times New Roman" w:hAnsi="Times New Roman" w:cs="Times New Roman"/>
          <w:sz w:val="28"/>
          <w:szCs w:val="28"/>
        </w:rPr>
        <w:t>Медсестринство</w:t>
      </w:r>
      <w:proofErr w:type="spellEnd"/>
      <w:r w:rsidRPr="00671C68">
        <w:rPr>
          <w:rFonts w:ascii="Times New Roman" w:eastAsia="Times New Roman" w:hAnsi="Times New Roman" w:cs="Times New Roman"/>
          <w:sz w:val="28"/>
          <w:szCs w:val="28"/>
        </w:rPr>
        <w:t xml:space="preserve">, 224 Технологія медичної діагностики та лікування, 227 Фізична терапія, </w:t>
      </w:r>
      <w:proofErr w:type="spellStart"/>
      <w:r w:rsidRPr="00671C68">
        <w:rPr>
          <w:rFonts w:ascii="Times New Roman" w:eastAsia="Times New Roman" w:hAnsi="Times New Roman" w:cs="Times New Roman"/>
          <w:sz w:val="28"/>
          <w:szCs w:val="28"/>
        </w:rPr>
        <w:t>ерготерапія</w:t>
      </w:r>
      <w:proofErr w:type="spellEnd"/>
      <w:r w:rsidRPr="00671C68">
        <w:rPr>
          <w:rFonts w:ascii="Times New Roman" w:eastAsia="Times New Roman" w:hAnsi="Times New Roman" w:cs="Times New Roman"/>
          <w:sz w:val="28"/>
          <w:szCs w:val="28"/>
        </w:rPr>
        <w:t>. 229 Громадське здоров’я.</w:t>
      </w:r>
    </w:p>
    <w:p w14:paraId="6B16CE74" w14:textId="77777777" w:rsidR="00A06D65" w:rsidRPr="00671C68" w:rsidRDefault="00AC060D" w:rsidP="003D4E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 вищої освіти має право визнати та </w:t>
      </w:r>
      <w:proofErr w:type="spellStart"/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перезарахувати</w:t>
      </w:r>
      <w:proofErr w:type="spellEnd"/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кредити ЄКТС, отримані за попередньою освітньою програмою підготовки магістра (спеціаліста) за іншою спеціальністю. Максимальний обсяг кредитів ЄКТС, що може бути </w:t>
      </w:r>
      <w:proofErr w:type="spellStart"/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перезарахований</w:t>
      </w:r>
      <w:proofErr w:type="spellEnd"/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може перевищувати 25 % від загального обсягу освітньої програми.</w:t>
      </w:r>
    </w:p>
    <w:p w14:paraId="64FB1739" w14:textId="76B768AD" w:rsidR="00A06D65" w:rsidRPr="00671C68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C68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Мінімум 50% обсягу освітньої програми має бути спрямовано на формування загальних та спеціальних (фахових) компетентностей за спеціальністю, визначених стандартом вищої освіти.</w:t>
      </w:r>
    </w:p>
    <w:p w14:paraId="70C6A2F0" w14:textId="77777777" w:rsidR="00821FC0" w:rsidRPr="00671C68" w:rsidRDefault="00821FC0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 xml:space="preserve">Мінімум 36 кредитів ЄКТС освітньо-наукової програми має бути надано на забезпечення науково-дослідницької компоненти. </w:t>
      </w:r>
    </w:p>
    <w:p w14:paraId="73C4CE2A" w14:textId="07A57002" w:rsidR="00A06D65" w:rsidRPr="00821FC0" w:rsidRDefault="00821FC0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Мінімальний обсяг практик становить 30 кредитів ЄКТС.</w:t>
      </w:r>
    </w:p>
    <w:p w14:paraId="7E6200C9" w14:textId="77777777" w:rsidR="00EF3C05" w:rsidRPr="003D4E41" w:rsidRDefault="00EF3C0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260596" w14:textId="4549E0AC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 Перелік компетентностей випускника</w:t>
      </w:r>
    </w:p>
    <w:p w14:paraId="2DB12DBA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7714"/>
      </w:tblGrid>
      <w:tr w:rsidR="00A06D65" w14:paraId="523F74F8" w14:textId="77777777" w:rsidTr="00967D91">
        <w:trPr>
          <w:trHeight w:val="151"/>
        </w:trPr>
        <w:tc>
          <w:tcPr>
            <w:tcW w:w="2204" w:type="dxa"/>
          </w:tcPr>
          <w:p w14:paraId="0133F112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714" w:type="dxa"/>
          </w:tcPr>
          <w:p w14:paraId="40B3F15E" w14:textId="34E658B8" w:rsidR="00821FC0" w:rsidRPr="00D75853" w:rsidRDefault="00671C68" w:rsidP="00967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C68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типові та складні задачі та практичні проблеми в освітньому процесі та професійній діяльності лікаря в галузі 22 Охорона здоров’я, у сфері педіатрії, що також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A06D65" w14:paraId="44BA8015" w14:textId="77777777" w:rsidTr="00967D91">
        <w:trPr>
          <w:trHeight w:val="151"/>
        </w:trPr>
        <w:tc>
          <w:tcPr>
            <w:tcW w:w="2204" w:type="dxa"/>
          </w:tcPr>
          <w:p w14:paraId="677740E2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Загальні компетентності</w:t>
            </w:r>
          </w:p>
        </w:tc>
        <w:tc>
          <w:tcPr>
            <w:tcW w:w="7714" w:type="dxa"/>
          </w:tcPr>
          <w:p w14:paraId="1C947332" w14:textId="01449FE4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14:paraId="06140322" w14:textId="395F9E9F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48C8EB25" w14:textId="6EAA0EF1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до абстрактного мислення, аналізу та синтезу,  вчитися і оволодівати сучасними знаннями.</w:t>
            </w:r>
          </w:p>
          <w:p w14:paraId="5EF1C255" w14:textId="27B74A09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застосовувати знання у практичних ситуаціях,  адаптуватися та діяти в новій ситуації.</w:t>
            </w:r>
          </w:p>
          <w:p w14:paraId="7BB91330" w14:textId="3E45E826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приймати обґрунтовані рішення, бути наполегливим щодо поставлених завдань і взятих обов’язків.</w:t>
            </w:r>
          </w:p>
          <w:p w14:paraId="06221040" w14:textId="4C7DFDCB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працювати в команді та демонструвати  міжособистісні взаємодії.</w:t>
            </w:r>
          </w:p>
          <w:p w14:paraId="63D62BCF" w14:textId="3A0AB678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спілкуватися державною мовою як усно, так і письмово. </w:t>
            </w:r>
          </w:p>
          <w:p w14:paraId="2A5B85C2" w14:textId="4CDE24B2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Навички використання інформаційних і комунікаційних технологій.</w:t>
            </w:r>
          </w:p>
          <w:p w14:paraId="142729FD" w14:textId="0DA03590" w:rsidR="00671C68" w:rsidRPr="00671C68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ЗК0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діяти на основі етичних міркувань (мотивів).</w:t>
            </w:r>
          </w:p>
          <w:p w14:paraId="5ADF5486" w14:textId="150D484A" w:rsidR="00A06D65" w:rsidRDefault="00710BDC" w:rsidP="0082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спілкуватись іноземною мовою.</w:t>
            </w:r>
          </w:p>
        </w:tc>
      </w:tr>
      <w:tr w:rsidR="00A06D65" w14:paraId="7C56026D" w14:textId="77777777" w:rsidTr="00967D91">
        <w:trPr>
          <w:trHeight w:val="151"/>
        </w:trPr>
        <w:tc>
          <w:tcPr>
            <w:tcW w:w="2204" w:type="dxa"/>
          </w:tcPr>
          <w:p w14:paraId="41D07295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7714" w:type="dxa"/>
          </w:tcPr>
          <w:p w14:paraId="040E1A37" w14:textId="620313D0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СК01.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управляти робочими процесами у сфері охорони здоров’я дітей та підлітків, які є складними, непередбачуваними та потребують нових стратегічних підходів відповідно до НРК.</w:t>
            </w:r>
          </w:p>
          <w:p w14:paraId="2C10628F" w14:textId="7A36E254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СК02.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розробляти і реалізовувати наукові та прикладні проекти в сфері охорони здоров’я дітей та підлітків, а також дотичні до неї міждисциплінарні проекти.</w:t>
            </w:r>
          </w:p>
          <w:p w14:paraId="0BA1D2BB" w14:textId="2D3FD103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СК03.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збирати медичну інформацію про пацієнтів різних вікових груп і аналізувати отримані дані.</w:t>
            </w:r>
          </w:p>
          <w:p w14:paraId="5A1E0E0C" w14:textId="5E59978E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СК04.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необхідного переліку лабораторних та інструментальних досліджень та оцінки їх результатів з урахуванням вікових особливостей з подальшим встановленням попереднього та клінічного діагнозу захворювання.</w:t>
            </w:r>
          </w:p>
          <w:p w14:paraId="4E0DD274" w14:textId="08BA2A6C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СК05.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необхідного режиму навчання, праці та відпочинку здорових, хворих дітей та дітей з особливими потребами.</w:t>
            </w:r>
          </w:p>
          <w:p w14:paraId="034F7BCB" w14:textId="61C4F841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СК06.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характеру харчування здорових, хворих дітей та дітей з особливими потребами.</w:t>
            </w:r>
          </w:p>
          <w:p w14:paraId="1B4CD172" w14:textId="585BE21F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СК07.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принципів та характеру лікування захворювань пацієнтів різних вікових груп.</w:t>
            </w:r>
          </w:p>
          <w:p w14:paraId="6D0BCCD1" w14:textId="0E2A9B93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СК08.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діагностування невідкладних станів,  визначення тактики та надання екстреної медичної допомоги з урахуванням вікових анатомо-фізіологічних особливостей.</w:t>
            </w:r>
          </w:p>
          <w:p w14:paraId="78BD6CED" w14:textId="23852F99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СК09.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організації та проведення лікувально-евакуаційних заходів.</w:t>
            </w:r>
          </w:p>
          <w:p w14:paraId="1608BBCF" w14:textId="46821616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СК10.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виконувати медичні маніпуляції з урахуванням вікових анатомо-фізіологічних особливостей.</w:t>
            </w:r>
          </w:p>
          <w:p w14:paraId="6819A37A" w14:textId="7C47A4CC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СК11.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тактики ведення фізіологічної вагітності, фізіологічних пологів та післяпологового періоду, консультування з питань планування сім’ї та медико-генетичного консультування.</w:t>
            </w:r>
          </w:p>
          <w:p w14:paraId="3AA170C3" w14:textId="28062DA0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СК12.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до організації та проведення санітарно-гігієнічних, профілактичних та протиепідемічних заходів щодо неінфекційних та інфекційних </w:t>
            </w:r>
            <w:proofErr w:type="spellStart"/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хвороб</w:t>
            </w:r>
            <w:proofErr w:type="spellEnd"/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зокрема імунопрофілактики.</w:t>
            </w:r>
          </w:p>
          <w:p w14:paraId="5E6FC2D4" w14:textId="2717BE0F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СК13.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визначення тактики спостереження осіб із особливими потребами.</w:t>
            </w:r>
          </w:p>
          <w:p w14:paraId="00921EA1" w14:textId="1FED626A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СК14.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проведення експертизи непрацездатності.</w:t>
            </w:r>
          </w:p>
          <w:p w14:paraId="00ADB147" w14:textId="542A7772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СК15.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ведення медичної документації, зокрема електронних систем.</w:t>
            </w:r>
          </w:p>
          <w:p w14:paraId="22769968" w14:textId="74ADA9B5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СК16.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до організації та проведення епідеміологічних та медико-статистичних досліджень здоров’я населення, зокрема дитячого, обробки медичної інформації. </w:t>
            </w:r>
          </w:p>
          <w:p w14:paraId="3AE7FAFE" w14:textId="6B8D3C32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СК17.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популяції.</w:t>
            </w:r>
          </w:p>
          <w:p w14:paraId="7094A30C" w14:textId="2DF61934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СК18.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аналізувати діяльність лікаря-педіатра, підрозділу, закладу охорони здоров’я, забезпечувати якість медичної допомоги і підвищувати ефективність використання медичних ресурсів. </w:t>
            </w:r>
          </w:p>
          <w:p w14:paraId="113FF182" w14:textId="2624F567" w:rsidR="00671C68" w:rsidRPr="00671C68" w:rsidRDefault="00710BDC" w:rsidP="00710BDC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СК19. </w:t>
            </w:r>
            <w:r w:rsidR="00671C68" w:rsidRPr="00671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Здатність до проведення заходів щодо організації та інтеграції надання медичної допомоги дитячому населенню та проведення маркетингу медичних послуг.</w:t>
            </w:r>
          </w:p>
          <w:p w14:paraId="241D4750" w14:textId="77777777" w:rsidR="00D75853" w:rsidRDefault="00710BDC" w:rsidP="0067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  <w:r w:rsidR="00671C68"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71C68" w:rsidRPr="0067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здійснювати наукову та/або науково-педагогічну діяльність у сфері охорони здоров’я, зокрема педіатрії.</w:t>
            </w:r>
          </w:p>
          <w:p w14:paraId="1075CF95" w14:textId="519F01E6" w:rsidR="009B4B48" w:rsidRPr="00794B51" w:rsidRDefault="009B4B48" w:rsidP="0038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СК21.</w:t>
            </w:r>
            <w:r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Здатність </w:t>
            </w:r>
            <w:r w:rsidR="00D05F8E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визначати затримку розумового, моторного, соціально-емоційного, комунікативного розвитку за допомогою скрині</w:t>
            </w:r>
            <w:r w:rsidR="00DB61EA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нгів</w:t>
            </w:r>
            <w:r w:rsidR="00D05F8E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, тестів</w:t>
            </w:r>
            <w:r w:rsidR="00DB61EA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05F8E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визначати біологічні та соціальні чинники, які до цього призвели; </w:t>
            </w:r>
            <w:r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 участь у роботі міждисциплінарної команди з надання послуги раннього втручання</w:t>
            </w:r>
            <w:r w:rsidR="0038557E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6CF73E" w14:textId="26BDB85D" w:rsidR="0038557E" w:rsidRPr="00D75853" w:rsidRDefault="0038557E" w:rsidP="002C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СК22. Здатність оцінювати стан ментального здоров’я дітей різного віку й визначати потребу </w:t>
            </w:r>
            <w:r w:rsidR="002C4219"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спеціалізованої допомоги.</w:t>
            </w:r>
            <w:r w:rsidRPr="00794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A80803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480AAB" w14:textId="0319F75A" w:rsidR="00A06D65" w:rsidRPr="003D4E41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</w:t>
      </w:r>
      <w:r w:rsidR="003D4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74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</w:p>
    <w:p w14:paraId="1BADC2E5" w14:textId="77777777" w:rsidR="00973CCE" w:rsidRDefault="00973CCE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D082D" w14:textId="18309AC2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710B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10B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Знати морфологію, фізіологію, психологію людини, зокрема дітей різних вікових груп, в нормі та при патології.</w:t>
      </w:r>
    </w:p>
    <w:p w14:paraId="50FF77CB" w14:textId="3F7DEBC6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710B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Розуміти закономірності росту та розвитку дитини, принципи забезпечення підтримки здоров’я людини, профілактики захворювань, формування здорового способу життя, причини та закономірності виникнення патології.</w:t>
      </w:r>
    </w:p>
    <w:p w14:paraId="73A39197" w14:textId="6C5006E9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Організовувати та здійснювати спостереження за здоровими дітьми різних вікових груп, надавати рекомендації родині щодо забезпечення умов для здорового росту та розвитку дитини, збереження її здоров’я. </w:t>
      </w:r>
    </w:p>
    <w:p w14:paraId="65154ECE" w14:textId="31719022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Здійснювати оцінку стану навколишнього середовища з метою визначення санітарно-гігієнічних та профілактичних заходів для запобігання розвитку патологічних станів та </w:t>
      </w:r>
      <w:proofErr w:type="spellStart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хвороб</w:t>
      </w:r>
      <w:proofErr w:type="spellEnd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7D25E6" w14:textId="30E2E74C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 дітей та їх батьків (законних представників) основним гігієнічним заходам оздоровчого характеру, що сприяють профілактиці виникнення захворювань та зміцненню здоров'я.</w:t>
      </w:r>
    </w:p>
    <w:p w14:paraId="4523EC6E" w14:textId="4A36E643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Організовувати та проводити скринінг поширених та рідкісних </w:t>
      </w:r>
      <w:proofErr w:type="spellStart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хвороб</w:t>
      </w:r>
      <w:proofErr w:type="spellEnd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зокрема </w:t>
      </w:r>
      <w:proofErr w:type="spellStart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неонатальний</w:t>
      </w:r>
      <w:proofErr w:type="spellEnd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виявляти осіб, що потребують особливого нагляду, та планувати спостереження за ними, </w:t>
      </w: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реалізовувати стратегію раннього втручання.</w:t>
      </w:r>
    </w:p>
    <w:p w14:paraId="0E3205D1" w14:textId="1801E1A3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базове медико-генетичне консультування родини із дотриманням етичних та юридичних норм, складати генеалогічне древо.</w:t>
      </w:r>
    </w:p>
    <w:p w14:paraId="3015CBD7" w14:textId="15092BD7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Призначати відповідне віку та фізіологічним потребам харчування, зокрема дітям раннього віку, проводити консультування з питань грудного вигодовування, надавати індивідуальні рекомендації щодо харчування дітям із патологічними станами, хворобами і особливими потребами.</w:t>
      </w:r>
    </w:p>
    <w:p w14:paraId="4F39B153" w14:textId="03598707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Планувати та проводити профілактичні та протиепідемічні заходи задля попередження виникнення інфекційних та неінфекційних захворювань серед населення, зокрема в дитячих колективах.</w:t>
      </w:r>
    </w:p>
    <w:p w14:paraId="73549C29" w14:textId="6E7C39B9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РН10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 індивідуальний план вакцинації у відповідності до Національного графіку щеплень та проводити вакцинацію здоровим особам, пацієнтам груп ризику і дітям із порушеннями календаря щеплень, призначати екстрену імунопрофілактику.</w:t>
      </w:r>
    </w:p>
    <w:p w14:paraId="0FF7B706" w14:textId="01743E77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РН11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Збирати медичну інформацію про пацієнта будь-якої вікової групи, в тому числі дитини, користуючись державною та, за потреби, іноземною мовою, з дотриманням відповідних етичних та юридичних норм.</w:t>
      </w:r>
    </w:p>
    <w:p w14:paraId="2D352AD6" w14:textId="3382FE0F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РН12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Оцінювати результати опитування, фізичного обстеження, дані лабораторних та інструментальних досліджень із врахуванням анатомо-фізіологічних та вікових особливостей пацієнта (список 4); визначати провідні симптоми та синдроми захворювання (список 1).</w:t>
      </w:r>
    </w:p>
    <w:p w14:paraId="6BB91C6C" w14:textId="5727E5DD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РН13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Встановлювати попередній діагноз (список 2), визначати план обстеження, проводити диференційну діагностику захворювань за визначеними алгоритмами, встановлювати клінічний діагноз із врахуванням отриманих даних.</w:t>
      </w:r>
    </w:p>
    <w:p w14:paraId="37843C6B" w14:textId="0C79B0F8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РН14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 характер та принципи лікування захворювань на різних етапах надання медичної допомоги.</w:t>
      </w:r>
    </w:p>
    <w:p w14:paraId="670E9EF9" w14:textId="58F30465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РН15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Діагностувати вагітність, вести фізіологічну вагітність, приймати фізіологічні пологи та спостерігати за жінкою у післяпологовому періоді. </w:t>
      </w:r>
    </w:p>
    <w:p w14:paraId="36F5A8F3" w14:textId="5A5E8D17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РН16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Виконувати медичні маніпуляції (список 5) із дотриманням правил безпеки і інфекційного контролю. </w:t>
      </w:r>
    </w:p>
    <w:p w14:paraId="095F3ABD" w14:textId="54CAF0BA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РН17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 допомогу при невідкладних станах дорослим та дітям різних вікових груп, зокрема новонародженим, у відповідності до прийнятих алгоритмів (список 3), працювати у команді.</w:t>
      </w:r>
    </w:p>
    <w:p w14:paraId="255D0A93" w14:textId="7B1230BE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РН18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 медичну допомогу дітям та дорослим при надзвичайних ситуаціях, у тому числі брати участь у медичному сортуванні та евакуації, працювати у команді.</w:t>
      </w:r>
    </w:p>
    <w:p w14:paraId="7D6B7FCB" w14:textId="1AE79284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РН19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Планувати та проводити медичну реабілітацію пацієнтам різних вікових груп</w:t>
      </w:r>
      <w:r w:rsidR="002C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219"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з урахуванням стану їх ментального здоров’я</w:t>
      </w:r>
      <w:r w:rsidRPr="00794B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працювати у </w:t>
      </w:r>
      <w:proofErr w:type="spellStart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мультидисциплінарній</w:t>
      </w:r>
      <w:proofErr w:type="spellEnd"/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команді.</w:t>
      </w:r>
    </w:p>
    <w:p w14:paraId="20127926" w14:textId="6812BF9B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РН20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 наявність та ступінь обмежень життєдіяльності; вид, ступень та тривалість непрацездатності; проводити діагностику клінічної, біологічної смерті та визначати вид тілесних ушкоджень; повідомляти пацієнту та родині неприємні новини із дотриманням етичних, юридичних норм та громадянських прав.</w:t>
      </w:r>
    </w:p>
    <w:p w14:paraId="7FBE5794" w14:textId="6278EC1C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РН21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 медичну допомогу дітям на робочому місці в умовах реального часу; проводити маркетинг медичних послуг; здійснювати ефективні комунікації із колегами під час роботи в команді.</w:t>
      </w:r>
    </w:p>
    <w:p w14:paraId="4432D27C" w14:textId="276CBC23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РН22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медичну документацію із використанням паперових носіїв та спеціалізованого програмного забезпечення державною та іноземними мовами.</w:t>
      </w:r>
    </w:p>
    <w:p w14:paraId="6CC1B37D" w14:textId="1D2047E7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РН23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збір та медико-статистичний аналіз інформації про показники здоров'я дітей; оцінювати якість надання медичної допомоги дітям; планувати діяльність із врахуванням отриманих результатів.</w:t>
      </w:r>
    </w:p>
    <w:p w14:paraId="5E0FB772" w14:textId="2DC1989B" w:rsidR="00D82339" w:rsidRPr="00D82339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РН24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науковий пошук, аналізувати дані наукової літератури, вміти представляти у письмовому та усному вигляді державною та іноземною мовою результати власних спостережень та досліджень.</w:t>
      </w:r>
    </w:p>
    <w:p w14:paraId="29464D9A" w14:textId="1880438C" w:rsidR="00B921A3" w:rsidRDefault="00D8233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РН25</w:t>
      </w:r>
      <w:r w:rsidR="001B7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3C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санітарно-просвітницьку роботу з населенням, середнім і молодшим медичним персоналом, працювати в групах рівних.</w:t>
      </w:r>
    </w:p>
    <w:p w14:paraId="5F01F9EE" w14:textId="77777777" w:rsidR="002C4219" w:rsidRDefault="002C4219" w:rsidP="00973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9F74C" w14:textId="77777777" w:rsidR="00D82339" w:rsidRDefault="00D82339" w:rsidP="00D823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758A6" w14:textId="78AFFFDF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Форми атестації здобувачів вищої освіти</w:t>
      </w:r>
    </w:p>
    <w:p w14:paraId="2110DD88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7472"/>
      </w:tblGrid>
      <w:tr w:rsidR="00A06D65" w14:paraId="6952D781" w14:textId="77777777" w:rsidTr="00967D91">
        <w:trPr>
          <w:trHeight w:val="714"/>
        </w:trPr>
        <w:tc>
          <w:tcPr>
            <w:tcW w:w="2446" w:type="dxa"/>
          </w:tcPr>
          <w:p w14:paraId="1F0F5C63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472" w:type="dxa"/>
          </w:tcPr>
          <w:p w14:paraId="2B57FB5D" w14:textId="4ED2B66D" w:rsidR="00A06D65" w:rsidRDefault="00E50268" w:rsidP="00967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76">
              <w:rPr>
                <w:rFonts w:ascii="Times New Roman" w:hAnsi="Times New Roman" w:cs="Times New Roman"/>
                <w:sz w:val="28"/>
                <w:szCs w:val="28"/>
              </w:rPr>
              <w:t>Атестація здобувачів другого (магістерського) рівня вищої освіти за освітньо-професійною програмою підготовки фахівців зі спеціальності 228 Педіатрія здійснюється у формі єдиного державного кваліфікаційного іспиту (ЄДКІ) відповідно до постанови Кабінету міністрів України від 28.03.2018 р. № 334 «</w:t>
            </w:r>
            <w:r w:rsidRPr="009562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затвердження Порядку здійснення єдиного державного кваліфікаційного іспиту для здобувачів ступеня вищої освіти магістр за спеціальностями галузі знань “22 Охорона здоров’я”</w:t>
            </w:r>
            <w:r w:rsidRPr="009562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D65" w14:paraId="0BAE03FA" w14:textId="77777777" w:rsidTr="00967D91">
        <w:trPr>
          <w:trHeight w:val="1692"/>
        </w:trPr>
        <w:tc>
          <w:tcPr>
            <w:tcW w:w="2446" w:type="dxa"/>
          </w:tcPr>
          <w:p w14:paraId="2A225CF6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Вимоги до єдиного державного кваліфікаційного іспиту</w:t>
            </w:r>
          </w:p>
        </w:tc>
        <w:tc>
          <w:tcPr>
            <w:tcW w:w="7472" w:type="dxa"/>
          </w:tcPr>
          <w:p w14:paraId="03550ED4" w14:textId="50D8B31D" w:rsidR="00E50268" w:rsidRDefault="00AC060D" w:rsidP="00B9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Єдиний державний кваліфікаційний іспит здійснюється згідно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</w:t>
            </w:r>
            <w:r w:rsidR="00A168F5" w:rsidRPr="00956276">
              <w:rPr>
                <w:rFonts w:ascii="Times New Roman" w:hAnsi="Times New Roman" w:cs="Times New Roman"/>
                <w:sz w:val="28"/>
                <w:szCs w:val="28"/>
              </w:rPr>
              <w:t xml:space="preserve"> складається з таких компонентів</w:t>
            </w:r>
            <w:r w:rsidR="00A168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7C8E2E" w14:textId="21674138" w:rsidR="00A168F5" w:rsidRPr="00A87995" w:rsidRDefault="00A168F5" w:rsidP="00B921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68F5">
              <w:rPr>
                <w:rFonts w:ascii="Times New Roman" w:hAnsi="Times New Roman" w:cs="Times New Roman"/>
                <w:sz w:val="28"/>
                <w:szCs w:val="28"/>
              </w:rPr>
              <w:t xml:space="preserve">інтегрований тестовий іспит «КРОК» </w:t>
            </w:r>
            <w:r w:rsidRPr="00A168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(далі – іспит) є тестовим компонентом Єдиного державного кваліфікаційного іспиту (ЄДКІ)</w:t>
            </w:r>
            <w:r w:rsidRPr="00A1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A168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Іспит проводиться в два тестових етапи – «КРОК 1» та «КРОК 2». На першому етапі оцінюється рівень професійної компетентності із загальнонаукових (фундаментальних) дисциплін. На другому етапі оцінюється рівень професійної компетентності із </w:t>
            </w:r>
            <w:proofErr w:type="spellStart"/>
            <w:r w:rsidRPr="00A168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професійно</w:t>
            </w:r>
            <w:proofErr w:type="spellEnd"/>
            <w:r w:rsidRPr="00A168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-орієнтованих (клінічних) дисциплін</w:t>
            </w:r>
            <w:r w:rsidRPr="00823B34">
              <w:rPr>
                <w:rFonts w:ascii="Times New Roman" w:hAnsi="Times New Roman" w:cs="Times New Roman"/>
                <w:sz w:val="28"/>
                <w:szCs w:val="28"/>
              </w:rPr>
              <w:t xml:space="preserve"> і проводиться Центром тестування МОЗ України.</w:t>
            </w:r>
          </w:p>
          <w:p w14:paraId="1C712E3E" w14:textId="521A6B86" w:rsidR="00A168F5" w:rsidRPr="00A87995" w:rsidRDefault="00A168F5" w:rsidP="00B921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C060D" w:rsidRPr="00A16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іспит з англійської мови професійного спрямування, </w:t>
            </w:r>
            <w:r w:rsidRPr="00823B34">
              <w:rPr>
                <w:rFonts w:ascii="Times New Roman" w:hAnsi="Times New Roman" w:cs="Times New Roman"/>
                <w:sz w:val="28"/>
                <w:szCs w:val="28"/>
              </w:rPr>
              <w:t xml:space="preserve">оцінює компетентність студента з володіння професійною </w:t>
            </w:r>
            <w:r w:rsidRPr="0082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англійською мовою і проводиться Центром тестування МОЗ України.</w:t>
            </w:r>
          </w:p>
          <w:p w14:paraId="69F2337C" w14:textId="26B368FB" w:rsidR="00A168F5" w:rsidRDefault="00A168F5" w:rsidP="00B9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C060D" w:rsidRPr="00A16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б’єктивний структурований практичний (клінічний) іспит</w:t>
            </w:r>
            <w:r w:rsidRPr="00823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ОСКІ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-1 та ОСКІ-2</w:t>
            </w:r>
            <w:r w:rsidRPr="00823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«Педіатрія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AC060D" w:rsidRPr="00A16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який оцінює готовність випускника до провадження професійної діяльності відповідно до вимог стандарту вищої освіти за результатами демонстрування практичних (клінічних) компонентів професійної компетентності на реальному об’єкті або на моделі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6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фантом, муляж, симулятори тощо</w:t>
            </w:r>
            <w:r w:rsidRPr="00A16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060D" w:rsidRPr="00A16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проводиться екзаменаційною комісією закладу вищої освіти.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DDB3ED3" w14:textId="77777777" w:rsidR="00A06D65" w:rsidRDefault="00A06D65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9A85F6" w14:textId="6F37A40A" w:rsidR="00A06D65" w:rsidRPr="00A168F5" w:rsidRDefault="00AC060D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VIIІ Вимоги до створення міждисциплінарних освітньо-наукових програм </w:t>
      </w:r>
    </w:p>
    <w:p w14:paraId="3A53E836" w14:textId="77777777" w:rsidR="00B921A3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2A9D5" w14:textId="799A9505" w:rsidR="00A06D65" w:rsidRPr="00A168F5" w:rsidRDefault="00A168F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F5">
        <w:rPr>
          <w:rFonts w:ascii="Times New Roman" w:hAnsi="Times New Roman" w:cs="Times New Roman"/>
          <w:sz w:val="28"/>
          <w:szCs w:val="28"/>
        </w:rPr>
        <w:t>Міждисциплінарні освітньо-наукові програми не створюються.</w:t>
      </w:r>
    </w:p>
    <w:p w14:paraId="0BBCC0C5" w14:textId="77777777" w:rsidR="00A168F5" w:rsidRDefault="00A168F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A439E" w14:textId="7F7BC680" w:rsidR="00A06D65" w:rsidRDefault="00AC060D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Вимоги професійних стандартів</w:t>
      </w:r>
      <w:r w:rsidR="00B9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разі їх наявності </w:t>
      </w:r>
    </w:p>
    <w:p w14:paraId="6FC11A71" w14:textId="77777777" w:rsidR="00B921A3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4548B" w14:textId="1D881139" w:rsidR="00A168F5" w:rsidRPr="00A168F5" w:rsidRDefault="00A168F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8F5">
        <w:rPr>
          <w:rFonts w:ascii="Times New Roman" w:hAnsi="Times New Roman" w:cs="Times New Roman"/>
          <w:sz w:val="28"/>
          <w:szCs w:val="28"/>
        </w:rPr>
        <w:t>Професійн</w:t>
      </w:r>
      <w:r w:rsidR="00B921A3">
        <w:rPr>
          <w:rFonts w:ascii="Times New Roman" w:hAnsi="Times New Roman" w:cs="Times New Roman"/>
          <w:sz w:val="28"/>
          <w:szCs w:val="28"/>
        </w:rPr>
        <w:t>і</w:t>
      </w:r>
      <w:r w:rsidRPr="00A168F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921A3">
        <w:rPr>
          <w:rFonts w:ascii="Times New Roman" w:hAnsi="Times New Roman" w:cs="Times New Roman"/>
          <w:sz w:val="28"/>
          <w:szCs w:val="28"/>
        </w:rPr>
        <w:t>и</w:t>
      </w:r>
      <w:r w:rsidRPr="00A168F5">
        <w:rPr>
          <w:rFonts w:ascii="Times New Roman" w:hAnsi="Times New Roman" w:cs="Times New Roman"/>
          <w:sz w:val="28"/>
          <w:szCs w:val="28"/>
        </w:rPr>
        <w:t xml:space="preserve"> </w:t>
      </w:r>
      <w:r w:rsidR="00B921A3">
        <w:rPr>
          <w:rFonts w:ascii="Times New Roman" w:hAnsi="Times New Roman" w:cs="Times New Roman"/>
          <w:sz w:val="28"/>
          <w:szCs w:val="28"/>
        </w:rPr>
        <w:t>відсутні.</w:t>
      </w:r>
    </w:p>
    <w:p w14:paraId="6908F288" w14:textId="77777777" w:rsidR="00A06D65" w:rsidRPr="00A168F5" w:rsidRDefault="00A06D6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52499A" w14:textId="77777777" w:rsidR="00A06D65" w:rsidRPr="00A168F5" w:rsidRDefault="00AC060D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 Додаткові вимоги до організації освітнього процесу для освітніх програм з підготовки фахівців для професій, для яких запроваджене додаткове регулювання </w:t>
      </w:r>
    </w:p>
    <w:p w14:paraId="715B2274" w14:textId="77777777" w:rsidR="00B921A3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711C2" w14:textId="08098C61" w:rsidR="00A168F5" w:rsidRDefault="00A168F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F5">
        <w:rPr>
          <w:rFonts w:ascii="Times New Roman" w:hAnsi="Times New Roman" w:cs="Times New Roman"/>
          <w:sz w:val="28"/>
          <w:szCs w:val="28"/>
        </w:rPr>
        <w:t>Вивчення клінічних дисциплін та забезпечення засвоєння здобувачами освітнього ступеня «магістр» за спеціальністю 22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«Педіатрія</w:t>
      </w:r>
      <w:r w:rsidRPr="00A168F5">
        <w:rPr>
          <w:rFonts w:ascii="Times New Roman" w:hAnsi="Times New Roman" w:cs="Times New Roman"/>
          <w:sz w:val="28"/>
          <w:szCs w:val="28"/>
        </w:rPr>
        <w:t xml:space="preserve">» спеціальних (фахових) компетентностей повинно здійснюватися на клінічних кафедрах закладу освіти відповідного профілю, відповідно до навчальних планів. </w:t>
      </w:r>
    </w:p>
    <w:p w14:paraId="12C6BC1E" w14:textId="592BEE05" w:rsidR="00A06D65" w:rsidRPr="00D82339" w:rsidRDefault="00A168F5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F5">
        <w:rPr>
          <w:rFonts w:ascii="Times New Roman" w:hAnsi="Times New Roman" w:cs="Times New Roman"/>
          <w:sz w:val="28"/>
          <w:szCs w:val="28"/>
        </w:rPr>
        <w:t xml:space="preserve">Професійна підготовка на клінічних кафедрах повинна враховувати специфіку кожної дисципліни та, з метою засвоєння фахових компетенцій, обов’язково передбачати використання </w:t>
      </w:r>
      <w:proofErr w:type="spellStart"/>
      <w:r w:rsidRPr="00A168F5">
        <w:rPr>
          <w:rFonts w:ascii="Times New Roman" w:hAnsi="Times New Roman" w:cs="Times New Roman"/>
          <w:sz w:val="28"/>
          <w:szCs w:val="28"/>
        </w:rPr>
        <w:t>симуляційних</w:t>
      </w:r>
      <w:proofErr w:type="spellEnd"/>
      <w:r w:rsidRPr="00A168F5">
        <w:rPr>
          <w:rFonts w:ascii="Times New Roman" w:hAnsi="Times New Roman" w:cs="Times New Roman"/>
          <w:sz w:val="28"/>
          <w:szCs w:val="28"/>
        </w:rPr>
        <w:t xml:space="preserve"> методів навчання, роботу із застосуванням діагностичного обладнання та безпосередню роботу біля ліжка </w:t>
      </w:r>
      <w:r w:rsidRPr="00D82339">
        <w:rPr>
          <w:rFonts w:ascii="Times New Roman" w:hAnsi="Times New Roman" w:cs="Times New Roman"/>
          <w:sz w:val="28"/>
          <w:szCs w:val="28"/>
        </w:rPr>
        <w:t>хворого (загалом не менше 50% аудиторних годин відповідних дисциплін).</w:t>
      </w:r>
    </w:p>
    <w:p w14:paraId="1AE4D559" w14:textId="77777777" w:rsidR="00B921A3" w:rsidRPr="00D82339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B84E4" w14:textId="3C283443" w:rsidR="00A06D65" w:rsidRDefault="00AC060D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XI Додаткові вимоги до структури освітніх програм, необхідних для доступу до професій, для яких запроваджене додаткове регулювання </w:t>
      </w:r>
    </w:p>
    <w:p w14:paraId="2C06A394" w14:textId="243DCD6D" w:rsidR="00B921A3" w:rsidRPr="00B921A3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Додаткові вимоги до структури освітніх програм відсутні.</w:t>
      </w:r>
    </w:p>
    <w:p w14:paraId="3B49F673" w14:textId="77777777" w:rsidR="00B921A3" w:rsidRPr="00B921A3" w:rsidRDefault="00B921A3" w:rsidP="00B9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CD5A2D0" w14:textId="5CEFC6A4" w:rsidR="00A06D65" w:rsidRDefault="00AC060D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Перелік нормативних документів, на яких базується </w:t>
      </w:r>
      <w:r w:rsidR="00B9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</w:t>
      </w:r>
    </w:p>
    <w:p w14:paraId="40D1E153" w14:textId="77777777" w:rsidR="00B921A3" w:rsidRPr="00940998" w:rsidRDefault="00B921A3" w:rsidP="003D4E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D01D954" w14:textId="7E324D07" w:rsidR="00940998" w:rsidRPr="00940998" w:rsidRDefault="00940998" w:rsidP="00940998">
      <w:pPr>
        <w:suppressAutoHyphens/>
        <w:contextualSpacing/>
        <w:jc w:val="both"/>
        <w:rPr>
          <w:rFonts w:ascii="Times New Roman" w:hAnsi="Times New Roman" w:cs="Times New Roman"/>
          <w:color w:val="800080"/>
          <w:sz w:val="28"/>
          <w:szCs w:val="28"/>
          <w:lang w:eastAsia="zh-CN" w:bidi="en-US"/>
        </w:rPr>
      </w:pPr>
      <w:r w:rsidRPr="00940998">
        <w:rPr>
          <w:rFonts w:ascii="Times New Roman" w:hAnsi="Times New Roman" w:cs="Times New Roman"/>
          <w:sz w:val="28"/>
          <w:szCs w:val="28"/>
          <w:lang w:val="ru-RU" w:eastAsia="uk-UA" w:bidi="en-US"/>
        </w:rPr>
        <w:t>1.</w:t>
      </w:r>
      <w:r w:rsidRPr="00940998">
        <w:rPr>
          <w:rFonts w:ascii="Times New Roman" w:hAnsi="Times New Roman" w:cs="Times New Roman"/>
          <w:sz w:val="28"/>
          <w:szCs w:val="28"/>
          <w:lang w:val="ru-RU" w:eastAsia="zh-CN" w:bidi="en-US"/>
        </w:rPr>
        <w:t xml:space="preserve"> Закон </w:t>
      </w:r>
      <w:r w:rsidRPr="00940998">
        <w:rPr>
          <w:rFonts w:ascii="Times New Roman" w:hAnsi="Times New Roman" w:cs="Times New Roman"/>
          <w:sz w:val="28"/>
          <w:szCs w:val="28"/>
          <w:lang w:eastAsia="zh-CN" w:bidi="en-US"/>
        </w:rPr>
        <w:t>України «Про вищу освіту»</w:t>
      </w:r>
      <w:r w:rsidRPr="00940998">
        <w:rPr>
          <w:rFonts w:ascii="Times New Roman" w:hAnsi="Times New Roman" w:cs="Times New Roman"/>
          <w:sz w:val="28"/>
          <w:szCs w:val="28"/>
          <w:lang w:val="ru-RU" w:eastAsia="zh-CN" w:bidi="en-US"/>
        </w:rPr>
        <w:t xml:space="preserve"> </w:t>
      </w:r>
      <w:proofErr w:type="spellStart"/>
      <w:r w:rsidRPr="00940998">
        <w:rPr>
          <w:rFonts w:ascii="Times New Roman" w:hAnsi="Times New Roman" w:cs="Times New Roman"/>
          <w:sz w:val="28"/>
          <w:szCs w:val="28"/>
          <w:lang w:val="ru-RU" w:eastAsia="zh-CN" w:bidi="en-US"/>
        </w:rPr>
        <w:t>від</w:t>
      </w:r>
      <w:proofErr w:type="spellEnd"/>
      <w:r w:rsidRPr="00940998">
        <w:rPr>
          <w:rFonts w:ascii="Times New Roman" w:hAnsi="Times New Roman" w:cs="Times New Roman"/>
          <w:sz w:val="28"/>
          <w:szCs w:val="28"/>
          <w:lang w:val="ru-RU" w:eastAsia="zh-CN" w:bidi="en-US"/>
        </w:rPr>
        <w:t xml:space="preserve"> 01.07.2014 №</w:t>
      </w:r>
      <w:r w:rsidRPr="00940998">
        <w:rPr>
          <w:rFonts w:ascii="Times New Roman" w:hAnsi="Times New Roman" w:cs="Times New Roman"/>
          <w:sz w:val="28"/>
          <w:szCs w:val="28"/>
          <w:lang w:val="en-US" w:eastAsia="zh-CN" w:bidi="en-US"/>
        </w:rPr>
        <w:t> </w:t>
      </w:r>
      <w:r w:rsidRPr="00940998">
        <w:rPr>
          <w:rFonts w:ascii="Times New Roman" w:hAnsi="Times New Roman" w:cs="Times New Roman"/>
          <w:sz w:val="28"/>
          <w:szCs w:val="28"/>
          <w:lang w:val="ru-RU" w:eastAsia="zh-CN" w:bidi="en-US"/>
        </w:rPr>
        <w:t>1556-</w:t>
      </w:r>
      <w:r w:rsidRPr="00940998">
        <w:rPr>
          <w:rFonts w:ascii="Times New Roman" w:hAnsi="Times New Roman" w:cs="Times New Roman"/>
          <w:sz w:val="28"/>
          <w:szCs w:val="28"/>
          <w:lang w:val="en-US" w:eastAsia="zh-CN" w:bidi="en-US"/>
        </w:rPr>
        <w:t>VII</w:t>
      </w:r>
      <w:r w:rsidRPr="00940998">
        <w:rPr>
          <w:rFonts w:ascii="Times New Roman" w:hAnsi="Times New Roman" w:cs="Times New Roman"/>
          <w:sz w:val="28"/>
          <w:szCs w:val="28"/>
          <w:lang w:eastAsia="zh-CN" w:bidi="en-US"/>
        </w:rPr>
        <w:t>.</w:t>
      </w:r>
      <w:r w:rsidR="00794B51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940998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URL: </w:t>
      </w:r>
      <w:hyperlink r:id="rId7" w:anchor="Text" w:history="1">
        <w:r w:rsidRPr="00940998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zh-CN" w:bidi="en-US"/>
          </w:rPr>
          <w:t>https://zakon.rada.gov.ua/laws/show/1556-18#Text</w:t>
        </w:r>
      </w:hyperlink>
    </w:p>
    <w:p w14:paraId="5205A3BC" w14:textId="296EBF35" w:rsidR="00940998" w:rsidRPr="00940998" w:rsidRDefault="00940998" w:rsidP="00940998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0998">
        <w:rPr>
          <w:rFonts w:ascii="Times New Roman" w:hAnsi="Times New Roman" w:cs="Times New Roman"/>
          <w:color w:val="000000"/>
          <w:sz w:val="28"/>
          <w:szCs w:val="28"/>
          <w:lang w:eastAsia="uk-UA" w:bidi="en-US"/>
        </w:rPr>
        <w:t xml:space="preserve">2. </w:t>
      </w:r>
      <w:r w:rsidRPr="00940998"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</w:t>
      </w:r>
      <w:r w:rsidR="0079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B51" w:rsidRPr="00940998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URL: </w:t>
      </w:r>
      <w:hyperlink r:id="rId8" w:anchor="Text" w:history="1">
        <w:r w:rsidRPr="009409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https://zakon.rada.gov.ua/laws/show/2145-19#Text</w:t>
        </w:r>
      </w:hyperlink>
    </w:p>
    <w:p w14:paraId="293B8D67" w14:textId="3DFCF000" w:rsidR="00940998" w:rsidRDefault="00940998" w:rsidP="00940998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3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Закон України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«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 екстрену медичну допомогу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»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від 05.07.2012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№ 5081-VI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  <w:r w:rsidR="00794B5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URL: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hyperlink r:id="rId9" w:anchor="Text" w:history="1">
        <w:r w:rsidRPr="00B31223">
          <w:rPr>
            <w:rStyle w:val="aff3"/>
            <w:rFonts w:ascii="Times New Roman" w:eastAsia="Arial Unicode MS" w:hAnsi="Times New Roman" w:cs="Times New Roman"/>
            <w:sz w:val="28"/>
            <w:szCs w:val="28"/>
            <w:lang w:eastAsia="hi-IN" w:bidi="hi-IN"/>
          </w:rPr>
          <w:t>https://zakon.rada.gov.ua/laws/show/5081-17#Text</w:t>
        </w:r>
      </w:hyperlink>
    </w:p>
    <w:p w14:paraId="097246A8" w14:textId="2B8FFFF3" w:rsidR="00940998" w:rsidRPr="00940998" w:rsidRDefault="00940998" w:rsidP="00940998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4</w:t>
      </w:r>
      <w:r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9409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Постанова Кабінету Міністрів України від 23.11.2011 № 1341 «Про затвердження Національної рамки кваліфікацій» (зі змінами). </w:t>
      </w:r>
      <w:r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br/>
        <w:t xml:space="preserve">URL: </w:t>
      </w:r>
      <w:hyperlink r:id="rId10" w:anchor="Text" w:history="1">
        <w:r w:rsidRPr="00940998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https://zakon.rada.gov.ua/laws/show/1341-2011-%D0%BF#Text</w:t>
        </w:r>
      </w:hyperlink>
    </w:p>
    <w:p w14:paraId="000D4EBC" w14:textId="4E5ADFD9" w:rsidR="00940998" w:rsidRPr="00940998" w:rsidRDefault="00940998" w:rsidP="00940998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en-US"/>
        </w:rPr>
        <w:t>5</w:t>
      </w:r>
      <w:r w:rsidRPr="00940998">
        <w:rPr>
          <w:rFonts w:ascii="Times New Roman" w:hAnsi="Times New Roman" w:cs="Times New Roman"/>
          <w:color w:val="000000"/>
          <w:sz w:val="28"/>
          <w:szCs w:val="28"/>
          <w:lang w:eastAsia="uk-UA" w:bidi="en-US"/>
        </w:rPr>
        <w:t xml:space="preserve">. </w:t>
      </w:r>
      <w:r w:rsidRPr="00940998">
        <w:rPr>
          <w:rFonts w:ascii="Times New Roman" w:eastAsia="Times New Roman" w:hAnsi="Times New Roman" w:cs="Times New Roman"/>
          <w:sz w:val="28"/>
          <w:szCs w:val="28"/>
        </w:rPr>
        <w:t>Постанова Кабінету Міністрів від 29.04.2015 №</w:t>
      </w:r>
      <w:r w:rsidRPr="0094099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940998">
        <w:rPr>
          <w:rFonts w:ascii="Times New Roman" w:eastAsia="Times New Roman" w:hAnsi="Times New Roman" w:cs="Times New Roman"/>
          <w:sz w:val="28"/>
          <w:szCs w:val="28"/>
        </w:rPr>
        <w:t xml:space="preserve">266 «Про затвердження переліку галузей знань і спеціальностей, за якими здійснюється підготовка здобувачів вищої освіти» (у редакції Постанова Кабінету Міністрів від 16.12.2022 № 1392). URL: </w:t>
      </w:r>
      <w:hyperlink r:id="rId11" w:anchor="Text" w:history="1">
        <w:r w:rsidRPr="009409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https://zakon.rada.gov.ua/laws/show/ru/266-2015-%D0%BF#Text</w:t>
        </w:r>
      </w:hyperlink>
    </w:p>
    <w:p w14:paraId="11EA6355" w14:textId="583E4DAA" w:rsidR="00940998" w:rsidRDefault="00940998" w:rsidP="00940998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6. Постанова Кабінету Міністрів України від 28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.12.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2020 № 1337 «</w:t>
      </w:r>
      <w:r w:rsidR="00536E49" w:rsidRPr="00536E4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 затвердження Положення про організацію освітнього процесу у закладах охорони здоров’я за участю науково-педагогічних працівників закладів вищої освіти, що здійснюють підготовку здобувачів вищої освіти у сфері охорони здоров’я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»</w:t>
      </w:r>
      <w:r w:rsidR="00536E4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14:paraId="19E5F25F" w14:textId="0F4A681E" w:rsidR="00940998" w:rsidRDefault="00940998" w:rsidP="00940998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URL: </w:t>
      </w:r>
      <w:hyperlink r:id="rId12" w:anchor="Text" w:history="1">
        <w:r w:rsidRPr="00B31223">
          <w:rPr>
            <w:rStyle w:val="aff3"/>
            <w:rFonts w:ascii="Times New Roman" w:eastAsia="Arial Unicode MS" w:hAnsi="Times New Roman" w:cs="Times New Roman"/>
            <w:sz w:val="28"/>
            <w:szCs w:val="28"/>
            <w:lang w:eastAsia="hi-IN" w:bidi="hi-IN"/>
          </w:rPr>
          <w:t>https://zakon.rada.gov.ua/laws/show/1337-2020-%D0%BF#Text</w:t>
        </w:r>
      </w:hyperlink>
    </w:p>
    <w:p w14:paraId="4466D206" w14:textId="3523F7FA" w:rsidR="00940998" w:rsidRDefault="00940998" w:rsidP="00940998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7. Розпорядження Кабінету Міністрів України від 29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.02.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2019 № 95-р «</w:t>
      </w:r>
      <w:r w:rsidR="00536E49" w:rsidRPr="00536E4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 схвалення Стратегії розвитку медичної освіти в Україні</w:t>
      </w: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14:paraId="5BFE6843" w14:textId="34890A09" w:rsidR="00940998" w:rsidRDefault="00940998" w:rsidP="00940998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94099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URL: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hyperlink r:id="rId13" w:anchor="Text" w:history="1">
        <w:r w:rsidR="00536E49" w:rsidRPr="00B31223">
          <w:rPr>
            <w:rStyle w:val="aff3"/>
            <w:rFonts w:ascii="Times New Roman" w:eastAsia="Arial Unicode MS" w:hAnsi="Times New Roman" w:cs="Times New Roman"/>
            <w:sz w:val="28"/>
            <w:szCs w:val="28"/>
            <w:lang w:eastAsia="hi-IN" w:bidi="hi-IN"/>
          </w:rPr>
          <w:t>https://zakon.rada.gov.ua/laws/show/95-2019-%D1%80#Text</w:t>
        </w:r>
      </w:hyperlink>
    </w:p>
    <w:p w14:paraId="44D237DC" w14:textId="77777777" w:rsidR="00794B51" w:rsidRPr="00794B51" w:rsidRDefault="00536E49" w:rsidP="00794B5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5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8. Наказ Міністерства охорони здоров’я України від 28.10.2012 №385 «Перелік лікарських посад у закладах охорони здоров'я»</w:t>
      </w:r>
      <w:r w:rsidR="00794B51" w:rsidRPr="00794B5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URL: </w:t>
      </w:r>
      <w:hyperlink r:id="rId14" w:anchor="Text" w:history="1">
        <w:r w:rsidR="00794B51" w:rsidRPr="00794B51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https://zakon.rada.gov.ua/laws/show/z0893-02#Text</w:t>
        </w:r>
      </w:hyperlink>
    </w:p>
    <w:p w14:paraId="77E6DA32" w14:textId="2E84B689" w:rsidR="00940998" w:rsidRPr="00940998" w:rsidRDefault="00536E49" w:rsidP="0094099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</w:t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 Наказ Держспоживстандарту від 28.10.2010 №</w:t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val="ru-RU" w:eastAsia="zh-CN"/>
        </w:rPr>
        <w:t> </w:t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327 «Національний класифікатор України. Класифікатор професій ДК 003:2010».</w:t>
      </w:r>
      <w:r w:rsidR="00794B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0" w:name="_Hlk118112288"/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URL: </w:t>
      </w:r>
      <w:bookmarkEnd w:id="0"/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begin"/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instrText xml:space="preserve"> HYPERLINK "https://zakon.rada.gov.ua/rada/show/va327609-10" </w:instrText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separate"/>
      </w:r>
      <w:r w:rsidR="00940998" w:rsidRPr="00940998">
        <w:rPr>
          <w:rFonts w:ascii="Times New Roman" w:hAnsi="Times New Roman" w:cs="Times New Roman"/>
          <w:color w:val="0563C1"/>
          <w:sz w:val="28"/>
          <w:szCs w:val="28"/>
          <w:u w:val="single"/>
          <w:lang w:eastAsia="zh-CN"/>
        </w:rPr>
        <w:t>https://zakon.rada.gov.ua/rada/show/va327609-10</w:t>
      </w:r>
      <w:r w:rsidR="00940998" w:rsidRPr="009409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end"/>
      </w:r>
    </w:p>
    <w:p w14:paraId="6C7EB52D" w14:textId="4F912E75" w:rsidR="00940998" w:rsidRDefault="00940998" w:rsidP="00794B51">
      <w:pPr>
        <w:suppressAutoHyphens/>
        <w:contextualSpacing/>
        <w:jc w:val="both"/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</w:pPr>
      <w:r w:rsidRPr="00940998">
        <w:rPr>
          <w:rFonts w:ascii="Times New Roman" w:hAnsi="Times New Roman" w:cs="Times New Roman"/>
          <w:color w:val="000000"/>
          <w:spacing w:val="-4"/>
          <w:sz w:val="28"/>
          <w:szCs w:val="28"/>
          <w:lang w:eastAsia="zh-CN"/>
        </w:rPr>
        <w:t>1</w:t>
      </w:r>
      <w:r w:rsidR="00794B51">
        <w:rPr>
          <w:rFonts w:ascii="Times New Roman" w:hAnsi="Times New Roman" w:cs="Times New Roman"/>
          <w:color w:val="000000"/>
          <w:spacing w:val="-4"/>
          <w:sz w:val="28"/>
          <w:szCs w:val="28"/>
          <w:lang w:eastAsia="zh-CN"/>
        </w:rPr>
        <w:t>0</w:t>
      </w:r>
      <w:r w:rsidRPr="00940998">
        <w:rPr>
          <w:rFonts w:ascii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. </w:t>
      </w:r>
      <w:r w:rsidRPr="00940998">
        <w:rPr>
          <w:rFonts w:ascii="Times New Roman" w:hAnsi="Times New Roman" w:cs="Times New Roman"/>
          <w:spacing w:val="-4"/>
          <w:sz w:val="28"/>
          <w:szCs w:val="28"/>
          <w:lang w:eastAsia="zh-CN" w:bidi="en-US"/>
        </w:rPr>
        <w:t>Методичні рекомендації щодо розроблення стандартів вищої освіти, затверджені наказом Міністерства освіти і науки України від 01.06.2017 № 600 (у редакції наказу Міністерства освіти і науки України від 30.04.2020 № 584), схвалені сектором вищої освіти Науково-методичної Ради Міністерства освіти і науки України</w:t>
      </w:r>
      <w:r w:rsidR="00794B51">
        <w:rPr>
          <w:rFonts w:ascii="Times New Roman" w:hAnsi="Times New Roman" w:cs="Times New Roman"/>
          <w:spacing w:val="-4"/>
          <w:sz w:val="28"/>
          <w:szCs w:val="28"/>
          <w:lang w:eastAsia="zh-CN" w:bidi="en-US"/>
        </w:rPr>
        <w:t xml:space="preserve"> </w:t>
      </w:r>
      <w:bookmarkStart w:id="1" w:name="_Hlk118114512"/>
      <w:r w:rsidRPr="005556EC">
        <w:rPr>
          <w:rFonts w:ascii="Times New Roman" w:hAnsi="Times New Roman" w:cs="Times New Roman"/>
          <w:color w:val="000000"/>
          <w:sz w:val="28"/>
          <w:szCs w:val="28"/>
          <w:lang w:eastAsia="zh-CN" w:bidi="en-US"/>
        </w:rPr>
        <w:t>URL:</w:t>
      </w:r>
      <w:r w:rsidRPr="00940998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t> </w:t>
      </w:r>
      <w:bookmarkEnd w:id="1"/>
      <w:r w:rsidRPr="00940998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fldChar w:fldCharType="begin"/>
      </w:r>
      <w:r w:rsidRPr="00940998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instrText xml:space="preserve"> HYPERLINK "https://mon.gov.ua/ua/osvita/visha-osvita/naukovo-metodichna-rada-ministerstva-osviti-i-nauki-ukrayini/metodichni-rekomendaciyi-vo" </w:instrText>
      </w:r>
      <w:r w:rsidRPr="00940998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fldChar w:fldCharType="separate"/>
      </w:r>
      <w:r w:rsidRPr="00940998">
        <w:rPr>
          <w:rFonts w:ascii="Times New Roman" w:hAnsi="Times New Roman" w:cs="Times New Roman"/>
          <w:color w:val="0563C1"/>
          <w:sz w:val="28"/>
          <w:szCs w:val="28"/>
          <w:u w:val="single"/>
          <w:lang w:eastAsia="zh-CN" w:bidi="en-US"/>
        </w:rPr>
        <w:t>https://mon.gov.ua/ua/osvita/visha-osvita/naukovo-metodichna-rada-ministerstva-osviti-i-nauki-ukrayini/metodichni-rekomendaciyi-vo</w:t>
      </w:r>
      <w:r w:rsidRPr="00940998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fldChar w:fldCharType="end"/>
      </w:r>
    </w:p>
    <w:p w14:paraId="47D4EBEB" w14:textId="621263D0" w:rsidR="005556EC" w:rsidRDefault="005556EC" w:rsidP="005556EC">
      <w:pPr>
        <w:pStyle w:val="4"/>
        <w:shd w:val="clear" w:color="auto" w:fill="FFFFFF"/>
        <w:spacing w:before="0" w:after="75" w:line="450" w:lineRule="atLeast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 w:rsidRPr="005556E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 w:bidi="en-US"/>
        </w:rPr>
        <w:t xml:space="preserve">11. </w:t>
      </w:r>
      <w:r w:rsidRPr="005556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Наказ МОЗ України від 06.05.2024 № 788 "Про внесення змін до деяких нормативно-правових актів Міністерства охорони здоров’я України"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5556EC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URL: </w:t>
      </w:r>
      <w:hyperlink r:id="rId15" w:history="1">
        <w:r w:rsidRPr="00646004">
          <w:rPr>
            <w:rStyle w:val="aff3"/>
            <w:rFonts w:ascii="Times New Roman" w:hAnsi="Times New Roman" w:cs="Times New Roman"/>
            <w:b w:val="0"/>
            <w:sz w:val="28"/>
            <w:szCs w:val="28"/>
            <w:lang w:eastAsia="zh-CN"/>
          </w:rPr>
          <w:t>https://moz.gov.ua/article/ministry-mandates/nakaz-moz-ukraini-vid-06052024--788-pro-vnesennja-zmin-do-dejakih-normativno-pravovih-aktiv-ministerstva-ohoroni-zdorov%e2%80%99ja-ukraini</w:t>
        </w:r>
      </w:hyperlink>
    </w:p>
    <w:p w14:paraId="4B767658" w14:textId="4B9982B5" w:rsidR="005556EC" w:rsidRDefault="005556EC" w:rsidP="00FB5425">
      <w:pPr>
        <w:pStyle w:val="4"/>
        <w:keepNext w:val="0"/>
        <w:keepLines w:val="0"/>
        <w:shd w:val="clear" w:color="auto" w:fill="FFFFFF"/>
        <w:spacing w:before="0" w:after="0" w:line="360" w:lineRule="atLeast"/>
        <w:ind w:left="142" w:hanging="142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 w:rsidRPr="00FB5425">
        <w:rPr>
          <w:rFonts w:ascii="Times New Roman" w:hAnsi="Times New Roman" w:cs="Times New Roman"/>
          <w:b w:val="0"/>
          <w:sz w:val="28"/>
          <w:szCs w:val="28"/>
          <w:lang w:eastAsia="zh-CN"/>
        </w:rPr>
        <w:t>12</w:t>
      </w:r>
      <w:r>
        <w:rPr>
          <w:lang w:eastAsia="zh-CN"/>
        </w:rPr>
        <w:t xml:space="preserve">. </w:t>
      </w:r>
      <w:hyperlink r:id="rId16" w:history="1">
        <w:r w:rsidRPr="00FB5425">
          <w:rPr>
            <w:rStyle w:val="aff3"/>
            <w:rFonts w:ascii="Times New Roman" w:hAnsi="Times New Roman" w:cs="Times New Roman"/>
            <w:b w:val="0"/>
            <w:bCs/>
            <w:color w:val="000000" w:themeColor="text1"/>
            <w:spacing w:val="12"/>
            <w:sz w:val="28"/>
            <w:szCs w:val="28"/>
            <w:u w:val="none"/>
          </w:rPr>
          <w:t>Наказ МОЗ України від 11.05.2024 № 820 "Про внесення змін до наказу Міністерства охорони здоров’я України від 06 травня 2024 року № 788"</w:t>
        </w:r>
      </w:hyperlink>
      <w:r w:rsidR="00FB5425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FB5425" w:rsidRPr="005556EC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URL:</w:t>
      </w:r>
      <w:r w:rsidR="00FB5425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hyperlink r:id="rId17" w:history="1">
        <w:r w:rsidR="00FB5425" w:rsidRPr="00646004">
          <w:rPr>
            <w:rStyle w:val="aff3"/>
            <w:rFonts w:ascii="Times New Roman" w:hAnsi="Times New Roman" w:cs="Times New Roman"/>
            <w:b w:val="0"/>
            <w:sz w:val="28"/>
            <w:szCs w:val="28"/>
            <w:lang w:eastAsia="zh-CN"/>
          </w:rPr>
          <w:t>https://moz.gov.ua/article/ministry-mandates/nakaz-moz-ukraini-vid-11052024--820-pro-vnesennja-zmin-do-nakazu-ministerstva-ohoroni-zdorov%e2%80%99ja-ukraini-vid-06-travnja-2024-roku--788</w:t>
        </w:r>
      </w:hyperlink>
    </w:p>
    <w:p w14:paraId="5B384666" w14:textId="77777777" w:rsidR="00FB5425" w:rsidRDefault="00FB5425" w:rsidP="00794B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0A6BC" w14:textId="77777777" w:rsidR="00794B51" w:rsidRPr="00B1757D" w:rsidRDefault="00794B51" w:rsidP="00794B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57D">
        <w:rPr>
          <w:rFonts w:ascii="Times New Roman" w:hAnsi="Times New Roman" w:cs="Times New Roman"/>
          <w:b/>
          <w:sz w:val="28"/>
          <w:szCs w:val="28"/>
        </w:rPr>
        <w:t xml:space="preserve">Генеральний директор директорату </w:t>
      </w:r>
    </w:p>
    <w:p w14:paraId="6E497A1F" w14:textId="77777777" w:rsidR="00794B51" w:rsidRPr="00B1757D" w:rsidRDefault="00794B51" w:rsidP="00794B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57D">
        <w:rPr>
          <w:rFonts w:ascii="Times New Roman" w:hAnsi="Times New Roman" w:cs="Times New Roman"/>
          <w:b/>
          <w:sz w:val="28"/>
          <w:szCs w:val="28"/>
        </w:rPr>
        <w:t>Фахової передвищої, вищої освіти                                                Олег ШАРОВ</w:t>
      </w:r>
    </w:p>
    <w:p w14:paraId="13DEF2F9" w14:textId="77777777" w:rsidR="00794B51" w:rsidRPr="00B1757D" w:rsidRDefault="00794B51" w:rsidP="00794B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63B9C" w14:textId="77777777" w:rsidR="00967D91" w:rsidRDefault="00967D91" w:rsidP="00E43B7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14:paraId="7A240D70" w14:textId="77777777" w:rsidR="00967D91" w:rsidRDefault="00967D91" w:rsidP="00E43B7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14:paraId="43168D7F" w14:textId="77777777" w:rsidR="00967D91" w:rsidRDefault="00967D91" w:rsidP="00E43B7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14:paraId="36205F70" w14:textId="77777777" w:rsidR="00967D91" w:rsidRDefault="00967D91" w:rsidP="00E43B7B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14:paraId="4E1ADAD2" w14:textId="0C79C251" w:rsidR="00E43B7B" w:rsidRPr="00E43B7B" w:rsidRDefault="00E43B7B" w:rsidP="00E43B7B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uk-UA" w:bidi="hi-IN"/>
        </w:rPr>
      </w:pPr>
      <w:r w:rsidRPr="00E43B7B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Пояснюв</w:t>
      </w:r>
      <w:r w:rsidRPr="00E43B7B">
        <w:rPr>
          <w:rFonts w:ascii="Times New Roman" w:hAnsi="Times New Roman" w:cs="Times New Roman"/>
          <w:b/>
          <w:kern w:val="1"/>
          <w:sz w:val="28"/>
          <w:szCs w:val="28"/>
          <w:lang w:eastAsia="uk-UA" w:bidi="hi-IN"/>
        </w:rPr>
        <w:t>а</w:t>
      </w:r>
      <w:r w:rsidRPr="00E43B7B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льн</w:t>
      </w:r>
      <w:r w:rsidRPr="00E43B7B">
        <w:rPr>
          <w:rFonts w:ascii="Times New Roman" w:hAnsi="Times New Roman" w:cs="Times New Roman"/>
          <w:b/>
          <w:kern w:val="1"/>
          <w:sz w:val="28"/>
          <w:szCs w:val="28"/>
          <w:lang w:eastAsia="uk-UA" w:bidi="hi-IN"/>
        </w:rPr>
        <w:t>а</w:t>
      </w:r>
      <w:r w:rsidRPr="00E43B7B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з</w:t>
      </w:r>
      <w:r w:rsidRPr="00E43B7B">
        <w:rPr>
          <w:rFonts w:ascii="Times New Roman" w:hAnsi="Times New Roman" w:cs="Times New Roman"/>
          <w:b/>
          <w:kern w:val="1"/>
          <w:sz w:val="28"/>
          <w:szCs w:val="28"/>
          <w:lang w:eastAsia="uk-UA" w:bidi="hi-IN"/>
        </w:rPr>
        <w:t>а</w:t>
      </w:r>
      <w:r w:rsidRPr="00E43B7B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писк</w:t>
      </w:r>
      <w:r w:rsidRPr="00E43B7B">
        <w:rPr>
          <w:rFonts w:ascii="Times New Roman" w:hAnsi="Times New Roman" w:cs="Times New Roman"/>
          <w:b/>
          <w:kern w:val="1"/>
          <w:sz w:val="28"/>
          <w:szCs w:val="28"/>
          <w:lang w:eastAsia="uk-UA" w:bidi="hi-IN"/>
        </w:rPr>
        <w:t>а</w:t>
      </w:r>
    </w:p>
    <w:p w14:paraId="77497DAE" w14:textId="77777777" w:rsidR="00E43B7B" w:rsidRPr="00E43B7B" w:rsidRDefault="00E43B7B" w:rsidP="00E43B7B">
      <w:pPr>
        <w:suppressAutoHyphens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14:paraId="596782C8" w14:textId="7F26F6F4" w:rsidR="00E43B7B" w:rsidRP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Стандарт вищої освіти містить вимоги до освітніх програм підготовки магістрів зі спеціальності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228 Педіатрія</w:t>
      </w: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стосовно:</w:t>
      </w:r>
    </w:p>
    <w:p w14:paraId="7311152F" w14:textId="4916EADE" w:rsidR="00E43B7B" w:rsidRPr="00E43B7B" w:rsidRDefault="00E43B7B" w:rsidP="00E43B7B">
      <w:pPr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• обсягу кредитів ЄКТС, необхідного для здобуття освітнього ступеня «магістр» зі спеціальності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228 Педіатрія</w:t>
      </w: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7166A6CE" w14:textId="77777777" w:rsidR="00E43B7B" w:rsidRPr="00E43B7B" w:rsidRDefault="00E43B7B" w:rsidP="00E43B7B">
      <w:pPr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• рівня освіти осіб, які можуть розпочати навчання за відповідною освітньою програмою, та результатів їх навчання;</w:t>
      </w:r>
    </w:p>
    <w:p w14:paraId="0A1A1B0F" w14:textId="77777777" w:rsidR="00E43B7B" w:rsidRPr="00E43B7B" w:rsidRDefault="00E43B7B" w:rsidP="00E43B7B">
      <w:pPr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• переліку обов’язкових компетентностей випускника;</w:t>
      </w:r>
    </w:p>
    <w:p w14:paraId="268CC96B" w14:textId="77777777" w:rsidR="00E43B7B" w:rsidRPr="00E43B7B" w:rsidRDefault="00E43B7B" w:rsidP="00E43B7B">
      <w:pPr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• нормативного змісту підготовки здобувачів вищої освіти, сформульованого в термінах результатів навчання;</w:t>
      </w:r>
    </w:p>
    <w:p w14:paraId="0217E5D7" w14:textId="77777777" w:rsidR="00E43B7B" w:rsidRPr="00E43B7B" w:rsidRDefault="00E43B7B" w:rsidP="00E43B7B">
      <w:pPr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• форм атестації здобувачів вищої освіти.</w:t>
      </w:r>
    </w:p>
    <w:p w14:paraId="69D92605" w14:textId="77777777" w:rsidR="00E43B7B" w:rsidRP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Вимоги до компетентностей та результатів навчання узгоджені між собою та відповідають дескрипторам Національної рамки кваліфікацій (НРК). </w:t>
      </w:r>
    </w:p>
    <w:p w14:paraId="4A948182" w14:textId="77777777" w:rsidR="00E43B7B" w:rsidRP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Таблиця 1 демонструє відповідність визначених Стандартом компетентностей та дескрипторів НРК, а таблиця 2 – відповідність результатів навчання та компетентностей. </w:t>
      </w:r>
    </w:p>
    <w:p w14:paraId="3E393417" w14:textId="77777777" w:rsid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Заклад вищої освіти самостійно визначає форми організації освітнього процесу та види навчальних занять, необхідні для набуття означених Стандартом компетентностей. Наведений у Стандарті перелік компетентностей і результатів навчання не є вичерпним. Заклади вищої освіти при формуванні освітніх програм можуть зазначати додаткові вимоги до компетентностей і результатів навчання. Заклади вищої освіти мають право використовувати власні формулювання спеціальних (фахових) компетентностей і результатів навчання, </w:t>
      </w:r>
      <w:r w:rsidRPr="00E43B7B">
        <w:rPr>
          <w:rFonts w:ascii="Times New Roman" w:eastAsia="Times New Roman" w:hAnsi="Times New Roman" w:cs="Times New Roman"/>
          <w:kern w:val="1"/>
          <w:sz w:val="28"/>
          <w:szCs w:val="28"/>
          <w:lang w:eastAsia="uk-UA" w:bidi="hi-IN"/>
        </w:rPr>
        <w:t>притому забезпечувати</w:t>
      </w:r>
      <w:r w:rsidRPr="00E43B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щоб сукупність вимог освітньої програми повністю охоплювала всі вимоги стандарту. Заклад вищої освіти має право запроваджувати додаткові форми атестації здобувачів вищої освіти.</w:t>
      </w:r>
    </w:p>
    <w:p w14:paraId="7A9F2964" w14:textId="24E534E3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>Професійні назви робіт, які може виконувати випускник спеціальності «</w:t>
      </w:r>
      <w:r>
        <w:rPr>
          <w:rFonts w:ascii="Times New Roman" w:hAnsi="Times New Roman" w:cs="Times New Roman"/>
          <w:sz w:val="28"/>
          <w:szCs w:val="28"/>
        </w:rPr>
        <w:t>Педіатрія</w:t>
      </w:r>
      <w:r w:rsidRPr="001F5FB0">
        <w:rPr>
          <w:rFonts w:ascii="Times New Roman" w:hAnsi="Times New Roman" w:cs="Times New Roman"/>
          <w:sz w:val="28"/>
          <w:szCs w:val="28"/>
        </w:rPr>
        <w:t>» після закінчення інтернатури або лікарської резидентури</w:t>
      </w:r>
    </w:p>
    <w:p w14:paraId="7AED105B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Розділ 2 Професіонали </w:t>
      </w:r>
    </w:p>
    <w:p w14:paraId="73995E81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Підрозділ 22 Професіонали в галузі наук про життя та медичних наук </w:t>
      </w:r>
    </w:p>
    <w:p w14:paraId="5DCB66FC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Клас 221 Професіонали в галузі наук про життя та медичних наук </w:t>
      </w:r>
    </w:p>
    <w:p w14:paraId="5F3AAF95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Клас 222 Професіонали в галузі медицини (крім медичних сестер) </w:t>
      </w:r>
    </w:p>
    <w:p w14:paraId="696EBF64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Підклас 2221 Професіонали в галузі лікувальної справи (крім стоматології) </w:t>
      </w:r>
    </w:p>
    <w:p w14:paraId="58B15E7B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Група 2221.2 Лікарі </w:t>
      </w:r>
    </w:p>
    <w:p w14:paraId="278277E4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Підклас 2225 Професіонали в галузі медико-профілактичної справи </w:t>
      </w:r>
    </w:p>
    <w:p w14:paraId="533E2C2F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2225.2 Лікарі, фахівці в галузі медико-профілактичної справи </w:t>
      </w:r>
    </w:p>
    <w:p w14:paraId="1331F66C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2229.2 Професіонали в галузі медицини (крім сестринської справи та акушерства) </w:t>
      </w:r>
    </w:p>
    <w:p w14:paraId="3C919D39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>Професійні назви робіт – відповідно до Національного класифікатора України: Класифікатор професій ДК 003:2010. Фахівець підготовлений до роботи за ДК 009-2010: Секція Q. Охорона здоров’я та надання соціальної допомоги</w:t>
      </w:r>
    </w:p>
    <w:p w14:paraId="39495A5D" w14:textId="3EB02F3A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Розділ 86.1. Діяльність лікарняних закладів </w:t>
      </w:r>
    </w:p>
    <w:p w14:paraId="4E1C86A3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Група 86.10 Діяльність лікарняних закладів </w:t>
      </w:r>
    </w:p>
    <w:p w14:paraId="376607C9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Клас 86.21 Загальна медична практика </w:t>
      </w:r>
    </w:p>
    <w:p w14:paraId="60458B6D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Клас 86.90 Інша діяльність у сфері охорони здоров’я </w:t>
      </w:r>
    </w:p>
    <w:p w14:paraId="6702B388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E4790" w14:textId="77777777" w:rsidR="00E43B7B" w:rsidRPr="00830BB2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Працевлаштування випускників </w:t>
      </w:r>
    </w:p>
    <w:p w14:paraId="51FC5360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>Після закінчення навчання за освітньо-професійною програмою підготовки програмою магістра спеціальності «</w:t>
      </w:r>
      <w:r>
        <w:rPr>
          <w:rFonts w:ascii="Times New Roman" w:hAnsi="Times New Roman" w:cs="Times New Roman"/>
          <w:sz w:val="28"/>
          <w:szCs w:val="28"/>
        </w:rPr>
        <w:t>Педіатрія</w:t>
      </w:r>
      <w:r w:rsidRPr="001F5FB0">
        <w:rPr>
          <w:rFonts w:ascii="Times New Roman" w:hAnsi="Times New Roman" w:cs="Times New Roman"/>
          <w:sz w:val="28"/>
          <w:szCs w:val="28"/>
        </w:rPr>
        <w:t xml:space="preserve">» фахівець здатний виконувати професійну роботу: лікар-інтерн (код КП – 3229); </w:t>
      </w:r>
    </w:p>
    <w:p w14:paraId="581771A6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 xml:space="preserve">лікар-стажист (код КП - 3221); </w:t>
      </w:r>
    </w:p>
    <w:p w14:paraId="166FDD1A" w14:textId="77777777" w:rsidR="00E43B7B" w:rsidRPr="001F5FB0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FB0">
        <w:rPr>
          <w:rFonts w:ascii="Times New Roman" w:hAnsi="Times New Roman" w:cs="Times New Roman"/>
          <w:sz w:val="28"/>
          <w:szCs w:val="28"/>
        </w:rPr>
        <w:t>лікар-резидент (код КП – ХХХ).</w:t>
      </w:r>
    </w:p>
    <w:p w14:paraId="3390245B" w14:textId="77777777" w:rsidR="00E43B7B" w:rsidRP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BCF9445" w14:textId="04C21AAE" w:rsidR="00E43B7B" w:rsidRPr="00E43B7B" w:rsidRDefault="005556EC" w:rsidP="00E43B7B">
      <w:pPr>
        <w:suppressAutoHyphens/>
        <w:ind w:firstLine="567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Інші р</w:t>
      </w:r>
      <w:r w:rsidR="00E43B7B" w:rsidRPr="00E43B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екомендовані джерела</w:t>
      </w:r>
    </w:p>
    <w:p w14:paraId="2577F369" w14:textId="77777777" w:rsidR="00E43B7B" w:rsidRPr="00E43B7B" w:rsidRDefault="00E43B7B" w:rsidP="00E43B7B">
      <w:pPr>
        <w:suppressAutoHyphens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46AD937" w14:textId="31970999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Європейському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(ESG)</w:t>
      </w:r>
      <w:r w:rsidRPr="00E43B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3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55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URL: </w:t>
      </w:r>
      <w:hyperlink r:id="rId18" w:history="1">
        <w:r w:rsidRPr="00E43B7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pl-PL"/>
          </w:rPr>
          <w:t>https://ihed.org.ua/wp-content/uploads/2018/10/04_2016_ESG_2015.pdf</w:t>
        </w:r>
      </w:hyperlink>
    </w:p>
    <w:p w14:paraId="473BC4B9" w14:textId="6FBBD313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(ISCED 2011): UNESCO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 : </w:t>
      </w:r>
      <w:hyperlink r:id="rId19" w:history="1">
        <w:r w:rsidRPr="00E43B7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http://uis.unesco.org/sites/default/files/documents/international-standard-classification-of-education-isced-2011-en.pdf</w:t>
        </w:r>
      </w:hyperlink>
    </w:p>
    <w:p w14:paraId="4A6F6FD0" w14:textId="5A78B6C8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оf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Fields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2013 (ISCED-F 2013) –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Detailed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descriptions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URL: </w:t>
      </w:r>
      <w:hyperlink r:id="rId20" w:history="1">
        <w:r w:rsidRPr="00E43B7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http://uis.unesco.org/sites/default/files/documents/international-standard-classification-of-education-fields-of-education-and-training-2013-detailed-field-descriptions-2015-en.pdf</w:t>
        </w:r>
      </w:hyperlink>
      <w:r w:rsidRPr="00E43B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859661" w14:textId="3046B3CB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E43B7B">
        <w:rPr>
          <w:rFonts w:ascii="Times New Roman" w:eastAsia="Times New Roman" w:hAnsi="Times New Roman" w:cs="Times New Roman"/>
          <w:sz w:val="28"/>
          <w:szCs w:val="28"/>
          <w:lang w:val="en-US"/>
        </w:rPr>
        <w:t>The European Qualifications Framework: Supporting Learning, Work and Cross-Border Mobility</w:t>
      </w:r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URL: </w:t>
      </w:r>
      <w:hyperlink r:id="rId21" w:history="1">
        <w:r w:rsidRPr="00E43B7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http://www.ehea.info/Upload/TPG_A_QF_RO_MK_1_EQF_Brochure.pdf</w:t>
        </w:r>
      </w:hyperlink>
      <w:r w:rsidRPr="00E43B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E6B073" w14:textId="77777777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5. QF-EHEA –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Framework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B7B"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0C01DF" w14:textId="236C2FE4" w:rsidR="00E43B7B" w:rsidRPr="00E43B7B" w:rsidRDefault="00E43B7B" w:rsidP="00E43B7B">
      <w:pPr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URL: </w:t>
      </w:r>
      <w:hyperlink r:id="rId22" w:history="1">
        <w:r w:rsidRPr="00E43B7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http://www.ehea.info/Upload/document/ministerial_declarations/EHEAParis2018_Communique_AppendixIII_952778.pdf</w:t>
        </w:r>
      </w:hyperlink>
      <w:r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8BED66" w14:textId="5B95ECDE" w:rsidR="00E43B7B" w:rsidRPr="00E43B7B" w:rsidRDefault="00E43B7B" w:rsidP="005556EC">
      <w:pPr>
        <w:tabs>
          <w:tab w:val="left" w:pos="0"/>
          <w:tab w:val="left" w:pos="425"/>
          <w:tab w:val="left" w:pos="110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 TUNING</w:t>
      </w:r>
      <w:r w:rsidRPr="00E43B7B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 xml:space="preserve"> Educational Structures in Europe</w:t>
      </w:r>
      <w:r w:rsidRPr="00E43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5556E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43B7B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 w:bidi="en-US"/>
        </w:rPr>
        <w:t>URL:</w:t>
      </w:r>
      <w:r w:rsidRPr="00E43B7B">
        <w:rPr>
          <w:rFonts w:ascii="Times New Roman" w:hAnsi="Times New Roman" w:cs="Times New Roman"/>
          <w:color w:val="800080"/>
          <w:sz w:val="28"/>
          <w:szCs w:val="28"/>
          <w:u w:val="single"/>
          <w:lang w:eastAsia="zh-CN" w:bidi="en-US"/>
        </w:rPr>
        <w:t> </w:t>
      </w:r>
      <w:hyperlink r:id="rId23" w:history="1">
        <w:r w:rsidRPr="00E43B7B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https://www.unideusto.org/tuningeu/competences.html</w:t>
        </w:r>
      </w:hyperlink>
    </w:p>
    <w:p w14:paraId="4592C37F" w14:textId="1EEDBA6E" w:rsidR="00E43B7B" w:rsidRPr="00E43B7B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Європейська директива 2005/36/ЕС щодо визнання професійних кваліфікацій (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Directive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2005/36/EC OF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Parliament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September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recognition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) з поправками Директиви Європейського союзу № 2013/55/ЄС). </w:t>
      </w:r>
    </w:p>
    <w:p w14:paraId="2A62B7A1" w14:textId="5E7EEB42" w:rsidR="00E43B7B" w:rsidRPr="00E43B7B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Трилогія глобальних стандартів якості Всесвітньої федерації медичної освіти (WFME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, WFME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WFME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Professional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) та Стандарти освіти для здобуття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в галузі біомедицини та охорони здоров’я (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Biomedicine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Sciences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Europe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82B62D2" w14:textId="7AEBED0F" w:rsidR="00E43B7B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EURACT (2013) GP/FM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Specialist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Schemes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. EURACT </w:t>
      </w:r>
      <w:r w:rsidR="005556EC"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URL:</w:t>
      </w:r>
      <w:r w:rsidR="00555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4" w:history="1">
        <w:r w:rsidR="005556EC"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http://www.euract.eu/specialist–training/malta</w:t>
        </w:r>
      </w:hyperlink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902136" w14:textId="2C012979" w:rsidR="005556EC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Medicine</w:t>
      </w:r>
      <w:proofErr w:type="spellEnd"/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history="1">
        <w:r w:rsidR="005556EC"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URL: </w:t>
        </w:r>
        <w:r w:rsidR="005556EC"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https://euract.woncaeurope.org/resources</w:t>
        </w:r>
      </w:hyperlink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D6871" w14:textId="1C7924A9" w:rsidR="005556EC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Клінічні протоколи на засадах доказової медицини </w:t>
      </w:r>
      <w:r w:rsidR="005556EC"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URL:</w:t>
      </w:r>
      <w:r w:rsidR="00555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6" w:history="1">
        <w:r w:rsidR="005556EC"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http://guidelines.moz.gov.ua/</w:t>
        </w:r>
      </w:hyperlink>
    </w:p>
    <w:p w14:paraId="0E4A1AC7" w14:textId="037C0A0A" w:rsidR="005556EC" w:rsidRDefault="005556EC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 Міжнародні протоколи (Наказ МОЗ України № 1422 від 29.12.2016 р., </w:t>
      </w:r>
      <w:hyperlink r:id="rId27" w:history="1">
        <w:r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URL: </w:t>
        </w:r>
        <w:r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http://moz.gov.ua/article/protocols/test3</w:t>
        </w:r>
      </w:hyperlink>
    </w:p>
    <w:p w14:paraId="66E2E905" w14:textId="16944801" w:rsidR="00E43B7B" w:rsidRDefault="00830BB2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556E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B7B" w:rsidRPr="00E43B7B">
        <w:rPr>
          <w:rFonts w:ascii="Times New Roman" w:eastAsia="Times New Roman" w:hAnsi="Times New Roman" w:cs="Times New Roman"/>
          <w:sz w:val="28"/>
          <w:szCs w:val="28"/>
        </w:rPr>
        <w:t xml:space="preserve">Кодекс лікаря України (ПРИЙНЯТО ТА ПІДПИСАНО Всеукраїнським з'їздом лікарських організацій та X З'їздом Всеукраїнського лікарського товариства (ВУЛТ) в м. Євпаторії 27.09.2009 року) </w:t>
      </w:r>
      <w:r w:rsidR="005556EC" w:rsidRPr="00E43B7B">
        <w:rPr>
          <w:rFonts w:ascii="Times New Roman" w:eastAsia="Times New Roman" w:hAnsi="Times New Roman" w:cs="Times New Roman"/>
          <w:sz w:val="28"/>
          <w:szCs w:val="28"/>
          <w:lang w:eastAsia="uk-UA"/>
        </w:rPr>
        <w:t>URL:</w:t>
      </w:r>
      <w:r w:rsidR="00555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8" w:history="1">
        <w:r w:rsidR="005556EC" w:rsidRPr="00646004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http://www.uapravo.net/akty/postanowyosnovni/akt5dprf9d.htm</w:t>
        </w:r>
      </w:hyperlink>
    </w:p>
    <w:p w14:paraId="38FC9136" w14:textId="77777777" w:rsidR="005556EC" w:rsidRDefault="005556EC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9BBB6" w14:textId="77777777" w:rsidR="00E43B7B" w:rsidRPr="00E43B7B" w:rsidRDefault="00E43B7B" w:rsidP="00E43B7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3525F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58986" w14:textId="059DE6F5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6D65" w:rsidSect="00967D91">
          <w:headerReference w:type="default" r:id="rId29"/>
          <w:pgSz w:w="11906" w:h="16838"/>
          <w:pgMar w:top="851" w:right="567" w:bottom="567" w:left="1418" w:header="454" w:footer="397" w:gutter="0"/>
          <w:pgNumType w:start="1"/>
          <w:cols w:space="720"/>
          <w:titlePg/>
          <w:docGrid w:linePitch="272"/>
        </w:sectPr>
      </w:pPr>
    </w:p>
    <w:p w14:paraId="2168CD01" w14:textId="77777777" w:rsidR="00594375" w:rsidRPr="00594375" w:rsidRDefault="00594375" w:rsidP="00594375">
      <w:pPr>
        <w:suppressAutoHyphens/>
        <w:ind w:firstLine="567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9437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Таблиця 1</w:t>
      </w:r>
    </w:p>
    <w:p w14:paraId="4C8D7575" w14:textId="77777777" w:rsidR="00594375" w:rsidRPr="00594375" w:rsidRDefault="00594375" w:rsidP="00594375">
      <w:pPr>
        <w:suppressAutoHyphens/>
        <w:ind w:firstLine="567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69DFD807" w14:textId="77777777" w:rsidR="00594375" w:rsidRPr="00594375" w:rsidRDefault="00594375" w:rsidP="00594375">
      <w:pPr>
        <w:autoSpaceDE w:val="0"/>
        <w:jc w:val="center"/>
        <w:textAlignment w:val="top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ar-SA"/>
        </w:rPr>
      </w:pPr>
      <w:r w:rsidRPr="00594375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ar-SA"/>
        </w:rPr>
        <w:t>Матриця відповідності визначених Стандартом компетентностей дескрипторам НРК</w:t>
      </w:r>
    </w:p>
    <w:p w14:paraId="4B6F6C2B" w14:textId="77777777" w:rsidR="00594375" w:rsidRPr="00594375" w:rsidRDefault="00594375" w:rsidP="00594375">
      <w:pPr>
        <w:autoSpaceDE w:val="0"/>
        <w:ind w:firstLine="845"/>
        <w:jc w:val="both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eastAsia="ar-SA"/>
        </w:rPr>
      </w:pPr>
    </w:p>
    <w:tbl>
      <w:tblPr>
        <w:tblW w:w="14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3827"/>
        <w:gridCol w:w="2127"/>
        <w:gridCol w:w="3695"/>
      </w:tblGrid>
      <w:tr w:rsidR="00594375" w:rsidRPr="00594375" w14:paraId="73AC7306" w14:textId="77777777" w:rsidTr="00594375">
        <w:trPr>
          <w:trHeight w:val="4078"/>
          <w:jc w:val="center"/>
        </w:trPr>
        <w:tc>
          <w:tcPr>
            <w:tcW w:w="1980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C958F7B" w14:textId="6B5B78E9" w:rsidR="00594375" w:rsidRPr="00594375" w:rsidRDefault="00594375" w:rsidP="00594375">
            <w:pPr>
              <w:widowControl w:val="0"/>
              <w:suppressAutoHyphens/>
              <w:ind w:left="2" w:hanging="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Класифікація компетентностей за НРК</w:t>
            </w:r>
          </w:p>
        </w:tc>
        <w:tc>
          <w:tcPr>
            <w:tcW w:w="2693" w:type="dxa"/>
            <w:shd w:val="clear" w:color="auto" w:fill="EDEBE0"/>
            <w:tcMar>
              <w:left w:w="28" w:type="dxa"/>
              <w:right w:w="28" w:type="dxa"/>
            </w:tcMar>
          </w:tcPr>
          <w:p w14:paraId="60AE1DB3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Знання</w:t>
            </w:r>
          </w:p>
          <w:p w14:paraId="12B648D4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Зн1 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14:paraId="76149699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Зн2 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Критичне осмислення проблем у галузі та на межі галузей знань</w:t>
            </w:r>
          </w:p>
        </w:tc>
        <w:tc>
          <w:tcPr>
            <w:tcW w:w="3827" w:type="dxa"/>
            <w:shd w:val="clear" w:color="auto" w:fill="EDEBE0"/>
            <w:tcMar>
              <w:left w:w="28" w:type="dxa"/>
              <w:right w:w="28" w:type="dxa"/>
            </w:tcMar>
          </w:tcPr>
          <w:p w14:paraId="0EE26485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Уміння/Навички</w:t>
            </w:r>
          </w:p>
          <w:p w14:paraId="1E36FC63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Ум1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14:paraId="3E7D330A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Ум2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Здатність інтегрувати знання та розв’язувати складні задачі у широких або </w:t>
            </w:r>
            <w:proofErr w:type="spellStart"/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мультидисциплінарних</w:t>
            </w:r>
            <w:proofErr w:type="spellEnd"/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контекстах</w:t>
            </w:r>
          </w:p>
          <w:p w14:paraId="641BCEA3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Ум3 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2127" w:type="dxa"/>
            <w:shd w:val="clear" w:color="auto" w:fill="EDEBE0"/>
            <w:tcMar>
              <w:left w:w="28" w:type="dxa"/>
              <w:right w:w="28" w:type="dxa"/>
            </w:tcMar>
          </w:tcPr>
          <w:p w14:paraId="19D33269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Комунікація </w:t>
            </w:r>
          </w:p>
          <w:p w14:paraId="5641AEE6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К1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Зрозуміле і недвозначне донесення власних знань, висновків та аргументації до фахівців і нефахівців, зокрема до осіб, які навчаються </w:t>
            </w:r>
          </w:p>
          <w:p w14:paraId="30DF95B5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К2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Використання іноземних мов у професійній діяльності</w:t>
            </w:r>
          </w:p>
        </w:tc>
        <w:tc>
          <w:tcPr>
            <w:tcW w:w="3695" w:type="dxa"/>
            <w:shd w:val="clear" w:color="auto" w:fill="EDEBE0"/>
            <w:tcMar>
              <w:left w:w="28" w:type="dxa"/>
              <w:right w:w="28" w:type="dxa"/>
            </w:tcMar>
          </w:tcPr>
          <w:p w14:paraId="0C7F06AA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Відповідальність та автономія</w:t>
            </w:r>
          </w:p>
          <w:p w14:paraId="002F6D4C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АВ1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14:paraId="36809F4D" w14:textId="77777777" w:rsidR="00594375" w:rsidRPr="00594375" w:rsidRDefault="00594375" w:rsidP="0059437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АВ2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14:paraId="7F6C2AA2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АВ3</w:t>
            </w: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Здатність продовжувати навчання з високим ступенем автономії</w:t>
            </w:r>
          </w:p>
        </w:tc>
      </w:tr>
      <w:tr w:rsidR="00594375" w:rsidRPr="00594375" w14:paraId="6C12C2F4" w14:textId="77777777" w:rsidTr="00594375">
        <w:trPr>
          <w:trHeight w:val="340"/>
          <w:jc w:val="center"/>
        </w:trPr>
        <w:tc>
          <w:tcPr>
            <w:tcW w:w="14322" w:type="dxa"/>
            <w:gridSpan w:val="5"/>
            <w:shd w:val="clear" w:color="auto" w:fill="EDEBE0"/>
            <w:vAlign w:val="center"/>
          </w:tcPr>
          <w:p w14:paraId="39C595DB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Загальні компетентності</w:t>
            </w:r>
          </w:p>
        </w:tc>
      </w:tr>
      <w:tr w:rsidR="00594375" w:rsidRPr="00594375" w14:paraId="64834ABE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26CE0706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ЗК01</w:t>
            </w:r>
          </w:p>
        </w:tc>
        <w:tc>
          <w:tcPr>
            <w:tcW w:w="2693" w:type="dxa"/>
            <w:vAlign w:val="center"/>
          </w:tcPr>
          <w:p w14:paraId="48F038BC" w14:textId="20D47007" w:rsidR="00594375" w:rsidRPr="00594375" w:rsidRDefault="00594375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42BD700B" w14:textId="77777777" w:rsidR="00594375" w:rsidRPr="00594375" w:rsidRDefault="00594375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7880377A" w14:textId="77777777" w:rsidR="00594375" w:rsidRPr="00594375" w:rsidRDefault="00594375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9DD2938" w14:textId="77777777" w:rsidR="00594375" w:rsidRPr="00594375" w:rsidRDefault="00594375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594375" w:rsidRPr="00594375" w14:paraId="1F6EF964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1BD74F77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ЗК02</w:t>
            </w:r>
          </w:p>
        </w:tc>
        <w:tc>
          <w:tcPr>
            <w:tcW w:w="2693" w:type="dxa"/>
            <w:vAlign w:val="center"/>
          </w:tcPr>
          <w:p w14:paraId="2E10460C" w14:textId="769DAC7D" w:rsidR="00594375" w:rsidRPr="00594375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415C0E94" w14:textId="7762B55C" w:rsidR="00594375" w:rsidRPr="00594375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3A823E7" w14:textId="7485C247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4760A1D" w14:textId="47DF20D8" w:rsidR="00594375" w:rsidRPr="00594375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594375" w:rsidRPr="00594375" w14:paraId="13B42BE4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7F6238A8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ЗК03</w:t>
            </w:r>
          </w:p>
        </w:tc>
        <w:tc>
          <w:tcPr>
            <w:tcW w:w="2693" w:type="dxa"/>
            <w:vAlign w:val="center"/>
          </w:tcPr>
          <w:p w14:paraId="7624823C" w14:textId="74AAB0A1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71A525B7" w14:textId="317A48D2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67A4C94D" w14:textId="153EA1B8" w:rsidR="00594375" w:rsidRPr="00594375" w:rsidRDefault="00FA2DEA" w:rsidP="00594375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К1, К2</w:t>
            </w:r>
          </w:p>
        </w:tc>
        <w:tc>
          <w:tcPr>
            <w:tcW w:w="3695" w:type="dxa"/>
            <w:vAlign w:val="center"/>
          </w:tcPr>
          <w:p w14:paraId="37CB7780" w14:textId="0A25F96E" w:rsidR="00594375" w:rsidRPr="00E6172C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594375" w:rsidRPr="00594375" w14:paraId="18CBE314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2047AC3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ЗК04</w:t>
            </w:r>
          </w:p>
        </w:tc>
        <w:tc>
          <w:tcPr>
            <w:tcW w:w="2693" w:type="dxa"/>
            <w:vAlign w:val="center"/>
          </w:tcPr>
          <w:p w14:paraId="00E62F69" w14:textId="14F93261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19B574D7" w14:textId="26A1E14F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61500E3A" w14:textId="462E44FC" w:rsidR="00594375" w:rsidRPr="00594375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573EA1A4" w14:textId="56561D80" w:rsidR="00594375" w:rsidRPr="00E6172C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АВ2</w:t>
            </w:r>
          </w:p>
        </w:tc>
      </w:tr>
      <w:tr w:rsidR="00594375" w:rsidRPr="00594375" w14:paraId="35D94D8F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0D32937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ЗК05</w:t>
            </w:r>
          </w:p>
        </w:tc>
        <w:tc>
          <w:tcPr>
            <w:tcW w:w="2693" w:type="dxa"/>
            <w:vAlign w:val="center"/>
          </w:tcPr>
          <w:p w14:paraId="1FE1109A" w14:textId="29B4E43E" w:rsidR="00594375" w:rsidRPr="00E6172C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1846B3D2" w14:textId="7321A406" w:rsidR="00594375" w:rsidRPr="00E6172C" w:rsidRDefault="00FA2DEA" w:rsidP="00594375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6B6D4AE4" w14:textId="7D4F5CBF" w:rsidR="00594375" w:rsidRPr="00594375" w:rsidRDefault="00FA2DEA" w:rsidP="00594375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</w:t>
            </w:r>
          </w:p>
        </w:tc>
        <w:tc>
          <w:tcPr>
            <w:tcW w:w="3695" w:type="dxa"/>
            <w:vAlign w:val="center"/>
          </w:tcPr>
          <w:p w14:paraId="5ADEF13B" w14:textId="442C4F05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АВ2</w:t>
            </w:r>
          </w:p>
        </w:tc>
      </w:tr>
      <w:tr w:rsidR="00594375" w:rsidRPr="00594375" w14:paraId="2AD66CCC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C813AB7" w14:textId="77777777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ЗК06</w:t>
            </w:r>
          </w:p>
        </w:tc>
        <w:tc>
          <w:tcPr>
            <w:tcW w:w="2693" w:type="dxa"/>
            <w:vAlign w:val="center"/>
          </w:tcPr>
          <w:p w14:paraId="34B68188" w14:textId="31B78E09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58940C68" w14:textId="771D1384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42ACCEFE" w14:textId="1F6E0144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7A8DBE9C" w14:textId="398628DF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АВ2</w:t>
            </w:r>
          </w:p>
        </w:tc>
      </w:tr>
      <w:tr w:rsidR="00594375" w:rsidRPr="00594375" w14:paraId="4174288F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1B76C24" w14:textId="20B44A7E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ЗК07</w:t>
            </w:r>
          </w:p>
        </w:tc>
        <w:tc>
          <w:tcPr>
            <w:tcW w:w="2693" w:type="dxa"/>
            <w:vAlign w:val="center"/>
          </w:tcPr>
          <w:p w14:paraId="74BC5AC5" w14:textId="60F4760F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78F33286" w14:textId="005A86CF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24E6324C" w14:textId="7835A134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2E244B94" w14:textId="43EEF589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594375" w:rsidRPr="00594375" w14:paraId="381E88BC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7091DF71" w14:textId="1E453929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ЗК08</w:t>
            </w:r>
          </w:p>
        </w:tc>
        <w:tc>
          <w:tcPr>
            <w:tcW w:w="2693" w:type="dxa"/>
            <w:vAlign w:val="center"/>
          </w:tcPr>
          <w:p w14:paraId="2735EEF5" w14:textId="4A2DD20A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5B1CFF0D" w14:textId="1BD41758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02716B98" w14:textId="31D112A7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54395FD6" w14:textId="64A29D3E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594375" w:rsidRPr="00594375" w14:paraId="43AFD064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2DFA16FB" w14:textId="6F636B31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ЗК09</w:t>
            </w:r>
          </w:p>
        </w:tc>
        <w:tc>
          <w:tcPr>
            <w:tcW w:w="2693" w:type="dxa"/>
            <w:vAlign w:val="center"/>
          </w:tcPr>
          <w:p w14:paraId="6E506835" w14:textId="4C0985FF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1DBAAEF8" w14:textId="1DEC402A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1DD7215C" w14:textId="7B917F1D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12781EA" w14:textId="77317216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АВ3</w:t>
            </w:r>
          </w:p>
        </w:tc>
      </w:tr>
      <w:tr w:rsidR="00594375" w:rsidRPr="00594375" w14:paraId="1CC6F6E3" w14:textId="77777777" w:rsidTr="00594375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29586E0C" w14:textId="13B5AEF8" w:rsidR="00594375" w:rsidRPr="00594375" w:rsidRDefault="00594375" w:rsidP="005943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ЗК10</w:t>
            </w:r>
          </w:p>
        </w:tc>
        <w:tc>
          <w:tcPr>
            <w:tcW w:w="2693" w:type="dxa"/>
            <w:vAlign w:val="center"/>
          </w:tcPr>
          <w:p w14:paraId="40828A71" w14:textId="1847426E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6B05E0D9" w14:textId="3B4740D2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5B8FCFD4" w14:textId="7D5030A6" w:rsidR="00594375" w:rsidRPr="00594375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К2</w:t>
            </w:r>
          </w:p>
        </w:tc>
        <w:tc>
          <w:tcPr>
            <w:tcW w:w="3695" w:type="dxa"/>
            <w:vAlign w:val="center"/>
          </w:tcPr>
          <w:p w14:paraId="3724E08B" w14:textId="38C637C9" w:rsidR="00594375" w:rsidRPr="00E6172C" w:rsidRDefault="00FA2DEA" w:rsidP="005943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АВ3</w:t>
            </w:r>
          </w:p>
        </w:tc>
      </w:tr>
      <w:tr w:rsidR="00FA2DEA" w:rsidRPr="00594375" w14:paraId="6AFF1FDA" w14:textId="77777777" w:rsidTr="00594375">
        <w:trPr>
          <w:trHeight w:val="397"/>
          <w:jc w:val="center"/>
        </w:trPr>
        <w:tc>
          <w:tcPr>
            <w:tcW w:w="14322" w:type="dxa"/>
            <w:gridSpan w:val="5"/>
            <w:shd w:val="clear" w:color="auto" w:fill="EDEBE0"/>
            <w:vAlign w:val="center"/>
          </w:tcPr>
          <w:p w14:paraId="7F1886FA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Спеціальні (фахові) компетентності</w:t>
            </w:r>
          </w:p>
        </w:tc>
      </w:tr>
      <w:tr w:rsidR="00FA2DEA" w:rsidRPr="00594375" w14:paraId="5BC6185B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5875D1EC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СК01</w:t>
            </w:r>
          </w:p>
        </w:tc>
        <w:tc>
          <w:tcPr>
            <w:tcW w:w="2693" w:type="dxa"/>
            <w:vAlign w:val="center"/>
          </w:tcPr>
          <w:p w14:paraId="3B0341F2" w14:textId="372C6013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0705BA62" w14:textId="601AA990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01CBF070" w14:textId="23E69A57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07D399F6" w14:textId="60E8D54F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66A641C3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59A14F69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СК02</w:t>
            </w:r>
          </w:p>
        </w:tc>
        <w:tc>
          <w:tcPr>
            <w:tcW w:w="2693" w:type="dxa"/>
            <w:vAlign w:val="center"/>
          </w:tcPr>
          <w:p w14:paraId="1C706370" w14:textId="4BD8C8DE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1EA36F92" w14:textId="1E182D19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7EFBEA22" w14:textId="29A7867B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2152201A" w14:textId="1271771E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</w:t>
            </w:r>
            <w:r w:rsidR="00E6172C"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A2DEA" w:rsidRPr="00594375" w14:paraId="1E7AE985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1335B826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СК03</w:t>
            </w:r>
          </w:p>
        </w:tc>
        <w:tc>
          <w:tcPr>
            <w:tcW w:w="2693" w:type="dxa"/>
            <w:vAlign w:val="center"/>
          </w:tcPr>
          <w:p w14:paraId="0EE64946" w14:textId="569EDA6B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3395B023" w14:textId="4F784813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109300EA" w14:textId="1ADEE5BE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7296CE72" w14:textId="42A8527B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2F1449AA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C5D61C4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СК04</w:t>
            </w:r>
          </w:p>
        </w:tc>
        <w:tc>
          <w:tcPr>
            <w:tcW w:w="2693" w:type="dxa"/>
            <w:vAlign w:val="center"/>
          </w:tcPr>
          <w:p w14:paraId="557C7CDC" w14:textId="272E18AF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23CEEA0D" w14:textId="60F9CAE3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53F5BE4D" w14:textId="74206151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592780D" w14:textId="124237F2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3B3C62DC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385AC86A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СК05</w:t>
            </w:r>
          </w:p>
        </w:tc>
        <w:tc>
          <w:tcPr>
            <w:tcW w:w="2693" w:type="dxa"/>
            <w:vAlign w:val="center"/>
          </w:tcPr>
          <w:p w14:paraId="0DC75331" w14:textId="2E75B4F0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32CF399F" w14:textId="449CD5D0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52E252CA" w14:textId="19426294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4F8EFAE7" w14:textId="3C1BAB21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58DBB9D3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16A95DD4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СК06</w:t>
            </w:r>
          </w:p>
        </w:tc>
        <w:tc>
          <w:tcPr>
            <w:tcW w:w="2693" w:type="dxa"/>
            <w:vAlign w:val="center"/>
          </w:tcPr>
          <w:p w14:paraId="7A814190" w14:textId="74AB19F9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4BBD3051" w14:textId="35DA91D3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33F368C5" w14:textId="22CC8EE0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C072323" w14:textId="0C80E94B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206BEE79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074B1C4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СК07</w:t>
            </w:r>
          </w:p>
        </w:tc>
        <w:tc>
          <w:tcPr>
            <w:tcW w:w="2693" w:type="dxa"/>
            <w:vAlign w:val="center"/>
          </w:tcPr>
          <w:p w14:paraId="17D46514" w14:textId="63106DE6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4A365E92" w14:textId="0801B82C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22D6F61F" w14:textId="1C91E950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2BACD4C9" w14:textId="4882AB60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728D5C12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7A86E6C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СК08</w:t>
            </w:r>
          </w:p>
        </w:tc>
        <w:tc>
          <w:tcPr>
            <w:tcW w:w="2693" w:type="dxa"/>
            <w:vAlign w:val="center"/>
          </w:tcPr>
          <w:p w14:paraId="43A1169A" w14:textId="085507EB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15ECE4F8" w14:textId="40C5AA0A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3C18BB76" w14:textId="24B075E9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BDC6EA4" w14:textId="57F56681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090E1E90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34121E38" w14:textId="7777777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СК09</w:t>
            </w:r>
          </w:p>
        </w:tc>
        <w:tc>
          <w:tcPr>
            <w:tcW w:w="2693" w:type="dxa"/>
            <w:vAlign w:val="center"/>
          </w:tcPr>
          <w:p w14:paraId="361E119A" w14:textId="411D8369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3A9610D2" w14:textId="2F260F4E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2A1013E5" w14:textId="20A828F0" w:rsidR="00FA2DEA" w:rsidRPr="00594375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45D7F63B" w14:textId="7C6A3A87" w:rsidR="00FA2DEA" w:rsidRPr="00E6172C" w:rsidRDefault="00FA2DEA" w:rsidP="00FA2DE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2D9F9205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13A22C71" w14:textId="26651BEE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4F8F9EC0" w14:textId="24472019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Зн1</w:t>
            </w:r>
          </w:p>
        </w:tc>
        <w:tc>
          <w:tcPr>
            <w:tcW w:w="3827" w:type="dxa"/>
            <w:vAlign w:val="center"/>
          </w:tcPr>
          <w:p w14:paraId="53CA1253" w14:textId="7EF992DD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A2DED8C" w14:textId="6E3748FD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EFEBCD9" w14:textId="12543AD1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57F0AA7E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6C3CD864" w14:textId="1C377E74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75466C23" w14:textId="7A86FC1B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29AF65A4" w14:textId="47842B56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48DAFFD9" w14:textId="59F80EE4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495F550" w14:textId="44611B73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5BF1BE79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55A7F034" w14:textId="0E43A883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26B6D4F5" w14:textId="52D5CF98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4F147B38" w14:textId="347F503E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5FC7E05E" w14:textId="1C6019C5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1F76BDD" w14:textId="5C66D51B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7650BC54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29768199" w14:textId="42B26E68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42568746" w14:textId="6F89D51B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0C906738" w14:textId="133637BD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1AD47A35" w14:textId="2DC96559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460F2D5" w14:textId="700A4DD7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55044962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1BB76312" w14:textId="56728B41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65606A80" w14:textId="15C15350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3EE29CD9" w14:textId="328CE6F1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16A7FD56" w14:textId="2241C573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45AE912D" w14:textId="5659138F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728CB2DE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0FEED2BC" w14:textId="73EBFF0F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58173DC7" w14:textId="34A5EA1F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0EA9E013" w14:textId="33AA4D97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</w:t>
            </w:r>
          </w:p>
        </w:tc>
        <w:tc>
          <w:tcPr>
            <w:tcW w:w="2127" w:type="dxa"/>
            <w:vAlign w:val="center"/>
          </w:tcPr>
          <w:p w14:paraId="2605F825" w14:textId="50409682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4E0D629B" w14:textId="325048DD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АВ1</w:t>
            </w:r>
          </w:p>
        </w:tc>
      </w:tr>
      <w:tr w:rsidR="00FA2DEA" w:rsidRPr="00594375" w14:paraId="6CA9004E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3B890B0F" w14:textId="3036D059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137A0197" w14:textId="5C137ABB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4A9BA7BD" w14:textId="6EE720EF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507EEC1B" w14:textId="58DAC8E0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3034979C" w14:textId="54BAB554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</w:t>
            </w:r>
            <w:r w:rsidR="002004F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1, АВ2</w:t>
            </w:r>
          </w:p>
        </w:tc>
      </w:tr>
      <w:tr w:rsidR="00FA2DEA" w:rsidRPr="00594375" w14:paraId="345B4B46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318FFDB3" w14:textId="551A3A27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7C0477E4" w14:textId="72583F1B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52786B0D" w14:textId="6E1B25C2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70AFAA0F" w14:textId="5C59166F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1E1C0793" w14:textId="4DB89A6D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АВ2</w:t>
            </w:r>
          </w:p>
        </w:tc>
      </w:tr>
      <w:tr w:rsidR="00FA2DEA" w:rsidRPr="00594375" w14:paraId="7D406EB6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293EB657" w14:textId="2D3CE06C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65E5FA53" w14:textId="3E79F395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42C1305F" w14:textId="13301770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8698DC6" w14:textId="60BE9117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54708F90" w14:textId="34A78E9B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АВ2</w:t>
            </w:r>
          </w:p>
        </w:tc>
      </w:tr>
      <w:tr w:rsidR="00FA2DEA" w:rsidRPr="00594375" w14:paraId="54AD37CF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2C28BC2A" w14:textId="5A712BD3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43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31C75500" w14:textId="67826FDF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4714AE40" w14:textId="6737BC5D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7F6DB180" w14:textId="09D1075C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2E3F7D0D" w14:textId="1031350A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АВ2, АВ3</w:t>
            </w:r>
          </w:p>
        </w:tc>
      </w:tr>
      <w:tr w:rsidR="00FA2DEA" w:rsidRPr="00594375" w14:paraId="76890A20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47E83378" w14:textId="05CAB579" w:rsidR="00FA2DEA" w:rsidRPr="00594375" w:rsidRDefault="00FA2DEA" w:rsidP="00FA2D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СК20</w:t>
            </w:r>
          </w:p>
        </w:tc>
        <w:tc>
          <w:tcPr>
            <w:tcW w:w="2693" w:type="dxa"/>
            <w:vAlign w:val="center"/>
          </w:tcPr>
          <w:p w14:paraId="320B6FEA" w14:textId="120AA890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Зн2</w:t>
            </w:r>
          </w:p>
        </w:tc>
        <w:tc>
          <w:tcPr>
            <w:tcW w:w="3827" w:type="dxa"/>
            <w:vAlign w:val="center"/>
          </w:tcPr>
          <w:p w14:paraId="7BD13E5E" w14:textId="765065A4" w:rsidR="00FA2DEA" w:rsidRPr="00E6172C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25529E9A" w14:textId="33140C65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D9B368F" w14:textId="2924A565" w:rsidR="00FA2DEA" w:rsidRPr="00594375" w:rsidRDefault="00FA2DEA" w:rsidP="00FA2DE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АВ3</w:t>
            </w:r>
          </w:p>
        </w:tc>
      </w:tr>
      <w:tr w:rsidR="002004F1" w:rsidRPr="00594375" w14:paraId="76761DB8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5F2F9C3E" w14:textId="557C75C9" w:rsidR="002004F1" w:rsidRDefault="002004F1" w:rsidP="002004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К21</w:t>
            </w:r>
          </w:p>
        </w:tc>
        <w:tc>
          <w:tcPr>
            <w:tcW w:w="2693" w:type="dxa"/>
            <w:vAlign w:val="center"/>
          </w:tcPr>
          <w:p w14:paraId="4089D6E2" w14:textId="712D2997" w:rsidR="002004F1" w:rsidRDefault="002004F1" w:rsidP="002004F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03056636" w14:textId="32CEB948" w:rsidR="002004F1" w:rsidRDefault="002004F1" w:rsidP="002004F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012ECB63" w14:textId="444C5FE0" w:rsidR="002004F1" w:rsidRDefault="002004F1" w:rsidP="002004F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7B3D370E" w14:textId="37BF4F91" w:rsidR="002004F1" w:rsidRDefault="002004F1" w:rsidP="002004F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АВ1, АВ2</w:t>
            </w:r>
          </w:p>
        </w:tc>
      </w:tr>
      <w:tr w:rsidR="002004F1" w:rsidRPr="00594375" w14:paraId="6C94B0AD" w14:textId="77777777" w:rsidTr="00594375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60BE1910" w14:textId="1F707E14" w:rsidR="002004F1" w:rsidRDefault="002004F1" w:rsidP="002004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СК22</w:t>
            </w:r>
          </w:p>
        </w:tc>
        <w:tc>
          <w:tcPr>
            <w:tcW w:w="2693" w:type="dxa"/>
            <w:vAlign w:val="center"/>
          </w:tcPr>
          <w:p w14:paraId="77D45639" w14:textId="0C643668" w:rsidR="002004F1" w:rsidRDefault="002004F1" w:rsidP="002004F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27FCB9A0" w14:textId="3FA6C1D8" w:rsidR="002004F1" w:rsidRDefault="002004F1" w:rsidP="002004F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E61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2569FEC7" w14:textId="40161ADD" w:rsidR="002004F1" w:rsidRDefault="002004F1" w:rsidP="002004F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К1</w:t>
            </w:r>
          </w:p>
        </w:tc>
        <w:tc>
          <w:tcPr>
            <w:tcW w:w="3695" w:type="dxa"/>
            <w:vAlign w:val="center"/>
          </w:tcPr>
          <w:p w14:paraId="6E5FCEFD" w14:textId="02FFF6BA" w:rsidR="002004F1" w:rsidRDefault="002004F1" w:rsidP="002004F1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АВ1, АВ2</w:t>
            </w:r>
          </w:p>
        </w:tc>
      </w:tr>
    </w:tbl>
    <w:p w14:paraId="26A7B621" w14:textId="583469A9" w:rsidR="00594375" w:rsidRPr="00FA2DEA" w:rsidRDefault="00594375" w:rsidP="00FA2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37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 w:type="page"/>
      </w:r>
    </w:p>
    <w:p w14:paraId="21374272" w14:textId="77777777" w:rsidR="00920074" w:rsidRPr="00920074" w:rsidRDefault="00920074" w:rsidP="00920074">
      <w:pPr>
        <w:keepNext/>
        <w:numPr>
          <w:ilvl w:val="1"/>
          <w:numId w:val="0"/>
        </w:numPr>
        <w:tabs>
          <w:tab w:val="left" w:pos="576"/>
        </w:tabs>
        <w:suppressAutoHyphens/>
        <w:spacing w:before="240" w:after="60" w:line="276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2007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Таблиця 2</w:t>
      </w:r>
    </w:p>
    <w:p w14:paraId="5FFCC9B5" w14:textId="77777777" w:rsidR="00920074" w:rsidRPr="00920074" w:rsidRDefault="00920074" w:rsidP="00920074">
      <w:pPr>
        <w:autoSpaceDE w:val="0"/>
        <w:jc w:val="center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eastAsia="ar-SA"/>
        </w:rPr>
      </w:pPr>
    </w:p>
    <w:p w14:paraId="7FD30ABA" w14:textId="77777777" w:rsidR="00920074" w:rsidRPr="00920074" w:rsidRDefault="00920074" w:rsidP="00920074">
      <w:pPr>
        <w:autoSpaceDE w:val="0"/>
        <w:jc w:val="center"/>
        <w:textAlignment w:val="top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ar-SA"/>
        </w:rPr>
      </w:pPr>
      <w:r w:rsidRPr="009200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ar-SA"/>
        </w:rPr>
        <w:t>Матриця відповідності визначених Стандартом результатів навчання та компетентностей</w:t>
      </w:r>
    </w:p>
    <w:p w14:paraId="5E4F89F0" w14:textId="77777777" w:rsidR="00920074" w:rsidRPr="00920074" w:rsidRDefault="00920074" w:rsidP="00920074">
      <w:pPr>
        <w:autoSpaceDE w:val="0"/>
        <w:jc w:val="center"/>
        <w:textAlignment w:val="top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ar-SA"/>
        </w:rPr>
      </w:pPr>
    </w:p>
    <w:tbl>
      <w:tblPr>
        <w:tblW w:w="150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"/>
        <w:gridCol w:w="35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6172C" w:rsidRPr="00920074" w14:paraId="70CD9A91" w14:textId="1429D80B" w:rsidTr="00794B51">
        <w:trPr>
          <w:trHeight w:val="313"/>
        </w:trPr>
        <w:tc>
          <w:tcPr>
            <w:tcW w:w="1134" w:type="dxa"/>
            <w:vMerge w:val="restart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2C6BAC82" w14:textId="071D9E97" w:rsidR="00E6172C" w:rsidRPr="00920074" w:rsidRDefault="00E6172C" w:rsidP="00920074">
            <w:pPr>
              <w:widowControl w:val="0"/>
              <w:suppressAutoHyphens/>
              <w:jc w:val="both"/>
              <w:rPr>
                <w:rFonts w:ascii="Times New Roman Полужирный" w:eastAsia="Arial Unicode MS" w:hAnsi="Times New Roman Полужирный" w:cs="Times New Roman"/>
                <w:b/>
                <w:spacing w:val="-8"/>
                <w:sz w:val="24"/>
                <w:szCs w:val="24"/>
                <w:lang w:eastAsia="hi-IN" w:bidi="hi-IN"/>
              </w:rPr>
            </w:pPr>
            <w:r>
              <w:rPr>
                <w:rFonts w:ascii="Times New Roman Полужирный" w:eastAsia="Arial Unicode MS" w:hAnsi="Times New Roman Полужирный" w:cs="Times New Roman"/>
                <w:b/>
                <w:spacing w:val="-12"/>
                <w:sz w:val="24"/>
                <w:szCs w:val="24"/>
                <w:lang w:eastAsia="hi-IN" w:bidi="hi-IN"/>
              </w:rPr>
              <w:t>Результати</w:t>
            </w:r>
            <w:r w:rsidRPr="00920074">
              <w:rPr>
                <w:rFonts w:ascii="Times New Roman Полужирный" w:eastAsia="Arial Unicode MS" w:hAnsi="Times New Roman Полужирный" w:cs="Times New Roman"/>
                <w:b/>
                <w:spacing w:val="-12"/>
                <w:sz w:val="24"/>
                <w:szCs w:val="24"/>
                <w:lang w:eastAsia="hi-IN" w:bidi="hi-IN"/>
              </w:rPr>
              <w:t xml:space="preserve"> </w:t>
            </w:r>
            <w:r w:rsidRPr="00920074">
              <w:rPr>
                <w:rFonts w:ascii="Times New Roman Полужирный" w:eastAsia="Arial Unicode MS" w:hAnsi="Times New Roman Полужирный" w:cs="Times New Roman"/>
                <w:b/>
                <w:spacing w:val="-8"/>
                <w:sz w:val="24"/>
                <w:szCs w:val="24"/>
                <w:lang w:eastAsia="hi-IN" w:bidi="hi-IN"/>
              </w:rPr>
              <w:t>навчання</w:t>
            </w:r>
          </w:p>
        </w:tc>
        <w:tc>
          <w:tcPr>
            <w:tcW w:w="13891" w:type="dxa"/>
            <w:gridSpan w:val="33"/>
            <w:shd w:val="clear" w:color="auto" w:fill="EDEBE0"/>
          </w:tcPr>
          <w:p w14:paraId="2451DD50" w14:textId="15D55060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Компетентності</w:t>
            </w:r>
          </w:p>
        </w:tc>
      </w:tr>
      <w:tr w:rsidR="00E6172C" w:rsidRPr="00920074" w14:paraId="4AEE49E9" w14:textId="73A40C31" w:rsidTr="00794B51">
        <w:trPr>
          <w:trHeight w:val="533"/>
        </w:trPr>
        <w:tc>
          <w:tcPr>
            <w:tcW w:w="1134" w:type="dxa"/>
            <w:vMerge/>
            <w:shd w:val="clear" w:color="auto" w:fill="EDEBE0"/>
            <w:tcMar>
              <w:left w:w="28" w:type="dxa"/>
              <w:right w:w="28" w:type="dxa"/>
            </w:tcMar>
          </w:tcPr>
          <w:p w14:paraId="1AAF9E92" w14:textId="77777777" w:rsidR="00E6172C" w:rsidRPr="00920074" w:rsidRDefault="00E6172C" w:rsidP="009200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6" w:type="dxa"/>
            <w:vMerge w:val="restart"/>
            <w:shd w:val="clear" w:color="auto" w:fill="EDEBE0"/>
            <w:tcMar>
              <w:left w:w="28" w:type="dxa"/>
              <w:right w:w="28" w:type="dxa"/>
            </w:tcMar>
            <w:textDirection w:val="btLr"/>
          </w:tcPr>
          <w:p w14:paraId="5E62FE1C" w14:textId="77777777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Інтегральна</w:t>
            </w:r>
          </w:p>
        </w:tc>
        <w:tc>
          <w:tcPr>
            <w:tcW w:w="4180" w:type="dxa"/>
            <w:gridSpan w:val="10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702AC2D" w14:textId="315B14A5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Загальні компетентності</w:t>
            </w:r>
          </w:p>
        </w:tc>
        <w:tc>
          <w:tcPr>
            <w:tcW w:w="9355" w:type="dxa"/>
            <w:gridSpan w:val="22"/>
            <w:shd w:val="clear" w:color="auto" w:fill="EDEBE0"/>
            <w:vAlign w:val="center"/>
          </w:tcPr>
          <w:p w14:paraId="7774B499" w14:textId="73CE4995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Спеціальні (фахові) компетентності</w:t>
            </w:r>
          </w:p>
        </w:tc>
      </w:tr>
      <w:tr w:rsidR="00E6172C" w:rsidRPr="00920074" w14:paraId="6DE1B678" w14:textId="53415B13" w:rsidTr="00E6172C">
        <w:trPr>
          <w:cantSplit/>
          <w:trHeight w:val="919"/>
        </w:trPr>
        <w:tc>
          <w:tcPr>
            <w:tcW w:w="1134" w:type="dxa"/>
            <w:vMerge/>
            <w:shd w:val="clear" w:color="auto" w:fill="EDEBE0"/>
            <w:tcMar>
              <w:left w:w="28" w:type="dxa"/>
              <w:right w:w="28" w:type="dxa"/>
            </w:tcMar>
          </w:tcPr>
          <w:p w14:paraId="3296522D" w14:textId="77777777" w:rsidR="00E6172C" w:rsidRPr="00920074" w:rsidRDefault="00E6172C" w:rsidP="009200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6" w:type="dxa"/>
            <w:vMerge/>
            <w:shd w:val="clear" w:color="auto" w:fill="EDEBE0"/>
            <w:tcMar>
              <w:left w:w="28" w:type="dxa"/>
              <w:right w:w="28" w:type="dxa"/>
            </w:tcMar>
          </w:tcPr>
          <w:p w14:paraId="4BDB5CB7" w14:textId="77777777" w:rsidR="00E6172C" w:rsidRPr="00920074" w:rsidRDefault="00E6172C" w:rsidP="009200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3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980C68D" w14:textId="76D0CB91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C4DE28C" w14:textId="431E7DC6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2F8C7BC" w14:textId="03CBF7C4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D135DF3" w14:textId="42ECBDB8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B08076B" w14:textId="0F37196F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E119365" w14:textId="4FD765C7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ЗК06</w:t>
            </w:r>
          </w:p>
        </w:tc>
        <w:tc>
          <w:tcPr>
            <w:tcW w:w="425" w:type="dxa"/>
            <w:textDirection w:val="btLr"/>
          </w:tcPr>
          <w:p w14:paraId="4C653E8C" w14:textId="212E88CB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ЗК07</w:t>
            </w:r>
          </w:p>
        </w:tc>
        <w:tc>
          <w:tcPr>
            <w:tcW w:w="426" w:type="dxa"/>
            <w:textDirection w:val="btLr"/>
          </w:tcPr>
          <w:p w14:paraId="2F3478A1" w14:textId="1EFAA487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ЗК08</w:t>
            </w:r>
          </w:p>
        </w:tc>
        <w:tc>
          <w:tcPr>
            <w:tcW w:w="425" w:type="dxa"/>
            <w:textDirection w:val="btLr"/>
          </w:tcPr>
          <w:p w14:paraId="4F117614" w14:textId="56282416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ЗК09</w:t>
            </w:r>
          </w:p>
        </w:tc>
        <w:tc>
          <w:tcPr>
            <w:tcW w:w="425" w:type="dxa"/>
            <w:textDirection w:val="btLr"/>
          </w:tcPr>
          <w:p w14:paraId="541CF20B" w14:textId="2C967CDB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ЗК10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3508FE4" w14:textId="156874D0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4ACDD98" w14:textId="63560A28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6BDD9CD" w14:textId="76D07C04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2C596630" w14:textId="37329D57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CB21BAC" w14:textId="2BCADE0F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7DC8653" w14:textId="20B5BBEB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21A0D45" w14:textId="76F6F15F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C7BF837" w14:textId="7A96C2E4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СК0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14:paraId="3AEE4241" w14:textId="04BFAEED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</w:t>
            </w: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09</w:t>
            </w:r>
          </w:p>
        </w:tc>
        <w:tc>
          <w:tcPr>
            <w:tcW w:w="426" w:type="dxa"/>
            <w:textDirection w:val="btLr"/>
          </w:tcPr>
          <w:p w14:paraId="61707D38" w14:textId="48A66495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СК10</w:t>
            </w:r>
          </w:p>
        </w:tc>
        <w:tc>
          <w:tcPr>
            <w:tcW w:w="425" w:type="dxa"/>
            <w:textDirection w:val="btLr"/>
          </w:tcPr>
          <w:p w14:paraId="3380C3BB" w14:textId="326D8198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СК11</w:t>
            </w:r>
          </w:p>
        </w:tc>
        <w:tc>
          <w:tcPr>
            <w:tcW w:w="425" w:type="dxa"/>
            <w:textDirection w:val="btLr"/>
          </w:tcPr>
          <w:p w14:paraId="1D898851" w14:textId="5D6040CD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СК12</w:t>
            </w:r>
          </w:p>
        </w:tc>
        <w:tc>
          <w:tcPr>
            <w:tcW w:w="425" w:type="dxa"/>
            <w:textDirection w:val="btLr"/>
          </w:tcPr>
          <w:p w14:paraId="295AD132" w14:textId="363A0F12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СК13</w:t>
            </w:r>
          </w:p>
        </w:tc>
        <w:tc>
          <w:tcPr>
            <w:tcW w:w="426" w:type="dxa"/>
            <w:textDirection w:val="btLr"/>
          </w:tcPr>
          <w:p w14:paraId="457FC4AA" w14:textId="1D9855D8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СК14</w:t>
            </w:r>
          </w:p>
        </w:tc>
        <w:tc>
          <w:tcPr>
            <w:tcW w:w="425" w:type="dxa"/>
            <w:textDirection w:val="btLr"/>
          </w:tcPr>
          <w:p w14:paraId="2641F4EF" w14:textId="2DCE4403" w:rsidR="00E6172C" w:rsidRPr="00920074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СК15</w:t>
            </w:r>
          </w:p>
        </w:tc>
        <w:tc>
          <w:tcPr>
            <w:tcW w:w="425" w:type="dxa"/>
            <w:textDirection w:val="btLr"/>
          </w:tcPr>
          <w:p w14:paraId="0D7F15C4" w14:textId="400C9242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СК16</w:t>
            </w:r>
          </w:p>
        </w:tc>
        <w:tc>
          <w:tcPr>
            <w:tcW w:w="425" w:type="dxa"/>
            <w:textDirection w:val="btLr"/>
          </w:tcPr>
          <w:p w14:paraId="758AF4EF" w14:textId="200CBE0F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СК17</w:t>
            </w:r>
          </w:p>
        </w:tc>
        <w:tc>
          <w:tcPr>
            <w:tcW w:w="426" w:type="dxa"/>
            <w:textDirection w:val="btLr"/>
          </w:tcPr>
          <w:p w14:paraId="39653FA6" w14:textId="72AA18B1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СК18</w:t>
            </w:r>
          </w:p>
        </w:tc>
        <w:tc>
          <w:tcPr>
            <w:tcW w:w="425" w:type="dxa"/>
            <w:textDirection w:val="btLr"/>
          </w:tcPr>
          <w:p w14:paraId="3948638A" w14:textId="549D1F51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СК19</w:t>
            </w:r>
          </w:p>
        </w:tc>
        <w:tc>
          <w:tcPr>
            <w:tcW w:w="425" w:type="dxa"/>
            <w:textDirection w:val="btLr"/>
          </w:tcPr>
          <w:p w14:paraId="5E697D1A" w14:textId="5487C172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СК20</w:t>
            </w:r>
          </w:p>
        </w:tc>
        <w:tc>
          <w:tcPr>
            <w:tcW w:w="425" w:type="dxa"/>
            <w:textDirection w:val="btLr"/>
          </w:tcPr>
          <w:p w14:paraId="530B9D0B" w14:textId="0C89241D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СК21</w:t>
            </w:r>
          </w:p>
        </w:tc>
        <w:tc>
          <w:tcPr>
            <w:tcW w:w="425" w:type="dxa"/>
            <w:textDirection w:val="btLr"/>
          </w:tcPr>
          <w:p w14:paraId="0D4FCDBC" w14:textId="26BCBBD9" w:rsidR="00E6172C" w:rsidRDefault="00E6172C" w:rsidP="0092007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СК22</w:t>
            </w:r>
          </w:p>
        </w:tc>
      </w:tr>
      <w:tr w:rsidR="002004F1" w:rsidRPr="00920074" w14:paraId="63B36457" w14:textId="49945301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7221C1F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РН01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429D94E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3266FC6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3EDA6A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F1F271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92B6FB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26917C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4C1B011" w14:textId="4FD3CD6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97AC7B2" w14:textId="140BC1B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46FEAE40" w14:textId="2214486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EE4A11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174DCF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58C4B4D" w14:textId="757E830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231B29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79E5BF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13A391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1AE047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BED6D7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E8C74B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D65B93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27E4F3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42B0BBB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11EBFD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8DDCD3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8643CD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C29EA7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7DDB0E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118ACB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3DD040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FF4A22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68AFCD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32758B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F3E57D3" w14:textId="19CB344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A411F8F" w14:textId="332394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35F44BEE" w14:textId="0F6494C2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741D3C63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РН02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0A2998D" w14:textId="007735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18E98C2B" w14:textId="5A837DF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2B30E35" w14:textId="691635A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A34F71F" w14:textId="321F7A6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CF9415F" w14:textId="783EA80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14D9C93" w14:textId="76BA6DE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97C7CAF" w14:textId="6835F1D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8B930B1" w14:textId="26B1F4D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5F21BB3D" w14:textId="4CB7151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D0D7BB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BE580A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7C811C6" w14:textId="7F29671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15ECEB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D2D3100" w14:textId="72658E0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9BDA3C5" w14:textId="3D05F83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B407D14" w14:textId="290FF17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40B512B" w14:textId="63AFC88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359D7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0E78719" w14:textId="777C4D9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D3696E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2473CEA" w14:textId="4F13E79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1F88433" w14:textId="4045863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1F4AD6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BC66D99" w14:textId="01EBD34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2D77B7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0309AA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B0C2ED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2714CEA" w14:textId="4AD9004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C2A193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2861E0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C5586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C4C421" w14:textId="23A15CB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0AB87DB" w14:textId="7702AAB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50A2566F" w14:textId="6F87AAEE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7811CB29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РН03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5DABD70F" w14:textId="4327E75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24663B55" w14:textId="0183A36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FF006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1BF1EB2" w14:textId="7CA6D9A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C09841C" w14:textId="27F85E5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41DE544" w14:textId="3206FAF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9F112EF" w14:textId="788CE25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36DFBA2" w14:textId="7E47946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56766612" w14:textId="1B15361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3FFEB4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B61892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701B44" w14:textId="17C9082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7D2BB45" w14:textId="2E0A105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A672F6B" w14:textId="164B1E1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92E9A7" w14:textId="4A842FA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61A4D9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A203E6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205C783" w14:textId="2B57705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2C3AFE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83F028F" w14:textId="1340786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4520E27" w14:textId="4C26231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AF5BEB7" w14:textId="1120C4E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EBE5FAB" w14:textId="312F02D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510963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F3DE46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8EE8982" w14:textId="738C2CD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D09118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A231E5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BD335C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7178C7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1BF251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455BE8D" w14:textId="006D9E1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2B56C83" w14:textId="3C5BE50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49CD7159" w14:textId="4510C7C3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7EDAC600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РН04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9EADA7F" w14:textId="6CE3C73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31CD1494" w14:textId="63A2472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39B2E76" w14:textId="603843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521D4B" w14:textId="6390321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03A711B" w14:textId="2DDE08B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D11EEC0" w14:textId="3A018AC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40122B3" w14:textId="0B7C432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BDD5DBE" w14:textId="3928513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82E85FC" w14:textId="5AC040A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CC30D9C" w14:textId="1C7C73A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49DCBD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A9D1D0C" w14:textId="6D6D774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8701E0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03D46D1" w14:textId="1B84CB3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9D289F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D03412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0E7B4D6" w14:textId="5073AA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1141A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51030D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92F1A3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F0CEBC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DBEBFB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1245F71" w14:textId="266E67F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25ACC4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3C44F7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3BBDF50" w14:textId="0D4AD7C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28D674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AE5BD49" w14:textId="00610E4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4CEB2B0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8DDB34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B7806C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672D4CF" w14:textId="0855824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FCC6C71" w14:textId="2C6E206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01FE4789" w14:textId="5068F468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69824111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РН05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45070BEE" w14:textId="795E0FB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3A6192BC" w14:textId="2A729D0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C471801" w14:textId="0A0023C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E70B2CE" w14:textId="6746846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4887DE0" w14:textId="4269BFF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351C994" w14:textId="6DF660C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AEE605" w14:textId="1FEBFB1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B529049" w14:textId="3B0CE67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1D875488" w14:textId="78F345A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FD4C393" w14:textId="27C3849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BA082FE" w14:textId="12C1560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7BB0A96" w14:textId="1E0D98C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D91DB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AD3A3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39EB336" w14:textId="5DECFA2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A4DDBA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7F1A3D6" w14:textId="56322CC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C272BB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5C5300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8D02B8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522894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8F8205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CADD1B1" w14:textId="0AAB663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15E699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B41652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2BD0B84" w14:textId="6C7CDD8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B41B32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899E29C" w14:textId="0B44205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17A618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4C6DEA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FD7DB3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DD93E6C" w14:textId="5374066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5750CF3" w14:textId="17DCCCC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EFE361C" w14:textId="567EB7F1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30B0BA5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РН06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9CA6740" w14:textId="288E138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54E7D678" w14:textId="4F9994E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D1B99BA" w14:textId="51F23FF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6E55023" w14:textId="558C4BE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64000D8" w14:textId="0248DC1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6D25CE" w14:textId="54BA795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500050" w14:textId="10CEFF3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51173C0" w14:textId="7021A25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372C7A5" w14:textId="555CE64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193C68F" w14:textId="67FA039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9B1053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28EAE8" w14:textId="7D685F4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AC8B69A" w14:textId="281BA26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111F037" w14:textId="4730FB4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8391F48" w14:textId="3D252B7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271FAED" w14:textId="5602199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9B433E8" w14:textId="299BFAF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138350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4564C98" w14:textId="5FF7920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DC525E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F4C0215" w14:textId="37AAB8A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1F8C082" w14:textId="2B7B379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1A39219" w14:textId="3110499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49EC9BD" w14:textId="58E2EB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57D8355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C5587F2" w14:textId="1471BE0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C8A257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4F91B96" w14:textId="6A9410A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A77571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F34C4C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891A30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497E81F" w14:textId="2525B71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6638772" w14:textId="0CA7E5B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47A8D6E9" w14:textId="434FF3A9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96EA5D1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РН07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44DC0E01" w14:textId="617F885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4912165A" w14:textId="4D4F7EA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5F05A4E" w14:textId="7DBBB2E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C5337D" w14:textId="24CB0BA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854EB06" w14:textId="1C8AE74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CC909E4" w14:textId="17D8427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78D4476" w14:textId="5E7A089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A550724" w14:textId="0AA7BE3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15FFF817" w14:textId="6039943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EC1C804" w14:textId="1BF786A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738AD4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1882FBE" w14:textId="1720FA8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09C73C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D1348FA" w14:textId="0406F88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E37FE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DAF9085" w14:textId="551E3C9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3482DF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1802B9" w14:textId="549E39D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B2D2A3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EB8F32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855902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5876E8C" w14:textId="01F48C0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BCC3C48" w14:textId="1DABE11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2136DB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918443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9C6F94D" w14:textId="65E6602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A6F016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AEC458D" w14:textId="5203CF9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6DFAF4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65D73F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0F8789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4B8CC43" w14:textId="32EE4C5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D436CAA" w14:textId="2023D8D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5F24210" w14:textId="4EACA088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349919F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РН08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8644699" w14:textId="749F90D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29F51A26" w14:textId="7FC1ABF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AF8F0FB" w14:textId="43EEFAF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B41AA77" w14:textId="421FE19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1359CE8" w14:textId="5C1DB58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0D1258F" w14:textId="7ACA79F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9A980C" w14:textId="44B6358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FE125D6" w14:textId="1D3131E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0180958" w14:textId="0353151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0B1F1B1" w14:textId="255C444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B22FCCB" w14:textId="5FB54C5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FC7C792" w14:textId="493E749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E400342" w14:textId="7C0B3CD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8C9BEF0" w14:textId="5629CD3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EAECD5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0929E7" w14:textId="1CB35B6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199307A" w14:textId="27C73C4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CE57C95" w14:textId="365C886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AE93CD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0CEEBD9" w14:textId="35A92E2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D3AE07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6C1053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496DBD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0FFDE1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3CD294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95B912C" w14:textId="5885B0A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38CD1A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F0B544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324879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A1591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FD8C95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EFC6160" w14:textId="7AF3950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F97551A" w14:textId="1A42C7F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CEF7041" w14:textId="7BA89C29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9DD17F0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РН09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01EC078A" w14:textId="42D3455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56E9F932" w14:textId="215FC41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909D89E" w14:textId="71F343F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9C813FE" w14:textId="2F384E4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BB3D502" w14:textId="12CA6A7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CFF907B" w14:textId="4412960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56A7F6" w14:textId="7A63E1B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4C31FF4" w14:textId="64D8604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748A65C6" w14:textId="5BF1B83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5F3816A" w14:textId="6333FF1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FD0744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E7643B6" w14:textId="5CCD5C7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A107191" w14:textId="4D61E00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3E16FFD" w14:textId="3EDD5F3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A920C1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E767C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B856D26" w14:textId="68AB062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8B930A1" w14:textId="1CB1B64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38B8AFE" w14:textId="4D9A8A8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B6031E0" w14:textId="3F578C6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466451A" w14:textId="3CC2780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275D16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59F62C6" w14:textId="0B83637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F3511D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950CCA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1540B9C" w14:textId="1BD6ADD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96FD57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F0916B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04A03B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26F441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691E91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6698B43" w14:textId="6DA8E4D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E7BC94F" w14:textId="0EFEEF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6AB2C5C7" w14:textId="3DE68B47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28B22F8D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РН10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56D70811" w14:textId="3E16E23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125D57D5" w14:textId="4443FC9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1FF502F" w14:textId="7F3E819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AB3F1B1" w14:textId="1BFDD83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44BEC3E" w14:textId="745D95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B2D14E" w14:textId="453BF95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A145B73" w14:textId="28D9ED1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1F5AA8B" w14:textId="4B69DE8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530AA480" w14:textId="3789CF7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57EAF72" w14:textId="3CE8981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5EDCD7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A053ADE" w14:textId="42207DD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5B04CA9" w14:textId="738914E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79CC88" w14:textId="6CF47DD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6A84EC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1E30C2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E56D2B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DDC0E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D3ED16F" w14:textId="7A8BC44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DF575E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6CB8EC04" w14:textId="5EF562F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D435223" w14:textId="1FBCA6F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718DC73" w14:textId="06E22D6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C80AB3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196305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FAB9A2F" w14:textId="15D6F8C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B1B000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4CE59F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79EBEFB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D50294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92390A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43AB08B" w14:textId="1155C30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07A09B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468230B9" w14:textId="74D4ADE3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675A64EB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РН11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11DE6E5B" w14:textId="0EF0E46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1D3C4A84" w14:textId="5525B9D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D0358EF" w14:textId="235815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4779E64" w14:textId="05301FA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C044CCE" w14:textId="223C3DF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C0332A8" w14:textId="7C22DC5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1BB3D3B" w14:textId="606BCFB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F642067" w14:textId="230D99A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228C3992" w14:textId="5BCC1ED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8AE9342" w14:textId="40C7038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30974FE" w14:textId="2DDF367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728F758" w14:textId="2A1FD39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9A5CEED" w14:textId="52B5377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9001969" w14:textId="67389C8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3DBBDA3" w14:textId="6960F0B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0071704" w14:textId="395768E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B0AD79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9FD54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AE2F3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355B43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9EF38A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95E6CD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CF5AB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C30B22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6F1F3D8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68AC4E4" w14:textId="7312B99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023F0C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0472A3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860EF2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83F854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6A05EF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C5EF8B8" w14:textId="222836B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E1FE4F0" w14:textId="6537035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69CF1130" w14:textId="489E8E40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B940107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РН12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47F81886" w14:textId="72846D0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13D1A240" w14:textId="010EDA9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C4A355C" w14:textId="31E40D6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5EDE887" w14:textId="14E2CD4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2FE88A4" w14:textId="5BEA369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9CCD053" w14:textId="433CD82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160C457" w14:textId="103CD5B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AC08002" w14:textId="08DF91E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494B76CB" w14:textId="03ECAB7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5935AE2" w14:textId="297A298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F4BDA8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858FC51" w14:textId="4E97F63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8D4B0E8" w14:textId="1FDF405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936E80" w14:textId="7CC754A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D030382" w14:textId="0608531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7AA785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1D804A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36C94A" w14:textId="199C54B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BD50130" w14:textId="1D69B1A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59B581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38F5966" w14:textId="7AD0A1EA" w:rsidR="002004F1" w:rsidRPr="00FA2DEA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D657F3C" w14:textId="31B0845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6CDA42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823B20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15AB7BF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7DC8566" w14:textId="3065D04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BBC87C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51A53D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B4571D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B9C634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73CF2F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FB5D6B9" w14:textId="7BC6F8E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5C3F689" w14:textId="0A88653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66C95F6B" w14:textId="49D58B9C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7D349F6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РН13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0FC92EF2" w14:textId="580979E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341AC5D1" w14:textId="7E974DE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223BCD8" w14:textId="0D94FB8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0105CBF" w14:textId="278224B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EC2E0A7" w14:textId="46C73C9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53172A3" w14:textId="646BA0C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5079662" w14:textId="1004CAA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162E3A9" w14:textId="22DFAEB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1ED095F" w14:textId="7A3E0C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105C8C6" w14:textId="3965091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35E571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20E5CD" w14:textId="74197D0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C1CA5CB" w14:textId="56C35D4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1118B1" w14:textId="2057CE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4ECFDC4" w14:textId="638C562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2D01C47" w14:textId="4297B5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4D97BA1" w14:textId="667571B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6688CEF" w14:textId="20BF503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F37533" w14:textId="19D2FC6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DE3DB9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96BF893" w14:textId="4E29BF2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E2BF10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068924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0CAA68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C82164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F795D5" w14:textId="4CF3530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959BAE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C8B1D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0D646C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5AB406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E69BF8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38B2409" w14:textId="1B4745C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059AF19" w14:textId="2D9FE0C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229924D4" w14:textId="2B9F1A3D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565E8494" w14:textId="77777777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07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РН14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03111383" w14:textId="598F0E2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412631BA" w14:textId="601DC58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14E7BB2" w14:textId="712EC49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AEC4550" w14:textId="2A3805A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52BEC67" w14:textId="423DD82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118D2E9" w14:textId="599AD72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05FDD8F" w14:textId="243D558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64535D5" w14:textId="6006EBC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63D0D389" w14:textId="048FA23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04DF59D" w14:textId="154F9E1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0F10B3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8C3712B" w14:textId="2A704DA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CD96922" w14:textId="547CE75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BA30BBA" w14:textId="340E46D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905B843" w14:textId="22C156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B7AA61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B42088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4E3D3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7906CAE" w14:textId="6E1EE65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AA64478" w14:textId="0E3645E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79DBA23" w14:textId="3276E8D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8FAA502" w14:textId="7DA9BC2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D669C9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9B17AA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84EF7E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AECE235" w14:textId="2DC6538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F89BFB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BAFAAF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7CD2A36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07CEB1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89CE9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2F33028" w14:textId="184DB6C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1BE6CEE" w14:textId="697FC89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5375F47E" w14:textId="5165A6F9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62C20BC" w14:textId="400256D0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РН15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5F0A769" w14:textId="1B80903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1C533C31" w14:textId="566AB01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038DD7F" w14:textId="55F36EF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9625BB" w14:textId="76F44A5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B32538B" w14:textId="14D626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4BBE8D1" w14:textId="769016C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DF745D" w14:textId="10C6AA0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072D3FA" w14:textId="3076CC4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6729E382" w14:textId="5888916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3EC7DD9" w14:textId="0A3FA1D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253B81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7FF6D7" w14:textId="4630AB7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22D74E3" w14:textId="7DB2EEB7" w:rsidR="002004F1" w:rsidRPr="00920074" w:rsidRDefault="002004F1" w:rsidP="002004F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4EA200E" w14:textId="4AD70B3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DC68AB" w14:textId="36D6739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6A828B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C2E979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27B8FD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94B211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2409F3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4279A4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E566537" w14:textId="5C1CE7D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5C3FD2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3590EF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87D485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CBCF9B5" w14:textId="2C7FE75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B73BEA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CA63F4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50F5E6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5ED63B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7B063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40048C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3C3875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1EBA8D07" w14:textId="3F2C9349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225CCDD" w14:textId="546BF588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РН16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3F312210" w14:textId="3689102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5AF4893E" w14:textId="433E1B2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241E9A9" w14:textId="40A4D00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5ADE5F0" w14:textId="0DCE92F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B5B179B" w14:textId="48E8B41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0A572F8" w14:textId="2251D68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386FE1" w14:textId="38A0FD9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512F3E9" w14:textId="132E962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0E701CA0" w14:textId="7D43246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77B786C" w14:textId="13D802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757223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E28F822" w14:textId="60E29B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4C411AF" w14:textId="12BD27F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E73E9D" w14:textId="08A3520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259F749" w14:textId="0D1E41A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07074B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53AC8C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B365A6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F36296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BDE6EE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F50F5F2" w14:textId="0881B7B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FF82BF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B467CB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3E6196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361F6E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63A87DC" w14:textId="41D9F6E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DB2642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D7986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78F5440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1CA56A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AA8C5F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BA0D679" w14:textId="786A641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C1B4092" w14:textId="663EA0C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30301AA6" w14:textId="2C88EDD8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FFE7592" w14:textId="398F8A32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РН17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2FF10F5F" w14:textId="5A9BBDB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4DE7853B" w14:textId="23C92EE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5EEFA7B" w14:textId="78193A9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C0C168C" w14:textId="7AE8C70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6C9FF34" w14:textId="4F286F9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E5061F4" w14:textId="5D4D230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CCAB56B" w14:textId="7344DDF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B54B786" w14:textId="340334B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662D4DC1" w14:textId="7A09A23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3E582CB" w14:textId="5EA2485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E8B3D3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79E934C" w14:textId="5CC9609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985CB1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CCDDECB" w14:textId="348B27D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0E8E19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245C5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AF8403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0C35A9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1761A15" w14:textId="598368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AD37451" w14:textId="213F50E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D22155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F99F3F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2235B1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2F8358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0F378C1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391E5CA" w14:textId="61E0D12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670BEE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599877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734CA2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C27505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09217E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559B6C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C1931E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21F6BF88" w14:textId="0D9CAB90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DF4E012" w14:textId="378D5BE3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РН18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7644FA89" w14:textId="253294A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4F4C5E78" w14:textId="207D0BF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FD0EF72" w14:textId="7840683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D7EB7B0" w14:textId="59EA878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159BB86" w14:textId="155F256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A7BBC53" w14:textId="7E29EF6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7F4A248" w14:textId="29D305B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3C1DCB7" w14:textId="1F8FCEB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50252D57" w14:textId="6AFB39D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E9AD078" w14:textId="42E7FA9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E3F8A4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F026DBC" w14:textId="26B2572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B38AD5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85FFAD1" w14:textId="22C6E2B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525ED9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B1835D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AD5276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E54A4A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3CA00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0D35FAB" w14:textId="0010FC7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809EF0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023A17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B47B2C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04438B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BEC062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E08D71D" w14:textId="08C4C6F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EC167F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26C0A5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B26D4A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7C9E04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1C5F08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2E38D8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E6E66B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6730A354" w14:textId="7C67452E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279E376" w14:textId="3A09122E" w:rsidR="002004F1" w:rsidRPr="00920074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РН19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6917DCCA" w14:textId="7CAF578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537E10B1" w14:textId="226B338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65331F1" w14:textId="05A4A70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AFA3A5" w14:textId="18A94B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D25DA84" w14:textId="31C26D0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03CD12C" w14:textId="0ADD853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83148F1" w14:textId="6F4CDA2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4A7402D" w14:textId="725B2E4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DAC3292" w14:textId="2F0BB86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327B321" w14:textId="6FAE3A6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F48DC3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5C83C17" w14:textId="0A04873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DB5FF9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A1C3242" w14:textId="6AC35F1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C0C9FE" w14:textId="642475C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D12021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6E63C7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9AB59FC" w14:textId="65C6835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DA7D27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A4208B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255BE2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E6DD92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B2AA91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3D1BEBB" w14:textId="0BA9A81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0DF726A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1E553E2" w14:textId="06A1CA5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26D940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09CECEB" w14:textId="07DBC1C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765E4D9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3F47E2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27F99F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C852492" w14:textId="248F624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0D5F996" w14:textId="64885AD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B050961" w14:textId="4BD4BD58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78342A52" w14:textId="2407C6BF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РН20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044895E3" w14:textId="26BED55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6FAACFF2" w14:textId="020C779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6F876BF" w14:textId="335428F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4F02C5F" w14:textId="3EB4F23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CE2E7B8" w14:textId="3EBCE7F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7E041F3" w14:textId="701BF39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14F0BBF" w14:textId="7B5C507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9EF0B25" w14:textId="1F883EC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76FBBAA2" w14:textId="48DC0AE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0C93F44" w14:textId="3C9B919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E4582D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082A3FD" w14:textId="372C4A5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ED9CF4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4F2346E" w14:textId="392D675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AD2508B" w14:textId="0802FE2A" w:rsidR="002004F1" w:rsidRPr="00920074" w:rsidRDefault="002004F1" w:rsidP="002004F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68A80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702217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7CA38FB" w14:textId="75DD44B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F8C6D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9F198F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4857081" w14:textId="44A2B1F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E39D09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555F81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2880BD4" w14:textId="309250A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8F65BC5" w14:textId="782C330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41B648A" w14:textId="5C4C632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30FFF20" w14:textId="52ADE3F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4B3C29F" w14:textId="740F478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E6F04C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6B0A5D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33E171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9B0A8FB" w14:textId="27AD43A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B70A83E" w14:textId="5E1178B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41CE578" w14:textId="6BF3331B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C9DAB30" w14:textId="400A41DF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РН21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07BD1B85" w14:textId="12810AA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7CD570F0" w14:textId="09380D3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35AAD29" w14:textId="465FC48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8B1CF0A" w14:textId="63036F2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860A7F9" w14:textId="15CCB5B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18C02A" w14:textId="6962FE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390FAC0" w14:textId="15C84FA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A591B66" w14:textId="40A3A2C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0BA1AE3F" w14:textId="73FD11A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759DA452" w14:textId="4E9AFD3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D13C68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BF07C62" w14:textId="2AF2421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3E06CFA" w14:textId="2ADF1F6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C1A790" w14:textId="4CC4E6E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745F2CA" w14:textId="38DBB52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180010F" w14:textId="5FC1E66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76B54F79" w14:textId="2CB09E3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B6C98C" w14:textId="0EB3531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5ECB9D" w14:textId="108682E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6B61203" w14:textId="1358959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01DDDDFA" w14:textId="486F61C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7996DF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5AFF2CF" w14:textId="7406D14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D4D9AA5" w14:textId="4498782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444E30E9" w14:textId="2846295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5F804876" w14:textId="26ACB8C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2965FEB" w14:textId="70CEBB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D9C1AF7" w14:textId="45F9FDA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0139B30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7B73D98" w14:textId="2284B62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A8FC94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96CDEFD" w14:textId="3D08736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BFC71D1" w14:textId="5F50EE6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1A94FC3E" w14:textId="4EA7450D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A02EA71" w14:textId="3E3028B1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РН22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1CE8B9BC" w14:textId="7B82C2F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272A1C1E" w14:textId="584DB34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58574EE" w14:textId="37E3062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BE3939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4A3075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D5D608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24C352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9AFF10C" w14:textId="1B6FE6D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101E6E58" w14:textId="2EF712A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BB6039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A273B4C" w14:textId="57928C7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9F7EB7" w14:textId="2C24AE1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1CD2E1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76EDD23" w14:textId="16378CE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264FF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FD5D4A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94BC71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B2073B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70461E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E2D227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148F8AD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1CD432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2BD11C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AB1047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3AEA074D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DC0D0C" w14:textId="6C25975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98CE11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56F012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6BAEE3E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A21FA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14CB64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065200B" w14:textId="0840D15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210F3BF" w14:textId="3ED7C5A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2004F1" w:rsidRPr="00920074" w14:paraId="77707DCC" w14:textId="5F6388B4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51B9D192" w14:textId="52257118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РН23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60A9B524" w14:textId="627D97A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6996FD84" w14:textId="16C4F4A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88B02E" w14:textId="1CEA5A1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6DBBE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736CCB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C57DEB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09188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619F6E2" w14:textId="658F4A1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7D3A919B" w14:textId="451A72D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280DD1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92F7BD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1FFF142" w14:textId="22B40F6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2D71325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00645B1" w14:textId="70BE9FF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BAC5A37" w14:textId="5A0CC18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E0DAB54" w14:textId="3668D79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D726399" w14:textId="6F23B89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863B341" w14:textId="486E231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3E0BA2D" w14:textId="444440A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F5329F6" w14:textId="0972369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647DA57F" w14:textId="7DA42CF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342DEF7" w14:textId="1E5E0D3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368DB99" w14:textId="192D0E9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3BA780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214E536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E2FF968" w14:textId="7096292C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77261A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4B6E7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25E576A9" w14:textId="5C0C2C4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75119B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54F048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167A2D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880429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18E62AC3" w14:textId="3B86E26F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1F52125" w14:textId="2FC61ED9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РН24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34052BF5" w14:textId="0730B91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45743397" w14:textId="3963FA8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5EC13AE" w14:textId="4B8E23F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CBBBC4D" w14:textId="2707AE2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9339163" w14:textId="6CB0D0B4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A5D84BD" w14:textId="56436E9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0BA3793" w14:textId="73F78C8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2FE5929" w14:textId="7AD6C4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1897CB33" w14:textId="1C3B4C9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3329E6D2" w14:textId="29F6FEF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551E0B0" w14:textId="03A06B6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2F2F86A" w14:textId="3C460DB0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E30D7A5" w14:textId="084E6FE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2CDA651" w14:textId="6687F1A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6722EF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57FB24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EE67E9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B93674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0EE1BBC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9AAC85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77D3E78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765010E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02E59C3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E4992E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4782D97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167257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1F4D65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B286F0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1692254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A4E5A8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585F4EF" w14:textId="4427E1C3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0420328B" w14:textId="77777777" w:rsidR="002004F1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0A99EC8" w14:textId="77777777" w:rsidR="002004F1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04F1" w:rsidRPr="00920074" w14:paraId="368892D4" w14:textId="463D2C0F" w:rsidTr="00E6172C">
        <w:trPr>
          <w:trHeight w:val="425"/>
        </w:trPr>
        <w:tc>
          <w:tcPr>
            <w:tcW w:w="113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A59A1B9" w14:textId="096DE71B" w:rsidR="002004F1" w:rsidRDefault="002004F1" w:rsidP="002004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РН25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14:paraId="6B9E0148" w14:textId="7338864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53" w:type="dxa"/>
            <w:tcMar>
              <w:left w:w="28" w:type="dxa"/>
              <w:right w:w="28" w:type="dxa"/>
            </w:tcMar>
          </w:tcPr>
          <w:p w14:paraId="27A42783" w14:textId="744A2CB6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F8C85E9" w14:textId="5CA24205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CFA13C3" w14:textId="57CB960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0D4EAB2" w14:textId="38486191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33C73BF" w14:textId="4BD3C048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131525C" w14:textId="1584645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6C316371" w14:textId="130B5EAA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</w:tcPr>
          <w:p w14:paraId="3DC0E5F4" w14:textId="363B648B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2C429DE1" w14:textId="1F8CF899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12AF8B38" w14:textId="376AB6A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37CABF2" w14:textId="22AD1A9D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0DD637F" w14:textId="65E2BCFE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83EA6ED" w14:textId="467952CF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69696E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A272C33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BD78109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57E0E4F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F7D6F2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61FDF1A1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662BA718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3B63C5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136337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4761563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7C354AB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2380BE1A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D09C117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1A415A7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</w:tcPr>
          <w:p w14:paraId="58372E50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57F892AB" w14:textId="77777777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761FA1A1" w14:textId="490CBE72" w:rsidR="002004F1" w:rsidRPr="00920074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425" w:type="dxa"/>
          </w:tcPr>
          <w:p w14:paraId="42D77565" w14:textId="77777777" w:rsidR="002004F1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14:paraId="33D00747" w14:textId="77777777" w:rsidR="002004F1" w:rsidRDefault="002004F1" w:rsidP="002004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05941A2" w14:textId="77777777" w:rsidR="00920074" w:rsidRPr="00920074" w:rsidRDefault="00920074" w:rsidP="00920074">
      <w:pPr>
        <w:suppressAutoHyphens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045F1A6A" w14:textId="77777777" w:rsidR="00594375" w:rsidRDefault="005943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ECBB54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B4A86" w14:textId="77777777" w:rsidR="00A06D65" w:rsidRDefault="00A06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D65" w:rsidSect="00E00E8E">
          <w:pgSz w:w="16838" w:h="11906" w:orient="landscape"/>
          <w:pgMar w:top="851" w:right="567" w:bottom="851" w:left="1418" w:header="0" w:footer="0" w:gutter="0"/>
          <w:cols w:space="720"/>
        </w:sectPr>
      </w:pPr>
    </w:p>
    <w:p w14:paraId="44CBB52E" w14:textId="7DEEFE78" w:rsidR="00A06D65" w:rsidRPr="00E43B7B" w:rsidRDefault="00E43B7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Таблиця</w:t>
      </w:r>
      <w:r w:rsidR="00AC060D" w:rsidRPr="00E43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</w:p>
    <w:p w14:paraId="55F28C23" w14:textId="59F5A374" w:rsidR="00A06D65" w:rsidRPr="00E43B7B" w:rsidRDefault="00AC0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1 (синдроми та симптоми</w:t>
      </w:r>
      <w:r w:rsidR="00151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дітей</w:t>
      </w:r>
      <w:r w:rsidRPr="00E4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2E4F02B3" w14:textId="77777777" w:rsidR="00320B8D" w:rsidRPr="00E43B7B" w:rsidRDefault="00320B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109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28"/>
        <w:gridCol w:w="3828"/>
      </w:tblGrid>
      <w:tr w:rsidR="00A06D65" w14:paraId="446915C3" w14:textId="77777777">
        <w:trPr>
          <w:trHeight w:val="8372"/>
        </w:trPr>
        <w:tc>
          <w:tcPr>
            <w:tcW w:w="3510" w:type="dxa"/>
          </w:tcPr>
          <w:p w14:paraId="54F7002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аменорея</w:t>
            </w:r>
          </w:p>
          <w:p w14:paraId="22CE4937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анемічний синдром</w:t>
            </w:r>
          </w:p>
          <w:p w14:paraId="5EDB836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анурія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олігурія</w:t>
            </w:r>
            <w:proofErr w:type="spellEnd"/>
          </w:p>
          <w:p w14:paraId="264D81C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артеріальна гіпертензія</w:t>
            </w:r>
          </w:p>
          <w:p w14:paraId="06797ED3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артеріальна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гіпотензія</w:t>
            </w:r>
            <w:proofErr w:type="spellEnd"/>
          </w:p>
          <w:p w14:paraId="7E0326F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асфіксія</w:t>
            </w:r>
          </w:p>
          <w:p w14:paraId="59FAA20D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білково-енергетична недостатність</w:t>
            </w:r>
          </w:p>
          <w:p w14:paraId="7F27C222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в грудній клітці</w:t>
            </w:r>
          </w:p>
          <w:p w14:paraId="334F846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в животі</w:t>
            </w:r>
          </w:p>
          <w:p w14:paraId="0C96DBD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в кінцівках та спині</w:t>
            </w:r>
          </w:p>
          <w:p w14:paraId="127D06C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в промежині</w:t>
            </w:r>
          </w:p>
          <w:p w14:paraId="6179A5D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у вусі</w:t>
            </w:r>
          </w:p>
          <w:p w14:paraId="12DBB64C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біль у горлі</w:t>
            </w:r>
          </w:p>
          <w:p w14:paraId="11ED33E4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блідість</w:t>
            </w:r>
          </w:p>
          <w:p w14:paraId="53EC60B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блювання</w:t>
            </w:r>
          </w:p>
          <w:p w14:paraId="2E47DAE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бронхообструктивний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15A571C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бульбарний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070B09C2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випіт у плевральну порожнину</w:t>
            </w:r>
          </w:p>
          <w:p w14:paraId="4D8213D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галюцинаторно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-параноїдальний синдром</w:t>
            </w:r>
          </w:p>
          <w:p w14:paraId="124114ED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гарячка </w:t>
            </w:r>
          </w:p>
          <w:p w14:paraId="65CC837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геморагічний синдром</w:t>
            </w:r>
          </w:p>
          <w:p w14:paraId="71DB5A7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гепатомегалія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гепатолієнальний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072B88D1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гідроцефалія</w:t>
            </w:r>
          </w:p>
          <w:p w14:paraId="2C2C62E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гіпертиреоз</w:t>
            </w:r>
          </w:p>
          <w:p w14:paraId="3DDB6C32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гіпотиреоз</w:t>
            </w:r>
          </w:p>
          <w:p w14:paraId="25D2950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головний біль</w:t>
            </w:r>
          </w:p>
          <w:p w14:paraId="1AACFA3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дизурія</w:t>
            </w:r>
          </w:p>
          <w:p w14:paraId="7908492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дисменорея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DEA4A7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диспепсія</w:t>
            </w:r>
          </w:p>
        </w:tc>
        <w:tc>
          <w:tcPr>
            <w:tcW w:w="3628" w:type="dxa"/>
          </w:tcPr>
          <w:p w14:paraId="303751D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дисфагія</w:t>
            </w:r>
            <w:proofErr w:type="spellEnd"/>
          </w:p>
          <w:p w14:paraId="554B1E5C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діарея</w:t>
            </w:r>
          </w:p>
          <w:p w14:paraId="3DD8A24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екзантема, енантема </w:t>
            </w:r>
          </w:p>
          <w:p w14:paraId="3AD6B5D1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жовтяниця</w:t>
            </w:r>
          </w:p>
          <w:p w14:paraId="5A09F0F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задишка</w:t>
            </w:r>
          </w:p>
          <w:p w14:paraId="4A6DE5A2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50F50A4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запаморочення</w:t>
            </w:r>
          </w:p>
          <w:p w14:paraId="679586C8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затримка внутрішньоутробного розвитку</w:t>
            </w:r>
          </w:p>
          <w:p w14:paraId="6E60936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затримка фізичного та психомоторного розвитку</w:t>
            </w:r>
          </w:p>
          <w:p w14:paraId="0A02B93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зригування</w:t>
            </w:r>
          </w:p>
          <w:p w14:paraId="2588703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кардіомегалія</w:t>
            </w:r>
            <w:proofErr w:type="spellEnd"/>
          </w:p>
          <w:p w14:paraId="7E44A8E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кашель</w:t>
            </w:r>
          </w:p>
          <w:p w14:paraId="2B112427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кишкова непрохідність</w:t>
            </w:r>
          </w:p>
          <w:p w14:paraId="4BA4AB7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кровотеча зовнішня</w:t>
            </w:r>
          </w:p>
          <w:p w14:paraId="07537A2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кровотеча внутрішня</w:t>
            </w:r>
          </w:p>
          <w:p w14:paraId="28831127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кровохаркання</w:t>
            </w:r>
          </w:p>
          <w:p w14:paraId="4735C1DC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лімфаденопатія</w:t>
            </w:r>
          </w:p>
          <w:p w14:paraId="745AF3B4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менінгеальний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604437F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маткова кровотеча</w:t>
            </w:r>
          </w:p>
          <w:p w14:paraId="342447C4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метаболічний синдром</w:t>
            </w:r>
          </w:p>
          <w:p w14:paraId="6EE1EAC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набряковий синдром</w:t>
            </w:r>
          </w:p>
          <w:p w14:paraId="6BF9374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нежить</w:t>
            </w:r>
          </w:p>
          <w:p w14:paraId="52C9736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парези, паралічі</w:t>
            </w:r>
          </w:p>
          <w:p w14:paraId="155E336E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полідипсія</w:t>
            </w:r>
            <w:proofErr w:type="spellEnd"/>
          </w:p>
          <w:p w14:paraId="59E7CF1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ожиріння</w:t>
            </w:r>
          </w:p>
          <w:p w14:paraId="2D006DD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переломи трубчастих костей</w:t>
            </w:r>
          </w:p>
          <w:p w14:paraId="048190D8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пневмоторакс напружений (закритий)</w:t>
            </w:r>
          </w:p>
          <w:p w14:paraId="799E5E7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пневмоторакс ненапружений (відкритий)</w:t>
            </w:r>
          </w:p>
          <w:p w14:paraId="4B9C188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поліурія</w:t>
            </w:r>
          </w:p>
        </w:tc>
        <w:tc>
          <w:tcPr>
            <w:tcW w:w="3828" w:type="dxa"/>
          </w:tcPr>
          <w:p w14:paraId="3E6616E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полідипсія</w:t>
            </w:r>
            <w:proofErr w:type="spellEnd"/>
          </w:p>
          <w:p w14:paraId="6D89CBF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портальна гіпертензія </w:t>
            </w:r>
          </w:p>
          <w:p w14:paraId="5A63F04B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мови (афазія)</w:t>
            </w:r>
          </w:p>
          <w:p w14:paraId="4706546C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серцевого ритму та провідності</w:t>
            </w:r>
          </w:p>
          <w:p w14:paraId="58E191A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right="-501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росту</w:t>
            </w:r>
          </w:p>
          <w:p w14:paraId="609D3BA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сечовипускання</w:t>
            </w:r>
          </w:p>
          <w:p w14:paraId="0B07932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проблеми з апетитом</w:t>
            </w:r>
          </w:p>
          <w:p w14:paraId="3CA3F157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раптова зупинка серця</w:t>
            </w:r>
          </w:p>
          <w:p w14:paraId="786E71B7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розлади свідомості</w:t>
            </w:r>
          </w:p>
          <w:p w14:paraId="400D74E3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свербіж шкіри</w:t>
            </w:r>
          </w:p>
          <w:p w14:paraId="5F4A089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сечовий синдром</w:t>
            </w:r>
          </w:p>
          <w:p w14:paraId="3638B125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деменції</w:t>
            </w:r>
          </w:p>
          <w:p w14:paraId="37F0B0E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дегідратації</w:t>
            </w:r>
          </w:p>
          <w:p w14:paraId="27C08828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дисемінованого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внутрішньосудинного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згортання крові</w:t>
            </w:r>
          </w:p>
          <w:p w14:paraId="20343D6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жорстокого поводження з дітьми</w:t>
            </w:r>
          </w:p>
          <w:p w14:paraId="0F23535C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кишкової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кольки</w:t>
            </w:r>
            <w:proofErr w:type="spellEnd"/>
          </w:p>
          <w:p w14:paraId="5941AED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мальабсорбції</w:t>
            </w:r>
            <w:proofErr w:type="spellEnd"/>
          </w:p>
          <w:p w14:paraId="47DD2D58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недостатності травлення</w:t>
            </w:r>
          </w:p>
          <w:p w14:paraId="0B216E80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раптової смерті</w:t>
            </w:r>
          </w:p>
          <w:p w14:paraId="1C98DCB3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right="-785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передчасної статевої зрілості</w:t>
            </w:r>
          </w:p>
          <w:p w14:paraId="2F577B59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спленомегалія</w:t>
            </w:r>
            <w:proofErr w:type="spellEnd"/>
          </w:p>
          <w:p w14:paraId="4A23C146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спрага</w:t>
            </w:r>
          </w:p>
          <w:p w14:paraId="58BA8042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стридор</w:t>
            </w:r>
            <w:proofErr w:type="spellEnd"/>
          </w:p>
          <w:p w14:paraId="05D7380D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суглобовий синдром</w:t>
            </w:r>
          </w:p>
          <w:p w14:paraId="2C8DF68F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судоми</w:t>
            </w:r>
          </w:p>
          <w:p w14:paraId="5D388964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схуднення</w:t>
            </w:r>
          </w:p>
          <w:p w14:paraId="5CFB9911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ціаноз </w:t>
            </w:r>
          </w:p>
          <w:p w14:paraId="3B2C15EA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часткова або повна втрата зору</w:t>
            </w:r>
          </w:p>
          <w:p w14:paraId="25518BB3" w14:textId="77777777" w:rsidR="00A06D65" w:rsidRDefault="00AC06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59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часткова або повна втрата слуху</w:t>
            </w:r>
          </w:p>
        </w:tc>
      </w:tr>
    </w:tbl>
    <w:p w14:paraId="2E4F0DFA" w14:textId="77777777" w:rsidR="002C4219" w:rsidRDefault="002C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F48DE6F" w14:textId="3050FEE3" w:rsidR="00A06D65" w:rsidRDefault="00AC0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2 (захворювання</w:t>
      </w:r>
      <w:r w:rsidR="00151F7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у дітей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tbl>
      <w:tblPr>
        <w:tblStyle w:val="af1"/>
        <w:tblW w:w="11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628"/>
        <w:gridCol w:w="4171"/>
      </w:tblGrid>
      <w:tr w:rsidR="00A06D65" w14:paraId="0B4C6D14" w14:textId="77777777">
        <w:trPr>
          <w:trHeight w:val="5810"/>
        </w:trPr>
        <w:tc>
          <w:tcPr>
            <w:tcW w:w="3284" w:type="dxa"/>
          </w:tcPr>
          <w:p w14:paraId="198A1B1F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І) Хвороби крові та кровотворних органів, порушення з залученням імунного механізму</w:t>
            </w:r>
          </w:p>
          <w:p w14:paraId="623F431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анемії</w:t>
            </w:r>
          </w:p>
          <w:p w14:paraId="2FFD802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гемолітична хвороба новонароджених</w:t>
            </w:r>
          </w:p>
          <w:p w14:paraId="2B29435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геморагічна хвороба новонароджених</w:t>
            </w:r>
          </w:p>
          <w:p w14:paraId="690A044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гемофілія</w:t>
            </w:r>
          </w:p>
          <w:p w14:paraId="4053DCA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лейкемії</w:t>
            </w:r>
          </w:p>
          <w:p w14:paraId="6C45EFD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лімфоми</w:t>
            </w:r>
          </w:p>
          <w:p w14:paraId="520E721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коагулопатії</w:t>
            </w:r>
            <w:proofErr w:type="spellEnd"/>
          </w:p>
          <w:p w14:paraId="0F3B4FF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природжені та набуті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імунодефіцитні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стани </w:t>
            </w:r>
          </w:p>
          <w:p w14:paraId="71789E3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новонароджених</w:t>
            </w:r>
          </w:p>
          <w:p w14:paraId="3B5B514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хірургічний</w:t>
            </w:r>
          </w:p>
          <w:p w14:paraId="3949861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дисемінованого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внутрішньосудинного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згортання крові</w:t>
            </w:r>
          </w:p>
          <w:p w14:paraId="54A9881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тромбоцитопенії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тромбоцитопатії</w:t>
            </w:r>
            <w:proofErr w:type="spellEnd"/>
          </w:p>
          <w:p w14:paraId="06D646C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хронічні променеві ураження</w:t>
            </w:r>
          </w:p>
          <w:p w14:paraId="6566F0A6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ІІ) Розлади психіки та поведінки: </w:t>
            </w:r>
          </w:p>
          <w:p w14:paraId="392B09C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біполярний афективний розлад</w:t>
            </w:r>
          </w:p>
          <w:p w14:paraId="4322688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внутрішньо-черепні крововиливи новонароджених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1A1142C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гострий психоз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алкогольний делірій</w:t>
            </w:r>
          </w:p>
          <w:p w14:paraId="233BEBE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епілепсія</w:t>
            </w:r>
          </w:p>
          <w:p w14:paraId="4CD55F9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невротичні розлади</w:t>
            </w:r>
          </w:p>
          <w:p w14:paraId="30C22FC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розлади особистості</w:t>
            </w:r>
          </w:p>
          <w:p w14:paraId="24AFB70B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шизофренія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40DDAFF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III) Хвороби нервової системи </w:t>
            </w:r>
          </w:p>
          <w:p w14:paraId="22970C6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внутрішньочерепна травма</w:t>
            </w:r>
          </w:p>
          <w:p w14:paraId="17C2B15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менінгіти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енцефаліти</w:t>
            </w:r>
          </w:p>
          <w:p w14:paraId="231B2B9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мігрень та інші види головного болю</w:t>
            </w:r>
          </w:p>
          <w:p w14:paraId="6464A59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неонатальна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енцефалопатія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43141E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вегетативної нервової системи</w:t>
            </w:r>
          </w:p>
          <w:p w14:paraId="70B9657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мозкового кровообігу</w:t>
            </w:r>
          </w:p>
          <w:p w14:paraId="1377B6A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вертеброгенні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захворювання нервової системи,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нейропатії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полінейропатії</w:t>
            </w:r>
            <w:proofErr w:type="spellEnd"/>
          </w:p>
          <w:p w14:paraId="72A6950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розсіяний склероз </w:t>
            </w:r>
          </w:p>
          <w:p w14:paraId="7BAF48F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хронічні професійні ураження (вібраційна хвороба, професійні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дискінезії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0E8FF50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інсульти (ішемічний, геморагічний)</w:t>
            </w:r>
          </w:p>
          <w:p w14:paraId="43B86676" w14:textId="77777777" w:rsidR="00A06D65" w:rsidRDefault="00A0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3F90F1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Хвороби ока</w:t>
            </w:r>
          </w:p>
          <w:p w14:paraId="65A8196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блефарит</w:t>
            </w:r>
          </w:p>
          <w:p w14:paraId="7CE2A86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гострий напад глаукоми</w:t>
            </w:r>
          </w:p>
          <w:p w14:paraId="1E63758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кон’юнктивіт</w:t>
            </w:r>
          </w:p>
          <w:p w14:paraId="68A0642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стороннє тіло ока</w:t>
            </w:r>
          </w:p>
          <w:p w14:paraId="6C2E26A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травми ока</w:t>
            </w:r>
          </w:p>
          <w:p w14:paraId="418D6DE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ретинопатії</w:t>
            </w:r>
          </w:p>
          <w:p w14:paraId="69BEB273" w14:textId="77777777" w:rsidR="00A06D65" w:rsidRDefault="00A0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D0DD10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Хвороби горла, вуха, носа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0EBD8F4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ларингіти</w:t>
            </w:r>
          </w:p>
          <w:p w14:paraId="192D34F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отити</w:t>
            </w:r>
          </w:p>
          <w:p w14:paraId="7655895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перитонзилярний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абсцес</w:t>
            </w:r>
          </w:p>
          <w:p w14:paraId="4A83F0B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синусити</w:t>
            </w:r>
            <w:proofErr w:type="spellEnd"/>
          </w:p>
          <w:p w14:paraId="42B6188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тонзиліти</w:t>
            </w:r>
            <w:proofErr w:type="spellEnd"/>
          </w:p>
          <w:p w14:paraId="5ED71B6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травми горла, вуха, носа </w:t>
            </w:r>
          </w:p>
          <w:p w14:paraId="7D421E25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IV) Хвороби серцево-судинної системи:</w:t>
            </w:r>
          </w:p>
          <w:p w14:paraId="6C8B5D5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аневризми аорти</w:t>
            </w:r>
          </w:p>
          <w:p w14:paraId="39889BA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атеросклероз</w:t>
            </w:r>
          </w:p>
          <w:p w14:paraId="48C8802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варикозне розширення вен нижніх  кінцівок</w:t>
            </w:r>
          </w:p>
          <w:p w14:paraId="4EE854B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вади серця</w:t>
            </w:r>
          </w:p>
          <w:p w14:paraId="4207E64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оклюзія магістральних і периферичних артерій;</w:t>
            </w:r>
          </w:p>
          <w:p w14:paraId="441AD35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ендокардити </w:t>
            </w:r>
          </w:p>
          <w:p w14:paraId="54299ED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ессенціальна та вторинна артеріальна гіпертензія</w:t>
            </w:r>
          </w:p>
          <w:p w14:paraId="5BC09FA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ішемічна хвороба серця </w:t>
            </w:r>
          </w:p>
          <w:p w14:paraId="07BAF22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кардити</w:t>
            </w:r>
            <w:proofErr w:type="spellEnd"/>
          </w:p>
          <w:p w14:paraId="29E8025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кардіоміопатії</w:t>
            </w:r>
          </w:p>
          <w:p w14:paraId="44AE33A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легеневе серце</w:t>
            </w:r>
          </w:p>
          <w:p w14:paraId="6A0026B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набуті вади серця </w:t>
            </w:r>
          </w:p>
          <w:p w14:paraId="22D947C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облітеруючий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ендартеріїт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4A3008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первинна легенева гіпертензія</w:t>
            </w:r>
          </w:p>
          <w:p w14:paraId="7C57D1B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перикардити</w:t>
            </w:r>
            <w:proofErr w:type="spellEnd"/>
          </w:p>
          <w:p w14:paraId="501667A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серцевого ритму та провідності</w:t>
            </w:r>
          </w:p>
          <w:p w14:paraId="06932E7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серцева недостатність </w:t>
            </w:r>
          </w:p>
          <w:p w14:paraId="57693E1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травми серця та кровоносних судин</w:t>
            </w:r>
          </w:p>
          <w:p w14:paraId="7B7F525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тромбоемболія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легеневої артерії</w:t>
            </w:r>
          </w:p>
          <w:p w14:paraId="5E87B67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флебіт, тромбофлебіт</w:t>
            </w:r>
          </w:p>
          <w:p w14:paraId="176FD6AA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V) Хвороби органів дихання та середостіння:</w:t>
            </w:r>
          </w:p>
          <w:p w14:paraId="388AECA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асфіксія </w:t>
            </w:r>
          </w:p>
          <w:p w14:paraId="44A5CC0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бронхіальна астма</w:t>
            </w:r>
          </w:p>
          <w:p w14:paraId="279066E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бронхіти</w:t>
            </w:r>
          </w:p>
          <w:p w14:paraId="69C8A79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бронхоектатична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хвороба</w:t>
            </w:r>
          </w:p>
          <w:p w14:paraId="51D37AB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-легенева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дисплазія</w:t>
            </w:r>
            <w:proofErr w:type="spellEnd"/>
          </w:p>
          <w:p w14:paraId="3916C2C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вади розвитку органів дихання</w:t>
            </w:r>
          </w:p>
          <w:p w14:paraId="393B040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гострий респіраторний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-синдром</w:t>
            </w:r>
          </w:p>
          <w:p w14:paraId="2816D2D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дихальна недостатність</w:t>
            </w:r>
          </w:p>
          <w:p w14:paraId="0EA4635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інфекційно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-деструктивні захворювання легень</w:t>
            </w:r>
          </w:p>
          <w:p w14:paraId="5382FE0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легенева недостатність</w:t>
            </w:r>
          </w:p>
          <w:p w14:paraId="6357559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медіастиніти</w:t>
            </w:r>
            <w:proofErr w:type="spellEnd"/>
          </w:p>
          <w:p w14:paraId="287A500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муковісцидоз</w:t>
            </w:r>
            <w:proofErr w:type="spellEnd"/>
          </w:p>
          <w:p w14:paraId="775DDB4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новоутворення легень та середостіння</w:t>
            </w:r>
          </w:p>
          <w:p w14:paraId="66B2742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плеврити</w:t>
            </w:r>
            <w:proofErr w:type="spellEnd"/>
          </w:p>
          <w:p w14:paraId="672001D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пневмоконіози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1F496D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пневмонії</w:t>
            </w:r>
          </w:p>
          <w:p w14:paraId="2F4B6CE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пневмоторакс</w:t>
            </w:r>
          </w:p>
          <w:p w14:paraId="7B9CC51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синдром дихальних розладів новонароджених</w:t>
            </w:r>
          </w:p>
          <w:p w14:paraId="4842A70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стороннє тіло в дихальних шляхах </w:t>
            </w:r>
          </w:p>
          <w:p w14:paraId="400F7C8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травми грудної клітки (поверхнева, відкрита)</w:t>
            </w:r>
          </w:p>
          <w:p w14:paraId="2D28587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хронічне обструктивне захворювання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легенів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</w:tcPr>
          <w:p w14:paraId="7FD609B7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VI) Хвороби органів травлення:</w:t>
            </w:r>
          </w:p>
          <w:p w14:paraId="513FBEC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випадіння прямої кишки</w:t>
            </w:r>
          </w:p>
          <w:p w14:paraId="158761C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виразкова хвороба</w:t>
            </w:r>
          </w:p>
          <w:p w14:paraId="05BE64E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вади розвитку органів травлення</w:t>
            </w:r>
          </w:p>
          <w:p w14:paraId="7431134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гастоезофагеальна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рефлюксна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хвороба,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езофагіти</w:t>
            </w:r>
            <w:proofErr w:type="spellEnd"/>
          </w:p>
          <w:p w14:paraId="19BDA18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гастрити,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дуоденіти</w:t>
            </w:r>
            <w:proofErr w:type="spellEnd"/>
          </w:p>
          <w:p w14:paraId="1AEB636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гострі та хронічні гепатити</w:t>
            </w:r>
          </w:p>
          <w:p w14:paraId="5350732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гостра непрохідність кишечнику </w:t>
            </w:r>
          </w:p>
          <w:p w14:paraId="505F779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гострий та хронічний апендицит </w:t>
            </w:r>
          </w:p>
          <w:p w14:paraId="797C9BF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гострий та хронічний панкреатит  </w:t>
            </w:r>
          </w:p>
          <w:p w14:paraId="3C7791E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доброякісні захворювання стравоходу</w:t>
            </w:r>
          </w:p>
          <w:p w14:paraId="5225B9B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ентерити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коліти</w:t>
            </w:r>
          </w:p>
          <w:p w14:paraId="0C52770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запальні захворювання прямої кишки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перианальної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області</w:t>
            </w:r>
          </w:p>
          <w:p w14:paraId="52ADF1D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защемлені і незащемлені кили живота</w:t>
            </w:r>
          </w:p>
          <w:p w14:paraId="7623567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некротичний ентероколіт</w:t>
            </w:r>
          </w:p>
          <w:p w14:paraId="44B9D8A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новоутворення стравоходу,  шлунку, товстої кишки, печінки та підшлункової залози </w:t>
            </w:r>
          </w:p>
          <w:p w14:paraId="28B906B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пептичні виразки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шлунка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дванадцятипалої кишки</w:t>
            </w:r>
          </w:p>
          <w:p w14:paraId="5D42521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перитоніт</w:t>
            </w:r>
          </w:p>
          <w:p w14:paraId="5455545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перфорація порожнистого органу </w:t>
            </w:r>
          </w:p>
          <w:p w14:paraId="689168B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печінкова недостатність</w:t>
            </w:r>
          </w:p>
          <w:p w14:paraId="2D6B2FE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мальабсорбції</w:t>
            </w:r>
            <w:proofErr w:type="spellEnd"/>
          </w:p>
          <w:p w14:paraId="0418F78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спадкові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гепатози</w:t>
            </w:r>
            <w:proofErr w:type="spellEnd"/>
          </w:p>
          <w:p w14:paraId="4CDCA44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стеноз пілоруса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шлунка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796EE0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травми живота (поверхнева, відкрита)</w:t>
            </w:r>
          </w:p>
          <w:p w14:paraId="0436E2F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функціональні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гастроінтестинальні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розлади</w:t>
            </w:r>
          </w:p>
          <w:p w14:paraId="48AD850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функціональні розлади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тракту</w:t>
            </w:r>
          </w:p>
          <w:p w14:paraId="43D4537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хвороби оперованого шлунку</w:t>
            </w:r>
          </w:p>
          <w:p w14:paraId="439245A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холецистити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холангіти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жовчнокам’яна хвороба,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холедохолітіаз</w:t>
            </w:r>
            <w:proofErr w:type="spellEnd"/>
          </w:p>
          <w:p w14:paraId="5D881B6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цирози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печінки </w:t>
            </w:r>
          </w:p>
          <w:p w14:paraId="4990D7B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шлунково–кишкова кровотеча </w:t>
            </w:r>
          </w:p>
          <w:p w14:paraId="54AFC338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VII) Хвороби сечостатевої системи:</w:t>
            </w:r>
          </w:p>
          <w:p w14:paraId="75E1295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амілоїдоз нирок</w:t>
            </w:r>
          </w:p>
          <w:p w14:paraId="59FBBAF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баланит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баланопостит</w:t>
            </w:r>
            <w:proofErr w:type="spellEnd"/>
          </w:p>
          <w:p w14:paraId="2940267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вади розвитку сечової системи</w:t>
            </w:r>
          </w:p>
          <w:p w14:paraId="1D0F83E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гломерулонефрити</w:t>
            </w:r>
            <w:proofErr w:type="spellEnd"/>
          </w:p>
          <w:p w14:paraId="77453B3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дисметаболічні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нефропатії</w:t>
            </w:r>
          </w:p>
          <w:p w14:paraId="35FDB38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нефротичний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60DE0AC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ниркова недостатність</w:t>
            </w:r>
          </w:p>
          <w:p w14:paraId="414F627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новоутворення нирки, сечових шляхів і передміхурової залози</w:t>
            </w:r>
          </w:p>
          <w:p w14:paraId="1D81F6C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пієлонефрити</w:t>
            </w:r>
            <w:proofErr w:type="spellEnd"/>
          </w:p>
          <w:p w14:paraId="1DE41D7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простатит </w:t>
            </w:r>
          </w:p>
          <w:p w14:paraId="534A049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сечокам’яна хвороба</w:t>
            </w:r>
          </w:p>
          <w:p w14:paraId="599DEEF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спадковий нефрит</w:t>
            </w:r>
          </w:p>
          <w:p w14:paraId="1AE54DB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тубулоінтерстиційний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нефрит</w:t>
            </w:r>
          </w:p>
          <w:p w14:paraId="69E3A3C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тубулопатії</w:t>
            </w:r>
            <w:proofErr w:type="spellEnd"/>
          </w:p>
          <w:p w14:paraId="5D0FB10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уретрит</w:t>
            </w:r>
          </w:p>
          <w:p w14:paraId="3E077DA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хронічна хвороба нирок</w:t>
            </w:r>
          </w:p>
          <w:p w14:paraId="406BA81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цистити</w:t>
            </w:r>
            <w:proofErr w:type="spellEnd"/>
          </w:p>
          <w:p w14:paraId="7D1D2877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VIII) Хвороби шкіри і підшкірної клітковини: </w:t>
            </w:r>
          </w:p>
          <w:p w14:paraId="62A6457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алергодерматози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(дерматити,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токсидермія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екзема)</w:t>
            </w:r>
          </w:p>
          <w:p w14:paraId="1FC3667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бактеріальні захворювання шкіри та підшкірної клітковини, піодермії</w:t>
            </w:r>
          </w:p>
          <w:p w14:paraId="263E5EE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гнійно-запальні захворювання пальців та кисті</w:t>
            </w:r>
          </w:p>
          <w:p w14:paraId="41CAEFC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гнійно-запальні захворювання у дітей та новонароджених</w:t>
            </w:r>
          </w:p>
          <w:p w14:paraId="215D597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мікози</w:t>
            </w:r>
          </w:p>
          <w:p w14:paraId="153D2E1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опіки та обмороження</w:t>
            </w:r>
          </w:p>
          <w:p w14:paraId="671D699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паразитарні захворювання шкіри (короста, вошивість)</w:t>
            </w:r>
          </w:p>
          <w:p w14:paraId="6E67B14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псоріаз </w:t>
            </w:r>
          </w:p>
          <w:p w14:paraId="1B089CD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пухирні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дерматози</w:t>
            </w:r>
          </w:p>
          <w:p w14:paraId="3476298B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специфічна хірургічна інфекція (анаеробна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клостридіальна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неклостридіальна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342484E0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IX) Хвороби кістково- м’язової системи та сполучної тканини:</w:t>
            </w:r>
          </w:p>
          <w:p w14:paraId="780A54D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анкілозуючий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спондилоартрит</w:t>
            </w:r>
          </w:p>
          <w:p w14:paraId="3F66E48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вроджені та набуті вади розвитку кістково-м’язової системи </w:t>
            </w:r>
          </w:p>
          <w:p w14:paraId="6958D52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ревматична лихоманка</w:t>
            </w:r>
          </w:p>
          <w:p w14:paraId="0FF5D3B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ювенільний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дерматоміозит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поліміозит</w:t>
            </w:r>
            <w:proofErr w:type="spellEnd"/>
          </w:p>
          <w:p w14:paraId="64C712A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новоутворення кістково-м’язової системи</w:t>
            </w:r>
          </w:p>
          <w:p w14:paraId="44246DD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остеоартроз</w:t>
            </w:r>
            <w:proofErr w:type="spellEnd"/>
          </w:p>
          <w:p w14:paraId="44966F4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остеомієліт</w:t>
            </w:r>
          </w:p>
          <w:p w14:paraId="5A38BE8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остеохондропатії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DF22DE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подагра</w:t>
            </w:r>
          </w:p>
          <w:p w14:paraId="5ED840E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політравма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93F928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пологова травма новонародженого     </w:t>
            </w:r>
          </w:p>
          <w:p w14:paraId="06E5E58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реактивні артрити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артропатії</w:t>
            </w:r>
            <w:proofErr w:type="spellEnd"/>
          </w:p>
          <w:p w14:paraId="3CA2DEE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артрит</w:t>
            </w:r>
          </w:p>
          <w:p w14:paraId="4F4F327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доброякісної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гіпермобільності</w:t>
            </w:r>
            <w:proofErr w:type="spellEnd"/>
          </w:p>
          <w:p w14:paraId="2C4FEF8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системна склеродермія</w:t>
            </w:r>
          </w:p>
          <w:p w14:paraId="11A5B26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системний червоний вовчак </w:t>
            </w:r>
          </w:p>
          <w:p w14:paraId="1CBA5D3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системні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васкуліти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49685C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типові переломи кісток плеча, передпліччя, кисті, стегна, гомілки, стопи</w:t>
            </w:r>
          </w:p>
          <w:p w14:paraId="0D97271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травма тазу </w:t>
            </w:r>
          </w:p>
          <w:p w14:paraId="7AC38A9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травма хребта </w:t>
            </w:r>
          </w:p>
          <w:p w14:paraId="3AA9095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ушкодження великих суглобів (кульшового, колінного, гомілко-ступневого, ліктьового)</w:t>
            </w:r>
          </w:p>
          <w:p w14:paraId="01D82EE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хронічна ревматична хвороба серця </w:t>
            </w:r>
          </w:p>
          <w:p w14:paraId="5D8BA3F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06"/>
                <w:tab w:val="left" w:pos="54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ювенільний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ідіопатичний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артрит</w:t>
            </w:r>
          </w:p>
        </w:tc>
        <w:tc>
          <w:tcPr>
            <w:tcW w:w="4171" w:type="dxa"/>
          </w:tcPr>
          <w:p w14:paraId="511E0AFB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X) Хвороби ендокринної системи, розладу харчування та порушення обміну речовин:</w:t>
            </w:r>
          </w:p>
          <w:p w14:paraId="08981E4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акромегалія</w:t>
            </w:r>
          </w:p>
          <w:p w14:paraId="4ECE03C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білково-енергетична недостатність</w:t>
            </w:r>
          </w:p>
          <w:p w14:paraId="507494E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гіперплазія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тімуса</w:t>
            </w:r>
            <w:proofErr w:type="spellEnd"/>
          </w:p>
          <w:p w14:paraId="238256E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гіпопітуітаризм</w:t>
            </w:r>
            <w:proofErr w:type="spellEnd"/>
          </w:p>
          <w:p w14:paraId="5A4D0A6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гіпоталамічний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5895D30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гіпотиреоз</w:t>
            </w:r>
          </w:p>
          <w:p w14:paraId="06CCE4A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гіпофізарний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нанізм</w:t>
            </w:r>
          </w:p>
          <w:p w14:paraId="7D6C5D8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дифузний токсичний зоб</w:t>
            </w:r>
          </w:p>
          <w:p w14:paraId="414C670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захворювання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паращитоподібних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залоз</w:t>
            </w:r>
          </w:p>
          <w:p w14:paraId="2B1A05F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йододефіцитні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захворювання щитоподібної залози</w:t>
            </w:r>
          </w:p>
          <w:p w14:paraId="2063769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крипторхізм</w:t>
            </w:r>
          </w:p>
          <w:p w14:paraId="22C9A95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нецукровий діабет</w:t>
            </w:r>
          </w:p>
          <w:p w14:paraId="2D716B2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новоутворення ендокринних залоз</w:t>
            </w:r>
          </w:p>
          <w:p w14:paraId="7329ACF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ожиріння</w:t>
            </w:r>
          </w:p>
          <w:p w14:paraId="20DE214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статевої диференціації</w:t>
            </w:r>
          </w:p>
          <w:p w14:paraId="04AE8F1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статевого дозрівання: передчасне або запізнілий статевий розвиток</w:t>
            </w:r>
          </w:p>
          <w:p w14:paraId="37B3012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природжена дисфункція кори наднирників</w:t>
            </w:r>
          </w:p>
          <w:p w14:paraId="693EF7D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рахіт, спазмофілія, </w:t>
            </w:r>
          </w:p>
          <w:p w14:paraId="2FB6334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спадкові хвороби обміну речовин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фенілкутонурія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BD99AD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спадкові хромосомні порушення (хвороба Дауна, 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Шерешевського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Кляйнфельтера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Едвардса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615C32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тиреоїдити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BEBBC9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тиреотоксикоз</w:t>
            </w:r>
          </w:p>
          <w:p w14:paraId="4DAF443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хвороба та синдром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Іценко-Кушинга</w:t>
            </w:r>
            <w:proofErr w:type="spellEnd"/>
          </w:p>
          <w:p w14:paraId="57D833D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хронічна недостатність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наднирникових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залоз</w:t>
            </w:r>
          </w:p>
          <w:p w14:paraId="1C4A8F3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цукровий діабет </w:t>
            </w:r>
          </w:p>
          <w:p w14:paraId="7365C47D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XI) Інфекційні і паразитарні хвороби: </w:t>
            </w:r>
          </w:p>
          <w:p w14:paraId="222FEB7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бактеріальні харчові отруєння</w:t>
            </w:r>
          </w:p>
          <w:p w14:paraId="236A12D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бешиха</w:t>
            </w:r>
          </w:p>
          <w:p w14:paraId="3760D82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ботулізм</w:t>
            </w:r>
          </w:p>
          <w:p w14:paraId="1951568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вірусні гепатити</w:t>
            </w:r>
          </w:p>
          <w:p w14:paraId="6070D39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вітряна віспа</w:t>
            </w:r>
          </w:p>
          <w:p w14:paraId="6371B57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інфекції новонародженого</w:t>
            </w:r>
          </w:p>
          <w:p w14:paraId="1C4CB61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гельмінтози</w:t>
            </w:r>
          </w:p>
          <w:p w14:paraId="45F2218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герпесвірусні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хвороби</w:t>
            </w:r>
          </w:p>
          <w:p w14:paraId="74FC8F4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 та інші гострі респіраторні вірусні інфекції</w:t>
            </w:r>
          </w:p>
          <w:p w14:paraId="18119E3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дифтерія</w:t>
            </w:r>
          </w:p>
          <w:p w14:paraId="76EE79F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інфекційний мононуклеоз</w:t>
            </w:r>
          </w:p>
          <w:p w14:paraId="35C9F37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кандидози</w:t>
            </w:r>
            <w:proofErr w:type="spellEnd"/>
          </w:p>
          <w:p w14:paraId="1F8DE41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кашлюк</w:t>
            </w:r>
          </w:p>
          <w:p w14:paraId="2174014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кишкові бактеріальні інфекції</w:t>
            </w:r>
          </w:p>
          <w:p w14:paraId="7A60C53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кишкові вірусні інфекції</w:t>
            </w:r>
          </w:p>
          <w:p w14:paraId="6D7BE94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кір</w:t>
            </w:r>
          </w:p>
          <w:p w14:paraId="45B188D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кліщовий вірусний енцефаліт</w:t>
            </w:r>
          </w:p>
          <w:p w14:paraId="46DB423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краснуха</w:t>
            </w:r>
          </w:p>
          <w:p w14:paraId="64876AC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лептоспіроз</w:t>
            </w:r>
          </w:p>
          <w:p w14:paraId="3A19373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малярія</w:t>
            </w:r>
          </w:p>
          <w:p w14:paraId="7468967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менінгококова інфекція</w:t>
            </w:r>
          </w:p>
          <w:p w14:paraId="6B6150BC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мікоплазмова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інфекція</w:t>
            </w:r>
          </w:p>
          <w:p w14:paraId="0F631FB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особливо небезпечні вірусні інфекції</w:t>
            </w:r>
          </w:p>
          <w:p w14:paraId="68C4FDE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паротитна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інфекція</w:t>
            </w:r>
          </w:p>
          <w:p w14:paraId="684D973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поліомієліт</w:t>
            </w:r>
          </w:p>
          <w:p w14:paraId="03AF862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правець</w:t>
            </w:r>
          </w:p>
          <w:p w14:paraId="7FB975B4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протозойні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інфекції</w:t>
            </w:r>
          </w:p>
          <w:p w14:paraId="08E572C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рікетсиоз</w:t>
            </w:r>
            <w:proofErr w:type="spellEnd"/>
          </w:p>
          <w:p w14:paraId="6571F86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сибірка</w:t>
            </w:r>
          </w:p>
          <w:p w14:paraId="6053E17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сказ</w:t>
            </w:r>
          </w:p>
          <w:p w14:paraId="0CFD356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скарлатина</w:t>
            </w:r>
          </w:p>
          <w:p w14:paraId="68F55E9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туберкульоз різної локалізації </w:t>
            </w:r>
          </w:p>
          <w:p w14:paraId="283BBCD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хвороба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Лайма</w:t>
            </w:r>
            <w:proofErr w:type="spellEnd"/>
          </w:p>
          <w:p w14:paraId="16C7B3E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хвороба, зумовлена вірусом імунодефіциту людини (ВІЛ)</w:t>
            </w:r>
          </w:p>
          <w:p w14:paraId="064EA40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хламідійні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інфекції</w:t>
            </w:r>
          </w:p>
          <w:p w14:paraId="11F76FF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холера</w:t>
            </w:r>
          </w:p>
          <w:p w14:paraId="5C8F4540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чума</w:t>
            </w:r>
          </w:p>
          <w:p w14:paraId="7F607F03" w14:textId="77777777" w:rsidR="00A06D65" w:rsidRDefault="00AC06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інфекційні хвороби, що передаються переважно статевим шляхом:</w:t>
            </w:r>
          </w:p>
          <w:p w14:paraId="33F5A355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гонококова інфекція</w:t>
            </w:r>
          </w:p>
          <w:p w14:paraId="7187B67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сифіліс</w:t>
            </w:r>
          </w:p>
          <w:p w14:paraId="7E70C59A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XII)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ab/>
              <w:t>Хвороби жіночої репродуктивної системи</w:t>
            </w:r>
          </w:p>
          <w:p w14:paraId="4759B03D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патології вагітності:</w:t>
            </w:r>
          </w:p>
          <w:p w14:paraId="56CAE16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багатоплідна вагітність</w:t>
            </w:r>
          </w:p>
          <w:p w14:paraId="40365D6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блювання вагітних</w:t>
            </w:r>
          </w:p>
          <w:p w14:paraId="00A9ED3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вагітність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екстрагенітальній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патології</w:t>
            </w:r>
          </w:p>
          <w:p w14:paraId="11FF3F8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плоду при вагітності</w:t>
            </w:r>
          </w:p>
          <w:p w14:paraId="083546B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затримка росту плода</w:t>
            </w:r>
          </w:p>
          <w:p w14:paraId="7EE66E3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імуний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конфлікт при вагітності</w:t>
            </w:r>
          </w:p>
          <w:p w14:paraId="691F687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міхурцевий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занесок</w:t>
            </w:r>
            <w:proofErr w:type="spellEnd"/>
          </w:p>
          <w:p w14:paraId="74F6B6A7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передлежання плаценти</w:t>
            </w:r>
          </w:p>
          <w:p w14:paraId="37CA0B5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передчасне відшарування плаценти</w:t>
            </w:r>
          </w:p>
          <w:p w14:paraId="5D211CEF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передчасні пологи та переношена вагітність</w:t>
            </w:r>
          </w:p>
          <w:p w14:paraId="5A5FD5FD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позаматкова вагітність</w:t>
            </w:r>
          </w:p>
          <w:p w14:paraId="29A12A9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прееклампсія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еклампсія</w:t>
            </w:r>
          </w:p>
          <w:p w14:paraId="26EBE15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самовільний аборт</w:t>
            </w:r>
          </w:p>
          <w:p w14:paraId="42306B19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патологія пологів та післяпологового періоду:</w:t>
            </w:r>
          </w:p>
          <w:p w14:paraId="5689632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аномалії пологової діяльності</w:t>
            </w:r>
          </w:p>
          <w:p w14:paraId="6FAE2E3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аномалії тазу,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клінічно вузький таз</w:t>
            </w:r>
          </w:p>
          <w:p w14:paraId="08305D7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плоду під час пологів</w:t>
            </w:r>
          </w:p>
          <w:p w14:paraId="427E2B0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кровотеча пологова та післяпологова</w:t>
            </w:r>
          </w:p>
          <w:p w14:paraId="7D46212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неправильні положення та передлежання плода</w:t>
            </w:r>
          </w:p>
          <w:p w14:paraId="0672E56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післяпологові септичні захворювання</w:t>
            </w:r>
          </w:p>
          <w:p w14:paraId="00D79396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травми матки і пологових шляхів</w:t>
            </w:r>
          </w:p>
          <w:p w14:paraId="69459BEF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гінекологічні захворювання:</w:t>
            </w:r>
          </w:p>
          <w:p w14:paraId="2E7C13BE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аномальні маткові кровотечі</w:t>
            </w:r>
          </w:p>
          <w:p w14:paraId="690E1EE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апоплексія яєчника</w:t>
            </w:r>
          </w:p>
          <w:p w14:paraId="5DC3D383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непліддя</w:t>
            </w:r>
          </w:p>
          <w:p w14:paraId="3C963BC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вроджені вади розвитку жіночих статевих органів</w:t>
            </w:r>
          </w:p>
          <w:p w14:paraId="6A7F3BEB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доброякісна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дисплазія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молочних залоз</w:t>
            </w:r>
          </w:p>
          <w:p w14:paraId="2E2A9A4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доброякісні та передракові новоутворення жіночих статевих органів</w:t>
            </w:r>
          </w:p>
          <w:p w14:paraId="336DBC49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ендометріоз</w:t>
            </w:r>
            <w:proofErr w:type="spellEnd"/>
          </w:p>
          <w:p w14:paraId="13DD073A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запальні захворювання жіночих статевих органів</w:t>
            </w:r>
          </w:p>
          <w:p w14:paraId="216AF338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злоякісні новоутворення жіночих статевих органів</w:t>
            </w:r>
          </w:p>
          <w:p w14:paraId="1F017932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мастит</w:t>
            </w:r>
          </w:p>
          <w:p w14:paraId="16934271" w14:textId="77777777" w:rsidR="00A06D65" w:rsidRDefault="00AC06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нейроендокринні синдроми</w:t>
            </w:r>
          </w:p>
          <w:p w14:paraId="2A68A346" w14:textId="77777777" w:rsidR="00A06D65" w:rsidRDefault="00AC0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5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новоутворення молочної залози</w:t>
            </w:r>
          </w:p>
        </w:tc>
      </w:tr>
    </w:tbl>
    <w:p w14:paraId="6DDA0B9D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E66D591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109ED3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16B82C6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5314182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CABC62F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1F53C34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B182B29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2" w:name="_GoBack"/>
      <w:bookmarkEnd w:id="2"/>
    </w:p>
    <w:p w14:paraId="4778D014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94EA429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E015808" w14:textId="25A620BB" w:rsidR="00A06D65" w:rsidRDefault="00AC060D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Список 3 (невідкладні стани</w:t>
      </w:r>
      <w:r w:rsidR="00151F7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у дітей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3ECC59F5" w14:textId="77777777" w:rsidR="00E43B7B" w:rsidRDefault="00E43B7B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2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3544"/>
      </w:tblGrid>
      <w:tr w:rsidR="00A06D65" w14:paraId="4CF5128D" w14:textId="77777777">
        <w:trPr>
          <w:trHeight w:val="5513"/>
        </w:trPr>
        <w:tc>
          <w:tcPr>
            <w:tcW w:w="3510" w:type="dxa"/>
          </w:tcPr>
          <w:p w14:paraId="649AF47C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апное при кашлюку</w:t>
            </w:r>
          </w:p>
          <w:p w14:paraId="27A22120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арегенераторний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криз</w:t>
            </w:r>
          </w:p>
          <w:p w14:paraId="11DD8791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астматичний стан</w:t>
            </w:r>
          </w:p>
          <w:p w14:paraId="7AA68F54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асфіксія (у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неонатальна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2D5788F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гемолітико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-уремічний синдром</w:t>
            </w:r>
          </w:p>
          <w:p w14:paraId="327EE748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гемолітичний криз</w:t>
            </w:r>
          </w:p>
          <w:p w14:paraId="497B8D1F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гіпертензивний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криз</w:t>
            </w:r>
          </w:p>
          <w:p w14:paraId="23E1C18B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гіпертермічний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26CABED3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дихальна недостатність</w:t>
            </w:r>
          </w:p>
          <w:p w14:paraId="4B076983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затримка сечі</w:t>
            </w:r>
          </w:p>
          <w:p w14:paraId="76679DA7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гострий коронарний синдром</w:t>
            </w:r>
          </w:p>
          <w:p w14:paraId="0018126C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кровотеча</w:t>
            </w:r>
          </w:p>
          <w:p w14:paraId="36876B5D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наднирникова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недостатність </w:t>
            </w:r>
          </w:p>
          <w:p w14:paraId="042E961F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печінкова недостатність</w:t>
            </w:r>
          </w:p>
          <w:p w14:paraId="0A41E162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гостре пошкодження нирок</w:t>
            </w:r>
          </w:p>
          <w:p w14:paraId="1C700FF8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серцева недостатність</w:t>
            </w:r>
          </w:p>
        </w:tc>
        <w:tc>
          <w:tcPr>
            <w:tcW w:w="3969" w:type="dxa"/>
          </w:tcPr>
          <w:p w14:paraId="12216CBF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гостра церебральна недостатність</w:t>
            </w:r>
          </w:p>
          <w:p w14:paraId="27559216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гостре отруєння,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бойовими отруйними речовинами</w:t>
            </w:r>
          </w:p>
          <w:p w14:paraId="18D22066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гострий психоз</w:t>
            </w:r>
          </w:p>
          <w:p w14:paraId="5031AAB1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стенозуючий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ларинготрахеїт</w:t>
            </w:r>
          </w:p>
          <w:p w14:paraId="1C6E26A3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гострі анафілактичні реакції</w:t>
            </w:r>
          </w:p>
          <w:p w14:paraId="48CD08FD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гострі порушення серцевого ритму </w:t>
            </w:r>
          </w:p>
          <w:p w14:paraId="7CDEC093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гострі радіаційні та хімічні ураження,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 та при надзвичайних станах</w:t>
            </w:r>
          </w:p>
          <w:p w14:paraId="088ED279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дифтерійний круп</w:t>
            </w:r>
          </w:p>
          <w:p w14:paraId="6A2D243A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жовчна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коліка</w:t>
            </w:r>
            <w:proofErr w:type="spellEnd"/>
          </w:p>
          <w:p w14:paraId="60D3AEB8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зневоднення при гострих кишкових інфекціях</w:t>
            </w:r>
          </w:p>
          <w:p w14:paraId="33E2A708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зупинка серця </w:t>
            </w:r>
          </w:p>
          <w:p w14:paraId="192E9DBF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електротравма</w:t>
            </w:r>
          </w:p>
          <w:p w14:paraId="2C6678F0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епілептичний статус</w:t>
            </w:r>
          </w:p>
          <w:p w14:paraId="723A4CC7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інфекційно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-токсичний шок при менінгококовій інфекції</w:t>
            </w:r>
          </w:p>
          <w:p w14:paraId="41A053F9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колапс </w:t>
            </w:r>
          </w:p>
        </w:tc>
        <w:tc>
          <w:tcPr>
            <w:tcW w:w="3544" w:type="dxa"/>
          </w:tcPr>
          <w:p w14:paraId="3EC23DAA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набряк-набухання головного мозку</w:t>
            </w:r>
          </w:p>
          <w:p w14:paraId="3CC4842A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нефротичний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</w:t>
            </w:r>
          </w:p>
          <w:p w14:paraId="5A0F1E31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ниркова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коліка</w:t>
            </w:r>
            <w:proofErr w:type="spellEnd"/>
          </w:p>
          <w:p w14:paraId="11061CF7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нормальні пологи</w:t>
            </w:r>
          </w:p>
          <w:p w14:paraId="3291D712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опіки,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у польових умовах </w:t>
            </w:r>
          </w:p>
          <w:p w14:paraId="1FF48EE1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порушення свідомості та коматозні стани</w:t>
            </w:r>
          </w:p>
          <w:p w14:paraId="041A1034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проникаючі поранення,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під час бойових дій</w:t>
            </w:r>
          </w:p>
          <w:p w14:paraId="76EC52C9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синдром гострої крововтрати,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 та при надзвичайних станах</w:t>
            </w:r>
          </w:p>
          <w:p w14:paraId="6330D630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сторонні тіла дихальних шляхів, шлунково-кишкового тракту, ЛОР-органів та ока</w:t>
            </w:r>
          </w:p>
          <w:p w14:paraId="6395E24D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странгуляційна асфіксія</w:t>
            </w:r>
          </w:p>
          <w:p w14:paraId="08178F46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судомний синдром</w:t>
            </w:r>
          </w:p>
          <w:p w14:paraId="0AE0281B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теплова травма,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</w:t>
            </w:r>
          </w:p>
          <w:p w14:paraId="546F45B6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тромбоемболії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венозні та артеріальні</w:t>
            </w:r>
          </w:p>
          <w:p w14:paraId="4BD22FE8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укуси змій, комах, тварин</w:t>
            </w:r>
          </w:p>
          <w:p w14:paraId="5984BA7C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утоплення </w:t>
            </w:r>
          </w:p>
          <w:p w14:paraId="53F313C4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холодова травма,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</w:t>
            </w:r>
          </w:p>
          <w:p w14:paraId="2F4A358C" w14:textId="77777777" w:rsidR="00A06D65" w:rsidRDefault="00AC060D" w:rsidP="00E43B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шоки</w:t>
            </w:r>
          </w:p>
        </w:tc>
      </w:tr>
    </w:tbl>
    <w:p w14:paraId="70D58B21" w14:textId="77777777" w:rsidR="00A06D65" w:rsidRDefault="00A06D65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75E02" w14:textId="02333F3C" w:rsidR="00A06D65" w:rsidRDefault="00AC060D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4 (лабораторні та інструментальні дослідження)</w:t>
      </w:r>
    </w:p>
    <w:p w14:paraId="030D8524" w14:textId="77777777" w:rsidR="00320B8D" w:rsidRDefault="00320B8D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1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742"/>
      </w:tblGrid>
      <w:tr w:rsidR="00A06D65" w14:paraId="18582649" w14:textId="77777777">
        <w:tc>
          <w:tcPr>
            <w:tcW w:w="3085" w:type="dxa"/>
          </w:tcPr>
          <w:p w14:paraId="0BEE57A9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плевральної рідини</w:t>
            </w:r>
          </w:p>
          <w:p w14:paraId="51A59535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асцитичної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рідини</w:t>
            </w:r>
          </w:p>
          <w:p w14:paraId="5859EF8A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аналіз синовіальної рідини </w:t>
            </w:r>
          </w:p>
          <w:p w14:paraId="0D47607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аналіз сечі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Зимницьким</w:t>
            </w:r>
            <w:proofErr w:type="spellEnd"/>
          </w:p>
          <w:p w14:paraId="064BAAB1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сечі за Нечипоренком</w:t>
            </w:r>
          </w:p>
          <w:p w14:paraId="1FE0016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активність альфа-амілази у крові та сечі, фекальна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еластаза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A26943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протеїни крові та їх фракції, С-реактивний протеїн,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прокальцитонін</w:t>
            </w:r>
            <w:proofErr w:type="spellEnd"/>
          </w:p>
          <w:p w14:paraId="44AD2CEB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глюкоза крові,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глікозильований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гемоглобін, С-пептид</w:t>
            </w:r>
          </w:p>
          <w:p w14:paraId="42A11DB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пероральний тест толерантності до глюкози</w:t>
            </w:r>
          </w:p>
          <w:p w14:paraId="39FD05D7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ліпіди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ліпопротеїни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крові та їх фракції </w:t>
            </w:r>
          </w:p>
          <w:p w14:paraId="3AD5CA3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гормони крові</w:t>
            </w:r>
          </w:p>
          <w:p w14:paraId="36BB9A44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феритин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залізо та мідь сироватки крові</w:t>
            </w:r>
          </w:p>
          <w:p w14:paraId="5619E6F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креатинін, сечовина крові та сечі, швидкість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клубочкової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фільтрації</w:t>
            </w:r>
          </w:p>
          <w:p w14:paraId="3ABE576A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електроліти крові</w:t>
            </w:r>
          </w:p>
          <w:p w14:paraId="332C5480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амінотрансферази крові</w:t>
            </w:r>
          </w:p>
          <w:p w14:paraId="46B287EB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загальний білірубін крові та його фракції</w:t>
            </w:r>
          </w:p>
          <w:p w14:paraId="4A151EE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коагулограма</w:t>
            </w:r>
            <w:proofErr w:type="spellEnd"/>
          </w:p>
          <w:p w14:paraId="274F90A3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сечова кислота крові</w:t>
            </w:r>
          </w:p>
          <w:p w14:paraId="326C755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лужна фосфатаза крові</w:t>
            </w:r>
          </w:p>
          <w:p w14:paraId="05DE3FF5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гістоморфологічне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біоптату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лімфатичних вузлів</w:t>
            </w:r>
          </w:p>
          <w:p w14:paraId="3A485A11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гістоморфологічне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біоптату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паренхіматозних органів</w:t>
            </w:r>
          </w:p>
          <w:p w14:paraId="04B423A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гістоморфологічне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біоптату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слизових оболонок</w:t>
            </w:r>
          </w:p>
        </w:tc>
        <w:tc>
          <w:tcPr>
            <w:tcW w:w="4253" w:type="dxa"/>
          </w:tcPr>
          <w:p w14:paraId="0DC7AF15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гістоморфологічне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біоптату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м’язів та шкіри</w:t>
            </w:r>
          </w:p>
          <w:p w14:paraId="40947911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дослідження внутрішнього середовища приміщень (показників мікроклімату, природного та штучного освітлення, бактеріологічного та хімічного забруднення повітря).</w:t>
            </w:r>
          </w:p>
          <w:p w14:paraId="1AF5631C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дослідження функції зовнішнього дихання</w:t>
            </w:r>
          </w:p>
          <w:p w14:paraId="52E7EC2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стандартна ЕКГ (у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відведеннях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65BA335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ендоскопічне дослідження бронхів</w:t>
            </w:r>
          </w:p>
          <w:p w14:paraId="2490F894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ендоскопічне дослідження травного тракту</w:t>
            </w:r>
          </w:p>
          <w:p w14:paraId="689D14D0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ехокардіографія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доплерографія</w:t>
            </w:r>
            <w:proofErr w:type="spellEnd"/>
          </w:p>
          <w:p w14:paraId="6D34619A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, аналіз калу на яйця гельмінтів та цисти найпростіших</w:t>
            </w:r>
          </w:p>
          <w:p w14:paraId="0D913C5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загальний аналіз крові</w:t>
            </w:r>
          </w:p>
          <w:p w14:paraId="17C3D48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загальний аналіз сечі</w:t>
            </w:r>
          </w:p>
          <w:p w14:paraId="4EBC33FA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загальний аналіз спинномозкової рідини</w:t>
            </w:r>
          </w:p>
          <w:p w14:paraId="2522D2DE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загальний аналіз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стернального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пунктату</w:t>
            </w:r>
            <w:proofErr w:type="spellEnd"/>
          </w:p>
          <w:p w14:paraId="4400485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загальний аналіз харкотиння</w:t>
            </w:r>
          </w:p>
          <w:p w14:paraId="59E42C90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загальний імунологічний профіль крові</w:t>
            </w:r>
          </w:p>
          <w:p w14:paraId="218E6CED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серологічні реакції при інфекційних хворобах</w:t>
            </w:r>
          </w:p>
          <w:p w14:paraId="6FF5870D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експрес-тести на вірусні захворювання</w:t>
            </w:r>
          </w:p>
          <w:p w14:paraId="394AFE73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ампліфікаційні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методи при інфекційних  та генетичних хворобах (ПЛР, ЛЛР)</w:t>
            </w:r>
          </w:p>
          <w:p w14:paraId="0D105E04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серологічні реакції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аутоімунних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захворюваннях</w:t>
            </w:r>
          </w:p>
          <w:p w14:paraId="47F389EF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антитіла до цитоплазми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нейтрофілів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(АНЦА)</w:t>
            </w:r>
          </w:p>
          <w:p w14:paraId="64FF5E6E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кальпротектин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крові та калу</w:t>
            </w:r>
          </w:p>
          <w:p w14:paraId="33D67C2D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серологічні маркери целіакії</w:t>
            </w:r>
          </w:p>
          <w:p w14:paraId="4666987F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хімічні та бактеріологічні дослідження зовнішнього середовища людини (атмосферного повітря, водойм, ґрунту)</w:t>
            </w:r>
          </w:p>
        </w:tc>
        <w:tc>
          <w:tcPr>
            <w:tcW w:w="3742" w:type="dxa"/>
          </w:tcPr>
          <w:p w14:paraId="68F52B4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мікробіологічне дослідження біологічних рідин та виділень</w:t>
            </w:r>
          </w:p>
          <w:p w14:paraId="208A5F9F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вимірювання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випромінювань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(звукового, вібраційного, іонізуючого), індивідуальна радіометрія. </w:t>
            </w:r>
          </w:p>
          <w:p w14:paraId="778310E7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щитоподібної залози</w:t>
            </w:r>
          </w:p>
          <w:p w14:paraId="7A2C6C5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рентгеноконтрастна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ангіографія</w:t>
            </w:r>
          </w:p>
          <w:p w14:paraId="1544701E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органів черевної порожнини</w:t>
            </w:r>
          </w:p>
          <w:p w14:paraId="7D8DD8C8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органів грудної порожнини</w:t>
            </w:r>
          </w:p>
          <w:p w14:paraId="45C25F1A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сечостатевої системи</w:t>
            </w:r>
          </w:p>
          <w:p w14:paraId="4CC73865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плода</w:t>
            </w:r>
          </w:p>
          <w:p w14:paraId="11CB4D44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інструментальної візуалізації черепа, хребта, головного та спинного мозку, кісток та суглобів</w:t>
            </w:r>
          </w:p>
          <w:p w14:paraId="3F5FE3A0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методи інструментальної візуалізації грудної залози </w:t>
            </w:r>
          </w:p>
          <w:p w14:paraId="5CAC3442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туберкулінодіагностика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55DBE9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рН-метрія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шлунка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стравоходу</w:t>
            </w:r>
          </w:p>
          <w:p w14:paraId="08656EF1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хімічне, органолептичне, бактеріологічне дослідження продуктів харчування та питної води</w:t>
            </w:r>
          </w:p>
          <w:p w14:paraId="365DBCFD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цитологічне дослідження з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шийки матки</w:t>
            </w:r>
          </w:p>
          <w:p w14:paraId="4527FA8B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вимірювання ергономічних показників важкості та напруженості праці </w:t>
            </w:r>
          </w:p>
          <w:p w14:paraId="29C38F0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алергодіагностики</w:t>
            </w:r>
            <w:proofErr w:type="spellEnd"/>
          </w:p>
          <w:p w14:paraId="4E529B91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пілокарпіновий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тест</w:t>
            </w:r>
          </w:p>
          <w:p w14:paraId="5226E0F7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цитогенетичні методи</w:t>
            </w:r>
          </w:p>
          <w:p w14:paraId="38915506" w14:textId="77777777" w:rsidR="00A06D65" w:rsidRDefault="00AC060D" w:rsidP="00E43B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скринінгові методи дослідження</w:t>
            </w:r>
          </w:p>
          <w:p w14:paraId="3A77933C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вродженої та спадкової патології</w:t>
            </w:r>
          </w:p>
        </w:tc>
      </w:tr>
    </w:tbl>
    <w:p w14:paraId="08C18EEC" w14:textId="77777777" w:rsidR="00A06D65" w:rsidRDefault="00A06D65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94A365" w14:textId="6DFB3A48" w:rsidR="00A06D65" w:rsidRDefault="00AC060D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5 (медичні маніпуляції)</w:t>
      </w:r>
    </w:p>
    <w:p w14:paraId="59F7BE16" w14:textId="77777777" w:rsidR="00320B8D" w:rsidRDefault="00320B8D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4"/>
        <w:tblW w:w="10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3402"/>
        <w:gridCol w:w="3519"/>
      </w:tblGrid>
      <w:tr w:rsidR="00A06D65" w14:paraId="14221EBA" w14:textId="77777777">
        <w:tc>
          <w:tcPr>
            <w:tcW w:w="3936" w:type="dxa"/>
          </w:tcPr>
          <w:p w14:paraId="554CFAE2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виконувати непрямий масаж серця</w:t>
            </w:r>
          </w:p>
          <w:p w14:paraId="05419BDA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виконувати штучне дихання</w:t>
            </w:r>
          </w:p>
          <w:p w14:paraId="4104B550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проводити дефібриляцію за допомогою ручного автоматичного дефібрилятора-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кардіовертера</w:t>
            </w:r>
            <w:proofErr w:type="spellEnd"/>
          </w:p>
          <w:p w14:paraId="6CACA3F6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проводити реєстрацію стандартної ЕКГ в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відведеннях</w:t>
            </w:r>
            <w:proofErr w:type="spellEnd"/>
          </w:p>
          <w:p w14:paraId="361B15C5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здійснювати тимчасову зупинку зовнішньої кровотечі </w:t>
            </w:r>
          </w:p>
          <w:p w14:paraId="481EF4B7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здійснювати первинну хірургічну обробку рани, перев'язку, зняття шкірних швів,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</w:t>
            </w:r>
          </w:p>
          <w:p w14:paraId="669EFBA0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накладати кровоспинні турнікети і використовувати кровоспинні засоби,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</w:t>
            </w:r>
          </w:p>
          <w:p w14:paraId="7C281F95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встановлювати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назогастральний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орогастральний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зонд</w:t>
            </w:r>
          </w:p>
          <w:p w14:paraId="2A509E00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проводити транспортну іммобілізацію</w:t>
            </w:r>
          </w:p>
          <w:p w14:paraId="71CA3E0A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проводити введення лікарських речовин (внутрішньовенне струминне та крапельне,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внутрішньокісткове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постановка внутрішньовенного шприцевого насосу,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у польових умовах</w:t>
            </w:r>
          </w:p>
          <w:p w14:paraId="76BAEFE1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забезпечувати периферичний венозний доступ</w:t>
            </w:r>
          </w:p>
          <w:p w14:paraId="7C917A74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вимірювати артеріальний тиск </w:t>
            </w:r>
          </w:p>
        </w:tc>
        <w:tc>
          <w:tcPr>
            <w:tcW w:w="3402" w:type="dxa"/>
          </w:tcPr>
          <w:p w14:paraId="7413ADBF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92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відновлювати прохідність дихальних шляхів</w:t>
            </w:r>
          </w:p>
          <w:p w14:paraId="31FD7119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проводити катетеризацію сечового міхура м’яким зондом</w:t>
            </w:r>
          </w:p>
          <w:p w14:paraId="62E89788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проводити тампонаду носа</w:t>
            </w:r>
          </w:p>
          <w:p w14:paraId="100A393D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виконувати техніку контакту новонародженого «шкіра до шкіри» і раннього прикладання до грудей </w:t>
            </w:r>
          </w:p>
          <w:p w14:paraId="7342A429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здійснювати клінічне обстеження молочних залоз</w:t>
            </w:r>
          </w:p>
          <w:p w14:paraId="5EA0B247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виконувати плевральну пункцію</w:t>
            </w:r>
          </w:p>
          <w:p w14:paraId="55E43186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визначати групи крові, резус-належність </w:t>
            </w:r>
          </w:p>
          <w:p w14:paraId="2E4CB274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переливати компоненти крові й кровозамінники</w:t>
            </w:r>
          </w:p>
          <w:p w14:paraId="4F66DEA3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виконувати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бімануальне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дослідження та обстеження жінки в дзеркалах</w:t>
            </w:r>
          </w:p>
          <w:p w14:paraId="3877EC88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проводити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пельвіометрію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6BB9E4A9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здійснювати зовнішнє (прийоми Леопольда) та внутрішнє акушерське дослідження;</w:t>
            </w:r>
          </w:p>
          <w:p w14:paraId="55861DA1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здійснювати аускультацію плода</w:t>
            </w:r>
          </w:p>
        </w:tc>
        <w:tc>
          <w:tcPr>
            <w:tcW w:w="3519" w:type="dxa"/>
          </w:tcPr>
          <w:p w14:paraId="152B9B9B" w14:textId="77777777" w:rsidR="00A06D65" w:rsidRDefault="00AC060D" w:rsidP="00E43B7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проводити забір мазків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бактеріоскопічне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бактеріологічне, цитологічне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дослідженння</w:t>
            </w:r>
            <w:proofErr w:type="spellEnd"/>
          </w:p>
          <w:p w14:paraId="44FD5549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29. проводити промивання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шлунка</w:t>
            </w:r>
            <w:proofErr w:type="spellEnd"/>
          </w:p>
          <w:p w14:paraId="45BDB267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 проводити промивання кишечника. </w:t>
            </w:r>
          </w:p>
          <w:p w14:paraId="1971EDF1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3" w:name="_30j0zll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 використовувати шкали оцінки розвитку дітей різного віку здорових та з хронічними захворюваннями.</w:t>
            </w:r>
          </w:p>
          <w:p w14:paraId="42C1E5D5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 оцінювати рівень болю у дітей за допомогою шкали болю.</w:t>
            </w:r>
          </w:p>
          <w:p w14:paraId="239AE776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 використовувати техніку знеболення, у тому числі методику підшкірного введення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опіоїдів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у дітей з больовим синдромом.</w:t>
            </w:r>
          </w:p>
          <w:p w14:paraId="08AE4D7F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34. проводити постановку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трахеостоми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догляд за нею</w:t>
            </w:r>
          </w:p>
          <w:p w14:paraId="21DFBA62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35. проводити постановку через шкірної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гастростоми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догляд за нею</w:t>
            </w:r>
          </w:p>
          <w:p w14:paraId="1EFE12C0" w14:textId="77777777" w:rsidR="00A06D65" w:rsidRDefault="00AC060D" w:rsidP="00E4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36. лікування пролежнів в залежності від стадії у дітей з невиліковними хворобами. </w:t>
            </w:r>
          </w:p>
        </w:tc>
      </w:tr>
    </w:tbl>
    <w:p w14:paraId="7C018A47" w14:textId="30879134" w:rsidR="00A06D65" w:rsidRDefault="00A06D65" w:rsidP="00E43B7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6D65">
      <w:headerReference w:type="even" r:id="rId30"/>
      <w:headerReference w:type="default" r:id="rId31"/>
      <w:footerReference w:type="default" r:id="rId32"/>
      <w:pgSz w:w="11906" w:h="16838"/>
      <w:pgMar w:top="426" w:right="424" w:bottom="142" w:left="709" w:header="0" w:footer="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7A55" w14:textId="77777777" w:rsidR="00EA1F8E" w:rsidRDefault="00EA1F8E">
      <w:r>
        <w:separator/>
      </w:r>
    </w:p>
  </w:endnote>
  <w:endnote w:type="continuationSeparator" w:id="0">
    <w:p w14:paraId="782722A1" w14:textId="77777777" w:rsidR="00EA1F8E" w:rsidRDefault="00E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6C53" w14:textId="77777777" w:rsidR="00794B51" w:rsidRDefault="00794B5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B33A" w14:textId="77777777" w:rsidR="00EA1F8E" w:rsidRDefault="00EA1F8E">
      <w:r>
        <w:separator/>
      </w:r>
    </w:p>
  </w:footnote>
  <w:footnote w:type="continuationSeparator" w:id="0">
    <w:p w14:paraId="66ED40E8" w14:textId="77777777" w:rsidR="00EA1F8E" w:rsidRDefault="00E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77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D03104" w14:textId="1137A8EC" w:rsidR="00794B51" w:rsidRPr="00830BB2" w:rsidRDefault="00794B51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B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0B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0B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D91" w:rsidRPr="00967D9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19</w:t>
        </w:r>
        <w:r w:rsidRPr="00830B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D274" w14:textId="77777777" w:rsidR="00794B51" w:rsidRDefault="00794B5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</w:p>
  <w:p w14:paraId="74F18A19" w14:textId="77777777" w:rsidR="00794B51" w:rsidRDefault="00794B51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ГСВО______</w:t>
    </w:r>
    <w:r>
      <w:rPr>
        <w:color w:val="000000"/>
        <w:sz w:val="28"/>
        <w:szCs w:val="28"/>
      </w:rPr>
      <w:t>_______</w:t>
    </w:r>
  </w:p>
  <w:p w14:paraId="714BD8BD" w14:textId="77777777" w:rsidR="00794B51" w:rsidRDefault="00794B51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0C9A" w14:textId="77777777" w:rsidR="00794B51" w:rsidRDefault="00794B5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7D0"/>
    <w:multiLevelType w:val="hybridMultilevel"/>
    <w:tmpl w:val="6060B382"/>
    <w:lvl w:ilvl="0" w:tplc="19D0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D60"/>
    <w:multiLevelType w:val="multilevel"/>
    <w:tmpl w:val="FD6483F8"/>
    <w:lvl w:ilvl="0">
      <w:start w:val="1"/>
      <w:numFmt w:val="bullet"/>
      <w:lvlText w:val="⚫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7C4636"/>
    <w:multiLevelType w:val="multilevel"/>
    <w:tmpl w:val="97CCE642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904FE1"/>
    <w:multiLevelType w:val="hybridMultilevel"/>
    <w:tmpl w:val="9AB81CBA"/>
    <w:lvl w:ilvl="0" w:tplc="7640EC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B01B3C"/>
    <w:multiLevelType w:val="hybridMultilevel"/>
    <w:tmpl w:val="07C0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D307A"/>
    <w:multiLevelType w:val="multilevel"/>
    <w:tmpl w:val="C4A80E7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174D80"/>
    <w:multiLevelType w:val="multilevel"/>
    <w:tmpl w:val="D0BA2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7" w15:restartNumberingAfterBreak="0">
    <w:nsid w:val="1B1C3A24"/>
    <w:multiLevelType w:val="multilevel"/>
    <w:tmpl w:val="8E0A789E"/>
    <w:lvl w:ilvl="0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DCC504D"/>
    <w:multiLevelType w:val="multilevel"/>
    <w:tmpl w:val="DD606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53E6ABD"/>
    <w:multiLevelType w:val="hybridMultilevel"/>
    <w:tmpl w:val="4882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6CE7"/>
    <w:multiLevelType w:val="multilevel"/>
    <w:tmpl w:val="71BE0DAE"/>
    <w:lvl w:ilvl="0">
      <w:start w:val="1"/>
      <w:numFmt w:val="decimal"/>
      <w:lvlText w:val="%1."/>
      <w:lvlJc w:val="left"/>
      <w:pPr>
        <w:ind w:left="3762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44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3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0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22" w:hanging="180"/>
      </w:pPr>
      <w:rPr>
        <w:vertAlign w:val="baseline"/>
      </w:rPr>
    </w:lvl>
  </w:abstractNum>
  <w:abstractNum w:abstractNumId="11" w15:restartNumberingAfterBreak="0">
    <w:nsid w:val="313D368B"/>
    <w:multiLevelType w:val="multilevel"/>
    <w:tmpl w:val="EA6CB35E"/>
    <w:lvl w:ilvl="0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AB4B88"/>
    <w:multiLevelType w:val="hybridMultilevel"/>
    <w:tmpl w:val="A76A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0AED"/>
    <w:multiLevelType w:val="hybridMultilevel"/>
    <w:tmpl w:val="4CC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6C64"/>
    <w:multiLevelType w:val="multilevel"/>
    <w:tmpl w:val="FB5470A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F4E3AA3"/>
    <w:multiLevelType w:val="multilevel"/>
    <w:tmpl w:val="9B9EA8CC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3005F54"/>
    <w:multiLevelType w:val="multilevel"/>
    <w:tmpl w:val="DD2EDD9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D317D54"/>
    <w:multiLevelType w:val="hybridMultilevel"/>
    <w:tmpl w:val="A01A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756E"/>
    <w:multiLevelType w:val="multilevel"/>
    <w:tmpl w:val="ADD428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4611946"/>
    <w:multiLevelType w:val="multilevel"/>
    <w:tmpl w:val="B52011C0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5CB72E7"/>
    <w:multiLevelType w:val="hybridMultilevel"/>
    <w:tmpl w:val="2A08C522"/>
    <w:lvl w:ilvl="0" w:tplc="9E801F5A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17C33"/>
    <w:multiLevelType w:val="hybridMultilevel"/>
    <w:tmpl w:val="289C4DC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75C60140"/>
    <w:multiLevelType w:val="multilevel"/>
    <w:tmpl w:val="69A0883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23" w15:restartNumberingAfterBreak="0">
    <w:nsid w:val="78BB60E2"/>
    <w:multiLevelType w:val="multilevel"/>
    <w:tmpl w:val="246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053FE"/>
    <w:multiLevelType w:val="multilevel"/>
    <w:tmpl w:val="D366A0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D686076"/>
    <w:multiLevelType w:val="hybridMultilevel"/>
    <w:tmpl w:val="4D648152"/>
    <w:lvl w:ilvl="0" w:tplc="874868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5D10"/>
    <w:multiLevelType w:val="multilevel"/>
    <w:tmpl w:val="09B601C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8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24"/>
  </w:num>
  <w:num w:numId="10">
    <w:abstractNumId w:val="26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12"/>
  </w:num>
  <w:num w:numId="18">
    <w:abstractNumId w:val="9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17"/>
  </w:num>
  <w:num w:numId="24">
    <w:abstractNumId w:val="0"/>
  </w:num>
  <w:num w:numId="25">
    <w:abstractNumId w:val="2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5"/>
    <w:rsid w:val="00005EF0"/>
    <w:rsid w:val="00035E35"/>
    <w:rsid w:val="00053EAC"/>
    <w:rsid w:val="00082693"/>
    <w:rsid w:val="000D6309"/>
    <w:rsid w:val="001143BC"/>
    <w:rsid w:val="00114DEA"/>
    <w:rsid w:val="00151F7B"/>
    <w:rsid w:val="001A3A69"/>
    <w:rsid w:val="001B7B2D"/>
    <w:rsid w:val="001F0F90"/>
    <w:rsid w:val="001F5FB0"/>
    <w:rsid w:val="002004F1"/>
    <w:rsid w:val="00203EA2"/>
    <w:rsid w:val="00223940"/>
    <w:rsid w:val="00252C24"/>
    <w:rsid w:val="00276695"/>
    <w:rsid w:val="002C4219"/>
    <w:rsid w:val="002D17EC"/>
    <w:rsid w:val="002D7BA6"/>
    <w:rsid w:val="002F6871"/>
    <w:rsid w:val="00320B8D"/>
    <w:rsid w:val="003815E6"/>
    <w:rsid w:val="0038557E"/>
    <w:rsid w:val="003977BC"/>
    <w:rsid w:val="003A14CE"/>
    <w:rsid w:val="003B4820"/>
    <w:rsid w:val="003D3D9D"/>
    <w:rsid w:val="003D4E41"/>
    <w:rsid w:val="00401A30"/>
    <w:rsid w:val="0053036B"/>
    <w:rsid w:val="00536E49"/>
    <w:rsid w:val="005556EC"/>
    <w:rsid w:val="0059236E"/>
    <w:rsid w:val="00594375"/>
    <w:rsid w:val="0059444F"/>
    <w:rsid w:val="005A0094"/>
    <w:rsid w:val="005F3091"/>
    <w:rsid w:val="0061771D"/>
    <w:rsid w:val="0063670E"/>
    <w:rsid w:val="00671C68"/>
    <w:rsid w:val="0069241C"/>
    <w:rsid w:val="00710BDC"/>
    <w:rsid w:val="007359C7"/>
    <w:rsid w:val="007715EE"/>
    <w:rsid w:val="0079247D"/>
    <w:rsid w:val="00794B51"/>
    <w:rsid w:val="007D7C7B"/>
    <w:rsid w:val="00821FC0"/>
    <w:rsid w:val="00826658"/>
    <w:rsid w:val="00830BB2"/>
    <w:rsid w:val="00865EBB"/>
    <w:rsid w:val="008775B0"/>
    <w:rsid w:val="008A3F3F"/>
    <w:rsid w:val="008C05F3"/>
    <w:rsid w:val="008D5596"/>
    <w:rsid w:val="00920074"/>
    <w:rsid w:val="00940998"/>
    <w:rsid w:val="00967D91"/>
    <w:rsid w:val="00973CCE"/>
    <w:rsid w:val="009B4B48"/>
    <w:rsid w:val="00A06D65"/>
    <w:rsid w:val="00A168F5"/>
    <w:rsid w:val="00A47189"/>
    <w:rsid w:val="00A50F04"/>
    <w:rsid w:val="00AC060D"/>
    <w:rsid w:val="00B239D6"/>
    <w:rsid w:val="00B552D5"/>
    <w:rsid w:val="00B921A3"/>
    <w:rsid w:val="00BD3B0A"/>
    <w:rsid w:val="00C60159"/>
    <w:rsid w:val="00C624DB"/>
    <w:rsid w:val="00C96275"/>
    <w:rsid w:val="00C9652B"/>
    <w:rsid w:val="00CA22C8"/>
    <w:rsid w:val="00CB2E8C"/>
    <w:rsid w:val="00CF4B1D"/>
    <w:rsid w:val="00D05F8E"/>
    <w:rsid w:val="00D725CA"/>
    <w:rsid w:val="00D7400E"/>
    <w:rsid w:val="00D75853"/>
    <w:rsid w:val="00D82339"/>
    <w:rsid w:val="00DB61EA"/>
    <w:rsid w:val="00DF2172"/>
    <w:rsid w:val="00E00E8E"/>
    <w:rsid w:val="00E43B7B"/>
    <w:rsid w:val="00E50268"/>
    <w:rsid w:val="00E6172C"/>
    <w:rsid w:val="00E8485F"/>
    <w:rsid w:val="00E95745"/>
    <w:rsid w:val="00EA1F8E"/>
    <w:rsid w:val="00EF3C05"/>
    <w:rsid w:val="00F22F1A"/>
    <w:rsid w:val="00F42FF5"/>
    <w:rsid w:val="00F73C1A"/>
    <w:rsid w:val="00FA2DEA"/>
    <w:rsid w:val="00FB5425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354"/>
  <w15:docId w15:val="{61833995-D557-4D3D-9E39-57E50FE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</w:style>
  <w:style w:type="character" w:customStyle="1" w:styleId="af6">
    <w:name w:val="Текст примітки Знак"/>
    <w:basedOn w:val="a0"/>
    <w:link w:val="af5"/>
    <w:uiPriority w:val="99"/>
    <w:semiHidden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C060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AC060D"/>
    <w:rPr>
      <w:rFonts w:ascii="Segoe UI" w:hAnsi="Segoe UI" w:cs="Segoe UI"/>
      <w:sz w:val="18"/>
      <w:szCs w:val="18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1A3A69"/>
    <w:rPr>
      <w:b/>
      <w:bCs/>
    </w:rPr>
  </w:style>
  <w:style w:type="character" w:customStyle="1" w:styleId="afb">
    <w:name w:val="Тема примітки Знак"/>
    <w:basedOn w:val="af6"/>
    <w:link w:val="afa"/>
    <w:uiPriority w:val="99"/>
    <w:semiHidden/>
    <w:rsid w:val="001A3A69"/>
    <w:rPr>
      <w:b/>
      <w:bCs/>
    </w:rPr>
  </w:style>
  <w:style w:type="paragraph" w:styleId="afc">
    <w:name w:val="header"/>
    <w:basedOn w:val="a"/>
    <w:link w:val="afd"/>
    <w:uiPriority w:val="99"/>
    <w:unhideWhenUsed/>
    <w:rsid w:val="00320B8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320B8D"/>
  </w:style>
  <w:style w:type="paragraph" w:styleId="afe">
    <w:name w:val="footer"/>
    <w:basedOn w:val="a"/>
    <w:link w:val="aff"/>
    <w:uiPriority w:val="99"/>
    <w:unhideWhenUsed/>
    <w:rsid w:val="00320B8D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320B8D"/>
  </w:style>
  <w:style w:type="paragraph" w:styleId="aff0">
    <w:name w:val="Body Text"/>
    <w:basedOn w:val="a"/>
    <w:link w:val="aff1"/>
    <w:uiPriority w:val="1"/>
    <w:qFormat/>
    <w:rsid w:val="00B239D6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ff1">
    <w:name w:val="Основний текст Знак"/>
    <w:basedOn w:val="a0"/>
    <w:link w:val="aff0"/>
    <w:uiPriority w:val="1"/>
    <w:rsid w:val="00B239D6"/>
    <w:rPr>
      <w:rFonts w:ascii="Arial" w:eastAsia="Arial" w:hAnsi="Arial" w:cs="Arial"/>
      <w:sz w:val="24"/>
      <w:szCs w:val="24"/>
      <w:lang w:val="en-US" w:eastAsia="en-US"/>
    </w:rPr>
  </w:style>
  <w:style w:type="paragraph" w:styleId="aff2">
    <w:name w:val="List Paragraph"/>
    <w:basedOn w:val="a"/>
    <w:uiPriority w:val="34"/>
    <w:qFormat/>
    <w:rsid w:val="00D75853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A168F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099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71C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5-2019-%D1%80" TargetMode="External"/><Relationship Id="rId18" Type="http://schemas.openxmlformats.org/officeDocument/2006/relationships/hyperlink" Target="https://ihed.org.ua/wp-content/uploads/2018/10/04_2016_ESG_2015.pdf" TargetMode="External"/><Relationship Id="rId26" Type="http://schemas.openxmlformats.org/officeDocument/2006/relationships/hyperlink" Target="http://guidelines.moz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hea.info/Upload/TPG_A_QF_RO_MK_1_EQF_Brochur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zakon.rada.gov.ua/laws/show/1337-2020-%D0%BF" TargetMode="External"/><Relationship Id="rId17" Type="http://schemas.openxmlformats.org/officeDocument/2006/relationships/hyperlink" Target="https://moz.gov.ua/article/ministry-mandates/nakaz-moz-ukraini-vid-11052024--820-pro-vnesennja-zmin-do-nakazu-ministerstva-ohoroni-zdorov%e2%80%99ja-ukraini-vid-06-travnja-2024-roku--788" TargetMode="External"/><Relationship Id="rId25" Type="http://schemas.openxmlformats.org/officeDocument/2006/relationships/hyperlink" Target="URL:%20https://euract.woncaeurope.org/resourc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z.gov.ua/article/ministry-mandates/nakaz-moz-ukraini-vid-11052024--820-pro-vnesennja-zmin-do-nakazu-ministerstva-ohoroni-zdorov%e2%80%99ja-ukraini-vid-06-travnja-2024-roku--788" TargetMode="External"/><Relationship Id="rId20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ru/266-2015-%D0%BF" TargetMode="External"/><Relationship Id="rId24" Type="http://schemas.openxmlformats.org/officeDocument/2006/relationships/hyperlink" Target="http://www.euract.eu/specialist&#8211;training/malta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oz.gov.ua/article/ministry-mandates/nakaz-moz-ukraini-vid-06052024--788-pro-vnesennja-zmin-do-dejakih-normativno-pravovih-aktiv-ministerstva-ohoroni-zdorov%e2%80%99ja-ukraini" TargetMode="External"/><Relationship Id="rId23" Type="http://schemas.openxmlformats.org/officeDocument/2006/relationships/hyperlink" Target="https://www.unideusto.org/tuningeu/competences.html" TargetMode="External"/><Relationship Id="rId28" Type="http://schemas.openxmlformats.org/officeDocument/2006/relationships/hyperlink" Target="http://www.uapravo.net/akty/postanowyosnovni/akt5dprf9d.htm" TargetMode="External"/><Relationship Id="rId10" Type="http://schemas.openxmlformats.org/officeDocument/2006/relationships/hyperlink" Target="https://zakon.rada.gov.ua/laws/show/1341-2011-%D0%BF" TargetMode="External"/><Relationship Id="rId19" Type="http://schemas.openxmlformats.org/officeDocument/2006/relationships/hyperlink" Target="http://uis.unesco.org/sites/default/files/documents/international-standard-classification-of-education-isced-2011-en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81-17" TargetMode="External"/><Relationship Id="rId14" Type="http://schemas.openxmlformats.org/officeDocument/2006/relationships/hyperlink" Target="https://zakon.rada.gov.ua/laws/show/z0893-02" TargetMode="External"/><Relationship Id="rId22" Type="http://schemas.openxmlformats.org/officeDocument/2006/relationships/hyperlink" Target="http://www.ehea.info/Upload/document/ministerial_declarations/EHEAParis2018_Communique_AppendixIII_952778.pdf" TargetMode="External"/><Relationship Id="rId27" Type="http://schemas.openxmlformats.org/officeDocument/2006/relationships/hyperlink" Target="URL:%20http://moz.gov.ua/article/protocols/test3" TargetMode="External"/><Relationship Id="rId30" Type="http://schemas.openxmlformats.org/officeDocument/2006/relationships/header" Target="header2.xml"/><Relationship Id="rId8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34016</Words>
  <Characters>19390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Выговская</dc:creator>
  <cp:lastModifiedBy>Дідусенко Світлана Іванівна</cp:lastModifiedBy>
  <cp:revision>4</cp:revision>
  <cp:lastPrinted>2024-05-27T09:49:00Z</cp:lastPrinted>
  <dcterms:created xsi:type="dcterms:W3CDTF">2024-05-30T10:31:00Z</dcterms:created>
  <dcterms:modified xsi:type="dcterms:W3CDTF">2024-05-30T10:36:00Z</dcterms:modified>
</cp:coreProperties>
</file>