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tabs>
          <w:tab w:val="left" w:pos="6380"/>
        </w:tabs>
        <w:kinsoku/>
        <w:wordWrap/>
        <w:overflowPunct/>
        <w:topLinePunct w:val="0"/>
        <w:autoSpaceDE/>
        <w:autoSpaceDN/>
        <w:bidi w:val="0"/>
        <w:adjustRightInd/>
        <w:snapToGrid/>
        <w:spacing w:after="0" w:line="240" w:lineRule="auto"/>
        <w:ind w:left="0" w:leftChars="0" w:right="0" w:firstLine="6603" w:firstLineChars="2357"/>
        <w:jc w:val="both"/>
        <w:textAlignment w:val="auto"/>
        <w:rPr>
          <w:rFonts w:hint="default" w:ascii="Times New Roman" w:hAnsi="Times New Roman" w:eastAsia="Times New Roman" w:cs="Times New Roman"/>
          <w:b/>
          <w:sz w:val="28"/>
          <w:szCs w:val="28"/>
        </w:rPr>
      </w:pPr>
      <w:r>
        <w:rPr>
          <w:rFonts w:hint="default" w:ascii="Times New Roman" w:hAnsi="Times New Roman" w:eastAsia="Times New Roman" w:cs="Times New Roman"/>
          <w:b/>
          <w:sz w:val="28"/>
          <w:szCs w:val="28"/>
        </w:rPr>
        <w:t>ЗАТВЕРДЖЕНО</w:t>
      </w:r>
    </w:p>
    <w:p>
      <w:pPr>
        <w:shd w:val="clear" w:color="auto" w:fill="FFFFFF"/>
        <w:tabs>
          <w:tab w:val="left" w:pos="6380"/>
        </w:tabs>
        <w:kinsoku/>
        <w:wordWrap/>
        <w:overflowPunct/>
        <w:topLinePunct w:val="0"/>
        <w:autoSpaceDE/>
        <w:autoSpaceDN/>
        <w:bidi w:val="0"/>
        <w:adjustRightInd/>
        <w:snapToGrid/>
        <w:spacing w:after="0" w:line="240" w:lineRule="auto"/>
        <w:ind w:left="0" w:leftChars="0" w:right="0" w:firstLine="6599" w:firstLineChars="23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lang w:val="uk-UA"/>
        </w:rPr>
        <w:t xml:space="preserve">Наказ </w:t>
      </w:r>
      <w:r>
        <w:rPr>
          <w:rFonts w:hint="default" w:ascii="Times New Roman" w:hAnsi="Times New Roman" w:eastAsia="Times New Roman" w:cs="Times New Roman"/>
          <w:sz w:val="28"/>
          <w:szCs w:val="28"/>
        </w:rPr>
        <w:t>Мініст</w:t>
      </w:r>
      <w:r>
        <w:rPr>
          <w:rFonts w:hint="default" w:ascii="Times New Roman" w:hAnsi="Times New Roman" w:eastAsia="Times New Roman" w:cs="Times New Roman"/>
          <w:sz w:val="28"/>
          <w:szCs w:val="28"/>
          <w:lang w:val="uk-UA"/>
        </w:rPr>
        <w:t>ерства</w:t>
      </w:r>
      <w:bookmarkStart w:id="17" w:name="_GoBack"/>
      <w:bookmarkEnd w:id="17"/>
      <w:r>
        <w:rPr>
          <w:rFonts w:hint="default" w:ascii="Times New Roman" w:hAnsi="Times New Roman" w:eastAsia="Times New Roman" w:cs="Times New Roman"/>
          <w:sz w:val="28"/>
          <w:szCs w:val="28"/>
          <w:lang w:val="uk-UA"/>
        </w:rPr>
        <w:t xml:space="preserve"> </w:t>
      </w:r>
      <w:r>
        <w:rPr>
          <w:rFonts w:hint="default" w:ascii="Times New Roman" w:hAnsi="Times New Roman" w:eastAsia="Times New Roman" w:cs="Times New Roman"/>
          <w:sz w:val="28"/>
          <w:szCs w:val="28"/>
        </w:rPr>
        <w:t xml:space="preserve">освіти і </w:t>
      </w:r>
    </w:p>
    <w:p>
      <w:pPr>
        <w:shd w:val="clear" w:color="auto" w:fill="FFFFFF"/>
        <w:tabs>
          <w:tab w:val="left" w:pos="6380"/>
        </w:tabs>
        <w:kinsoku/>
        <w:wordWrap/>
        <w:overflowPunct/>
        <w:topLinePunct w:val="0"/>
        <w:autoSpaceDE/>
        <w:autoSpaceDN/>
        <w:bidi w:val="0"/>
        <w:adjustRightInd/>
        <w:snapToGrid/>
        <w:spacing w:after="0" w:line="240" w:lineRule="auto"/>
        <w:ind w:left="0" w:leftChars="0" w:right="0" w:firstLine="6599" w:firstLineChars="23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науки України</w:t>
      </w:r>
    </w:p>
    <w:p>
      <w:pPr>
        <w:tabs>
          <w:tab w:val="left" w:pos="6380"/>
        </w:tabs>
        <w:kinsoku/>
        <w:wordWrap/>
        <w:overflowPunct/>
        <w:topLinePunct w:val="0"/>
        <w:autoSpaceDE/>
        <w:autoSpaceDN/>
        <w:bidi w:val="0"/>
        <w:adjustRightInd/>
        <w:snapToGrid/>
        <w:spacing w:after="0" w:line="240" w:lineRule="auto"/>
        <w:ind w:left="0" w:leftChars="0" w:right="0" w:firstLine="6599" w:firstLineChars="2357"/>
        <w:jc w:val="both"/>
        <w:textAlignment w:val="auto"/>
        <w:rPr>
          <w:rFonts w:ascii="Times New Roman" w:hAnsi="Times New Roman" w:eastAsia="Times New Roman" w:cs="Times New Roman"/>
          <w:b/>
          <w:sz w:val="28"/>
          <w:szCs w:val="28"/>
        </w:rPr>
      </w:pPr>
      <w:r>
        <w:rPr>
          <w:rFonts w:hint="default" w:ascii="Times New Roman" w:hAnsi="Times New Roman" w:eastAsia="Times New Roman" w:cs="Times New Roman"/>
          <w:sz w:val="28"/>
          <w:szCs w:val="28"/>
        </w:rPr>
        <w:t>____________20</w:t>
      </w:r>
      <w:r>
        <w:rPr>
          <w:rFonts w:hint="default" w:ascii="Times New Roman" w:hAnsi="Times New Roman" w:eastAsia="Times New Roman" w:cs="Times New Roman"/>
          <w:sz w:val="28"/>
          <w:szCs w:val="28"/>
          <w:lang w:val="uk-UA"/>
        </w:rPr>
        <w:t>24 № ____</w:t>
      </w: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СТАНДАРТ ВИЩОЇ ОСВІТИ </w:t>
      </w: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tabs>
          <w:tab w:val="left" w:pos="7371"/>
        </w:tabs>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8"/>
          <w:szCs w:val="28"/>
          <w:u w:val="single"/>
        </w:rPr>
      </w:pPr>
    </w:p>
    <w:p>
      <w:pPr>
        <w:shd w:val="clear" w:color="auto" w:fill="FFFFFF"/>
        <w:tabs>
          <w:tab w:val="left" w:pos="541"/>
        </w:tabs>
        <w:kinsoku/>
        <w:wordWrap/>
        <w:overflowPunct/>
        <w:topLinePunct w:val="0"/>
        <w:autoSpaceDE/>
        <w:autoSpaceDN/>
        <w:bidi w:val="0"/>
        <w:adjustRightInd/>
        <w:snapToGrid/>
        <w:spacing w:after="0" w:line="240" w:lineRule="auto"/>
        <w:ind w:left="0" w:leftChars="0" w:right="0" w:firstLine="661"/>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b/>
          <w:color w:val="000000"/>
          <w:sz w:val="28"/>
          <w:szCs w:val="28"/>
        </w:rPr>
        <w:t>РІВЕНЬ ВИЩОЇ ОСВІТИ</w:t>
      </w:r>
      <w:r>
        <w:rPr>
          <w:rFonts w:ascii="Times New Roman" w:hAnsi="Times New Roman" w:eastAsia="Times New Roman" w:cs="Times New Roman"/>
          <w:color w:val="000000"/>
          <w:sz w:val="28"/>
          <w:szCs w:val="28"/>
        </w:rPr>
        <w:tab/>
      </w:r>
      <w:r>
        <w:rPr>
          <w:rFonts w:hint="default" w:ascii="Times New Roman" w:hAnsi="Times New Roman" w:eastAsia="Times New Roman" w:cs="Times New Roman"/>
          <w:color w:val="000000"/>
          <w:sz w:val="28"/>
          <w:szCs w:val="28"/>
          <w:lang w:val="uk-UA"/>
        </w:rPr>
        <w:tab/>
      </w:r>
      <w:r>
        <w:rPr>
          <w:rFonts w:hint="default" w:ascii="Times New Roman" w:hAnsi="Times New Roman" w:eastAsia="Times New Roman" w:cs="Times New Roman"/>
          <w:color w:val="000000"/>
          <w:sz w:val="28"/>
          <w:szCs w:val="28"/>
          <w:lang w:val="uk-UA"/>
        </w:rPr>
        <w:tab/>
      </w:r>
      <w:r>
        <w:rPr>
          <w:rFonts w:ascii="Times New Roman" w:hAnsi="Times New Roman" w:eastAsia="Times New Roman" w:cs="Times New Roman"/>
          <w:color w:val="000000"/>
          <w:sz w:val="28"/>
          <w:szCs w:val="28"/>
          <w:u w:val="single"/>
        </w:rPr>
        <w:t>Другий (магістерський) рівень</w:t>
      </w:r>
    </w:p>
    <w:p>
      <w:pPr>
        <w:kinsoku/>
        <w:wordWrap/>
        <w:overflowPunct/>
        <w:topLinePunct w:val="0"/>
        <w:autoSpaceDE/>
        <w:autoSpaceDN/>
        <w:bidi w:val="0"/>
        <w:adjustRightInd/>
        <w:snapToGrid/>
        <w:spacing w:after="0" w:line="240" w:lineRule="auto"/>
        <w:ind w:left="0" w:leftChars="0" w:right="0" w:firstLine="658"/>
        <w:jc w:val="center"/>
        <w:textAlignment w:val="auto"/>
        <w:rPr>
          <w:rFonts w:ascii="Times New Roman" w:hAnsi="Times New Roman" w:eastAsia="Times New Roman" w:cs="Times New Roman"/>
          <w:b/>
          <w:sz w:val="28"/>
          <w:szCs w:val="28"/>
        </w:rPr>
      </w:pPr>
      <w:r>
        <w:rPr>
          <w:rFonts w:hint="default" w:ascii="Times New Roman" w:hAnsi="Times New Roman" w:eastAsia="Times New Roman" w:cs="Times New Roman"/>
          <w:sz w:val="28"/>
          <w:szCs w:val="28"/>
          <w:vertAlign w:val="superscript"/>
          <w:lang w:val="uk-UA"/>
        </w:rPr>
        <w:t xml:space="preserve">                                                                                                          </w:t>
      </w:r>
      <w:r>
        <w:rPr>
          <w:rFonts w:ascii="Times New Roman" w:hAnsi="Times New Roman" w:eastAsia="Times New Roman" w:cs="Times New Roman"/>
          <w:sz w:val="28"/>
          <w:szCs w:val="28"/>
          <w:vertAlign w:val="superscript"/>
        </w:rPr>
        <w:t>(назва рівня вищої освіти)</w:t>
      </w:r>
    </w:p>
    <w:p>
      <w:pPr>
        <w:tabs>
          <w:tab w:val="left" w:pos="7371"/>
        </w:tabs>
        <w:kinsoku/>
        <w:wordWrap/>
        <w:overflowPunct/>
        <w:topLinePunct w:val="0"/>
        <w:autoSpaceDE/>
        <w:autoSpaceDN/>
        <w:bidi w:val="0"/>
        <w:adjustRightInd/>
        <w:snapToGrid/>
        <w:spacing w:after="0" w:line="240" w:lineRule="auto"/>
        <w:ind w:left="0" w:leftChars="0" w:right="0" w:firstLine="661"/>
        <w:jc w:val="center"/>
        <w:textAlignment w:val="auto"/>
        <w:rPr>
          <w:rFonts w:ascii="Times New Roman" w:hAnsi="Times New Roman" w:eastAsia="Times New Roman" w:cs="Times New Roman"/>
          <w:b/>
          <w:sz w:val="28"/>
          <w:szCs w:val="28"/>
        </w:rPr>
      </w:pPr>
    </w:p>
    <w:p>
      <w:pPr>
        <w:shd w:val="clear" w:color="auto" w:fill="FFFFFF"/>
        <w:tabs>
          <w:tab w:val="left" w:pos="541"/>
          <w:tab w:val="left" w:pos="1142"/>
        </w:tabs>
        <w:kinsoku/>
        <w:wordWrap/>
        <w:overflowPunct/>
        <w:topLinePunct w:val="0"/>
        <w:autoSpaceDE/>
        <w:autoSpaceDN/>
        <w:bidi w:val="0"/>
        <w:adjustRightInd/>
        <w:snapToGrid/>
        <w:spacing w:after="0" w:line="240" w:lineRule="auto"/>
        <w:ind w:left="0" w:leftChars="0" w:right="0" w:firstLine="661"/>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b/>
          <w:color w:val="000000"/>
          <w:sz w:val="28"/>
          <w:szCs w:val="28"/>
        </w:rPr>
        <w:t xml:space="preserve">СТУПІНЬ ВИЩОЇ ОСВІТИ </w:t>
      </w:r>
      <w:r>
        <w:rPr>
          <w:rFonts w:ascii="Times New Roman" w:hAnsi="Times New Roman" w:eastAsia="Times New Roman" w:cs="Times New Roman"/>
          <w:b/>
          <w:color w:val="000000"/>
          <w:sz w:val="28"/>
          <w:szCs w:val="28"/>
        </w:rPr>
        <w:tab/>
      </w:r>
      <w:r>
        <w:rPr>
          <w:rFonts w:hint="default" w:ascii="Times New Roman" w:hAnsi="Times New Roman" w:eastAsia="Times New Roman" w:cs="Times New Roman"/>
          <w:b/>
          <w:color w:val="000000"/>
          <w:sz w:val="28"/>
          <w:szCs w:val="28"/>
          <w:lang w:val="uk-UA"/>
        </w:rPr>
        <w:tab/>
      </w:r>
      <w:r>
        <w:rPr>
          <w:rFonts w:hint="default" w:ascii="Times New Roman" w:hAnsi="Times New Roman" w:eastAsia="Times New Roman" w:cs="Times New Roman"/>
          <w:b/>
          <w:color w:val="000000"/>
          <w:sz w:val="28"/>
          <w:szCs w:val="28"/>
          <w:lang w:val="uk-UA"/>
        </w:rPr>
        <w:tab/>
      </w:r>
      <w:r>
        <w:rPr>
          <w:rFonts w:ascii="Times New Roman" w:hAnsi="Times New Roman" w:eastAsia="Times New Roman" w:cs="Times New Roman"/>
          <w:color w:val="000000"/>
          <w:sz w:val="28"/>
          <w:szCs w:val="28"/>
          <w:u w:val="single"/>
        </w:rPr>
        <w:t>Магістр</w:t>
      </w:r>
    </w:p>
    <w:p>
      <w:pPr>
        <w:kinsoku/>
        <w:wordWrap/>
        <w:overflowPunct/>
        <w:topLinePunct w:val="0"/>
        <w:autoSpaceDE/>
        <w:autoSpaceDN/>
        <w:bidi w:val="0"/>
        <w:adjustRightInd/>
        <w:snapToGrid/>
        <w:spacing w:after="0" w:line="240" w:lineRule="auto"/>
        <w:ind w:left="0" w:leftChars="0" w:right="0" w:firstLine="658"/>
        <w:jc w:val="center"/>
        <w:textAlignment w:val="auto"/>
        <w:rPr>
          <w:rFonts w:ascii="Times New Roman" w:hAnsi="Times New Roman" w:eastAsia="Times New Roman" w:cs="Times New Roman"/>
          <w:b/>
          <w:sz w:val="28"/>
          <w:szCs w:val="28"/>
        </w:rPr>
      </w:pPr>
      <w:r>
        <w:rPr>
          <w:rFonts w:hint="default" w:ascii="Times New Roman" w:hAnsi="Times New Roman" w:eastAsia="Times New Roman" w:cs="Times New Roman"/>
          <w:sz w:val="28"/>
          <w:szCs w:val="28"/>
          <w:vertAlign w:val="superscript"/>
          <w:lang w:val="uk-UA"/>
        </w:rPr>
        <w:t xml:space="preserve">                                                                             </w:t>
      </w:r>
      <w:r>
        <w:rPr>
          <w:rFonts w:ascii="Times New Roman" w:hAnsi="Times New Roman" w:eastAsia="Times New Roman" w:cs="Times New Roman"/>
          <w:sz w:val="28"/>
          <w:szCs w:val="28"/>
          <w:vertAlign w:val="superscript"/>
        </w:rPr>
        <w:t xml:space="preserve"> (назва ступеня вищої освіти)</w:t>
      </w:r>
    </w:p>
    <w:p>
      <w:pPr>
        <w:tabs>
          <w:tab w:val="left" w:pos="7371"/>
        </w:tabs>
        <w:kinsoku/>
        <w:wordWrap/>
        <w:overflowPunct/>
        <w:topLinePunct w:val="0"/>
        <w:autoSpaceDE/>
        <w:autoSpaceDN/>
        <w:bidi w:val="0"/>
        <w:adjustRightInd/>
        <w:snapToGrid/>
        <w:spacing w:after="0" w:line="240" w:lineRule="auto"/>
        <w:ind w:left="0" w:leftChars="0" w:right="0" w:firstLine="661"/>
        <w:jc w:val="center"/>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661"/>
        <w:textAlignment w:val="auto"/>
        <w:rPr>
          <w:rFonts w:ascii="Times New Roman" w:hAnsi="Times New Roman" w:eastAsia="Times New Roman" w:cs="Times New Roman"/>
          <w:sz w:val="28"/>
          <w:szCs w:val="28"/>
        </w:rPr>
      </w:pPr>
      <w:r>
        <w:rPr>
          <w:rFonts w:ascii="Times New Roman" w:hAnsi="Times New Roman" w:eastAsia="Times New Roman" w:cs="Times New Roman"/>
          <w:b/>
          <w:sz w:val="28"/>
          <w:szCs w:val="28"/>
        </w:rPr>
        <w:t>ГАЛУЗЬ ЗНАНЬ</w:t>
      </w:r>
      <w:r>
        <w:rPr>
          <w:rFonts w:ascii="Times New Roman" w:hAnsi="Times New Roman" w:eastAsia="Times New Roman" w:cs="Times New Roman"/>
          <w:b/>
          <w:sz w:val="28"/>
          <w:szCs w:val="28"/>
        </w:rPr>
        <w:tab/>
      </w:r>
      <w:r>
        <w:rPr>
          <w:rFonts w:ascii="Times New Roman" w:hAnsi="Times New Roman" w:eastAsia="Times New Roman" w:cs="Times New Roman"/>
          <w:b/>
          <w:sz w:val="28"/>
          <w:szCs w:val="28"/>
        </w:rPr>
        <w:tab/>
      </w:r>
      <w:r>
        <w:rPr>
          <w:rFonts w:ascii="Times New Roman" w:hAnsi="Times New Roman" w:eastAsia="Times New Roman" w:cs="Times New Roman"/>
          <w:b/>
          <w:sz w:val="28"/>
          <w:szCs w:val="28"/>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ascii="Times New Roman" w:hAnsi="Times New Roman" w:eastAsia="Times New Roman" w:cs="Times New Roman"/>
          <w:sz w:val="28"/>
          <w:szCs w:val="28"/>
          <w:u w:val="single"/>
        </w:rPr>
        <w:t>22 Охорона здоров’я</w:t>
      </w:r>
    </w:p>
    <w:p>
      <w:pPr>
        <w:kinsoku/>
        <w:wordWrap/>
        <w:overflowPunct/>
        <w:topLinePunct w:val="0"/>
        <w:autoSpaceDE/>
        <w:autoSpaceDN/>
        <w:bidi w:val="0"/>
        <w:adjustRightInd/>
        <w:snapToGrid/>
        <w:spacing w:after="0" w:line="240" w:lineRule="auto"/>
        <w:ind w:left="0" w:leftChars="0" w:right="0" w:firstLine="658"/>
        <w:jc w:val="center"/>
        <w:textAlignment w:val="auto"/>
        <w:rPr>
          <w:rFonts w:ascii="Times New Roman" w:hAnsi="Times New Roman" w:eastAsia="Times New Roman" w:cs="Times New Roman"/>
          <w:sz w:val="28"/>
          <w:szCs w:val="28"/>
          <w:vertAlign w:val="superscript"/>
        </w:rPr>
      </w:pPr>
      <w:r>
        <w:rPr>
          <w:rFonts w:hint="default" w:ascii="Times New Roman" w:hAnsi="Times New Roman" w:eastAsia="Times New Roman" w:cs="Times New Roman"/>
          <w:sz w:val="28"/>
          <w:szCs w:val="28"/>
          <w:vertAlign w:val="superscript"/>
          <w:lang w:val="uk-UA"/>
        </w:rPr>
        <w:t xml:space="preserve">                                                                              </w:t>
      </w:r>
      <w:r>
        <w:rPr>
          <w:rFonts w:ascii="Times New Roman" w:hAnsi="Times New Roman" w:eastAsia="Times New Roman" w:cs="Times New Roman"/>
          <w:sz w:val="28"/>
          <w:szCs w:val="28"/>
          <w:vertAlign w:val="superscript"/>
        </w:rPr>
        <w:t>(шифр та назва галузі знань)</w:t>
      </w:r>
    </w:p>
    <w:p>
      <w:pPr>
        <w:tabs>
          <w:tab w:val="left" w:pos="7371"/>
        </w:tabs>
        <w:kinsoku/>
        <w:wordWrap/>
        <w:overflowPunct/>
        <w:topLinePunct w:val="0"/>
        <w:autoSpaceDE/>
        <w:autoSpaceDN/>
        <w:bidi w:val="0"/>
        <w:adjustRightInd/>
        <w:snapToGrid/>
        <w:spacing w:after="0" w:line="240" w:lineRule="auto"/>
        <w:ind w:left="0" w:leftChars="0" w:right="0" w:firstLine="661"/>
        <w:jc w:val="center"/>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661"/>
        <w:textAlignment w:val="auto"/>
        <w:rPr>
          <w:rFonts w:ascii="Times New Roman" w:hAnsi="Times New Roman" w:eastAsia="Times New Roman" w:cs="Times New Roman"/>
          <w:b/>
          <w:sz w:val="28"/>
          <w:szCs w:val="28"/>
          <w:u w:val="single"/>
        </w:rPr>
      </w:pPr>
      <w:r>
        <w:rPr>
          <w:rFonts w:ascii="Times New Roman" w:hAnsi="Times New Roman" w:eastAsia="Times New Roman" w:cs="Times New Roman"/>
          <w:b/>
          <w:sz w:val="28"/>
          <w:szCs w:val="28"/>
        </w:rPr>
        <w:t>СПЕЦІАЛЬНІСТЬ</w:t>
      </w:r>
      <w:r>
        <w:rPr>
          <w:rFonts w:ascii="Times New Roman" w:hAnsi="Times New Roman" w:eastAsia="Times New Roman" w:cs="Times New Roman"/>
          <w:b/>
          <w:sz w:val="28"/>
          <w:szCs w:val="28"/>
        </w:rPr>
        <w:tab/>
      </w:r>
      <w:r>
        <w:rPr>
          <w:rFonts w:ascii="Times New Roman" w:hAnsi="Times New Roman" w:eastAsia="Times New Roman" w:cs="Times New Roman"/>
          <w:b/>
          <w:sz w:val="28"/>
          <w:szCs w:val="28"/>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ascii="Times New Roman" w:hAnsi="Times New Roman" w:eastAsia="Times New Roman" w:cs="Times New Roman"/>
          <w:sz w:val="28"/>
          <w:szCs w:val="28"/>
          <w:u w:val="single"/>
        </w:rPr>
        <w:t>227 Терапія та реабілітація</w:t>
      </w:r>
    </w:p>
    <w:p>
      <w:pPr>
        <w:kinsoku/>
        <w:wordWrap/>
        <w:overflowPunct/>
        <w:topLinePunct w:val="0"/>
        <w:autoSpaceDE/>
        <w:autoSpaceDN/>
        <w:bidi w:val="0"/>
        <w:adjustRightInd/>
        <w:snapToGrid/>
        <w:spacing w:after="0" w:line="240" w:lineRule="auto"/>
        <w:ind w:left="0" w:leftChars="0" w:right="0" w:firstLine="658"/>
        <w:jc w:val="center"/>
        <w:textAlignment w:val="auto"/>
        <w:rPr>
          <w:rFonts w:ascii="Times New Roman" w:hAnsi="Times New Roman" w:eastAsia="Times New Roman" w:cs="Times New Roman"/>
          <w:sz w:val="28"/>
          <w:szCs w:val="28"/>
          <w:vertAlign w:val="superscript"/>
        </w:rPr>
      </w:pPr>
      <w:r>
        <w:rPr>
          <w:rFonts w:hint="default" w:ascii="Times New Roman" w:hAnsi="Times New Roman" w:eastAsia="Times New Roman" w:cs="Times New Roman"/>
          <w:sz w:val="28"/>
          <w:szCs w:val="28"/>
          <w:vertAlign w:val="superscript"/>
          <w:lang w:val="uk-UA"/>
        </w:rPr>
        <w:t xml:space="preserve">                                                                                                                    </w:t>
      </w:r>
      <w:r>
        <w:rPr>
          <w:rFonts w:ascii="Times New Roman" w:hAnsi="Times New Roman" w:eastAsia="Times New Roman" w:cs="Times New Roman"/>
          <w:sz w:val="28"/>
          <w:szCs w:val="28"/>
          <w:vertAlign w:val="superscript"/>
        </w:rPr>
        <w:t>(код та найменування спеціальності)</w:t>
      </w:r>
    </w:p>
    <w:p>
      <w:pPr>
        <w:kinsoku/>
        <w:wordWrap/>
        <w:overflowPunct/>
        <w:topLinePunct w:val="0"/>
        <w:autoSpaceDE/>
        <w:autoSpaceDN/>
        <w:bidi w:val="0"/>
        <w:adjustRightInd/>
        <w:snapToGrid/>
        <w:spacing w:after="0" w:line="240" w:lineRule="auto"/>
        <w:ind w:left="0" w:leftChars="0" w:right="0" w:firstLine="658"/>
        <w:jc w:val="center"/>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720"/>
        <w:textAlignment w:val="auto"/>
        <w:rPr>
          <w:rFonts w:ascii="Times New Roman" w:hAnsi="Times New Roman" w:eastAsia="Times New Roman" w:cs="Times New Roman"/>
          <w:sz w:val="28"/>
          <w:szCs w:val="28"/>
          <w:u w:val="single"/>
        </w:rPr>
      </w:pPr>
      <w:r>
        <w:rPr>
          <w:rFonts w:ascii="Times New Roman" w:hAnsi="Times New Roman" w:eastAsia="Times New Roman" w:cs="Times New Roman"/>
          <w:b/>
          <w:sz w:val="28"/>
          <w:szCs w:val="28"/>
        </w:rPr>
        <w:t>СПЕЦІАЛІЗАЦІЇ</w:t>
      </w:r>
      <w:r>
        <w:rPr>
          <w:rFonts w:ascii="Times New Roman" w:hAnsi="Times New Roman" w:eastAsia="Times New Roman" w:cs="Times New Roman"/>
          <w:b/>
          <w:sz w:val="28"/>
          <w:szCs w:val="28"/>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hint="default" w:ascii="Times New Roman" w:hAnsi="Times New Roman" w:eastAsia="Times New Roman" w:cs="Times New Roman"/>
          <w:b/>
          <w:sz w:val="28"/>
          <w:szCs w:val="28"/>
          <w:lang w:val="uk-UA"/>
        </w:rPr>
        <w:tab/>
      </w:r>
      <w:r>
        <w:rPr>
          <w:rFonts w:ascii="Times New Roman" w:hAnsi="Times New Roman" w:eastAsia="Times New Roman" w:cs="Times New Roman"/>
          <w:sz w:val="28"/>
          <w:szCs w:val="28"/>
          <w:u w:val="single"/>
        </w:rPr>
        <w:t xml:space="preserve">227.01 Фізична терапія; </w:t>
      </w:r>
    </w:p>
    <w:p>
      <w:pPr>
        <w:kinsoku/>
        <w:wordWrap/>
        <w:overflowPunct/>
        <w:topLinePunct w:val="0"/>
        <w:autoSpaceDE/>
        <w:autoSpaceDN/>
        <w:bidi w:val="0"/>
        <w:adjustRightInd/>
        <w:snapToGrid/>
        <w:spacing w:after="0" w:line="240" w:lineRule="auto"/>
        <w:ind w:left="0" w:leftChars="0" w:right="0" w:firstLine="658"/>
        <w:jc w:val="center"/>
        <w:textAlignment w:val="auto"/>
        <w:rPr>
          <w:rFonts w:ascii="Times New Roman" w:hAnsi="Times New Roman" w:eastAsia="Times New Roman" w:cs="Times New Roman"/>
          <w:sz w:val="28"/>
          <w:szCs w:val="28"/>
          <w:vertAlign w:val="superscript"/>
        </w:rPr>
      </w:pPr>
      <w:r>
        <w:rPr>
          <w:rFonts w:hint="default" w:ascii="Times New Roman" w:hAnsi="Times New Roman" w:eastAsia="Times New Roman" w:cs="Times New Roman"/>
          <w:sz w:val="28"/>
          <w:szCs w:val="28"/>
          <w:vertAlign w:val="superscript"/>
          <w:lang w:val="uk-UA"/>
        </w:rPr>
        <w:t xml:space="preserve">                                                                                      </w:t>
      </w:r>
      <w:r>
        <w:rPr>
          <w:rFonts w:ascii="Times New Roman" w:hAnsi="Times New Roman" w:eastAsia="Times New Roman" w:cs="Times New Roman"/>
          <w:sz w:val="28"/>
          <w:szCs w:val="28"/>
          <w:vertAlign w:val="superscript"/>
        </w:rPr>
        <w:t>(код та найменування спеціалізації)</w:t>
      </w: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i/>
          <w:sz w:val="28"/>
          <w:szCs w:val="28"/>
        </w:rPr>
      </w:pPr>
      <w:r>
        <w:rPr>
          <w:rFonts w:ascii="Times New Roman" w:hAnsi="Times New Roman" w:eastAsia="Times New Roman" w:cs="Times New Roman"/>
          <w:b/>
          <w:i/>
          <w:sz w:val="28"/>
          <w:szCs w:val="28"/>
        </w:rPr>
        <w:t>Видання офіційне</w:t>
      </w: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МІНІСТЕРСТВО ОСВІТИ І НАУКИ УКРАЇНИ</w:t>
      </w:r>
    </w:p>
    <w:p>
      <w:pPr>
        <w:tabs>
          <w:tab w:val="left" w:pos="4253"/>
        </w:tabs>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8"/>
          <w:szCs w:val="28"/>
        </w:rPr>
      </w:pPr>
    </w:p>
    <w:p>
      <w:pPr>
        <w:tabs>
          <w:tab w:val="left" w:pos="4253"/>
        </w:tabs>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Київ</w:t>
      </w:r>
    </w:p>
    <w:p>
      <w:pPr>
        <w:tabs>
          <w:tab w:val="left" w:pos="4253"/>
        </w:tabs>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tabs>
          <w:tab w:val="left" w:pos="4253"/>
        </w:tabs>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tabs>
          <w:tab w:val="left" w:pos="4253"/>
        </w:tabs>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p>
      <w:pPr>
        <w:tabs>
          <w:tab w:val="left" w:pos="4253"/>
        </w:tabs>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sectPr>
          <w:headerReference r:id="rId6" w:type="first"/>
          <w:headerReference r:id="rId5" w:type="default"/>
          <w:footerReference r:id="rId7" w:type="default"/>
          <w:pgSz w:w="11906" w:h="16838"/>
          <w:pgMar w:top="993" w:right="566" w:bottom="1134" w:left="1276" w:header="709" w:footer="709" w:gutter="0"/>
          <w:pgNumType w:start="1"/>
          <w:cols w:space="720" w:num="1"/>
        </w:sectPr>
      </w:pPr>
      <w:r>
        <w:rPr>
          <w:rFonts w:ascii="Times New Roman" w:hAnsi="Times New Roman" w:eastAsia="Times New Roman" w:cs="Times New Roman"/>
          <w:b/>
          <w:sz w:val="28"/>
          <w:szCs w:val="28"/>
        </w:rPr>
        <w:t>2024</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І Преамбула </w:t>
      </w:r>
    </w:p>
    <w:p>
      <w:pPr>
        <w:keepNext/>
        <w:keepLines/>
        <w:pBdr>
          <w:top w:val="none" w:color="auto" w:sz="0" w:space="0"/>
          <w:left w:val="none" w:color="auto" w:sz="0" w:space="0"/>
          <w:bottom w:val="none" w:color="auto" w:sz="0" w:space="0"/>
          <w:right w:val="none" w:color="auto" w:sz="0" w:space="0"/>
          <w:between w:val="none" w:color="auto" w:sz="0" w:space="0"/>
        </w:pBdr>
        <w:shd w:val="clear" w:color="auto" w:fill="FFFFFF"/>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p>
    <w:p>
      <w:pPr>
        <w:keepNext/>
        <w:keepLines/>
        <w:pBdr>
          <w:top w:val="none" w:color="auto" w:sz="0" w:space="0"/>
          <w:left w:val="none" w:color="auto" w:sz="0" w:space="0"/>
          <w:bottom w:val="none" w:color="auto" w:sz="0" w:space="0"/>
          <w:right w:val="none" w:color="auto" w:sz="0" w:space="0"/>
          <w:between w:val="none" w:color="auto" w:sz="0" w:space="0"/>
        </w:pBdr>
        <w:shd w:val="clear" w:color="auto" w:fill="FFFFFF"/>
        <w:tabs>
          <w:tab w:val="left" w:pos="709"/>
          <w:tab w:val="left" w:pos="1134"/>
        </w:tabs>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Стандарт вищої освіти другого (магістерського) рівня вищої освіти (далі – Стандарт) галузі знань 22 Охорона здоров’я, спеціальності 227 </w:t>
      </w:r>
      <w:r>
        <w:rPr>
          <w:rFonts w:ascii="Times New Roman" w:hAnsi="Times New Roman" w:eastAsia="Times New Roman" w:cs="Times New Roman"/>
          <w:sz w:val="28"/>
          <w:szCs w:val="28"/>
        </w:rPr>
        <w:t>Терапія та реабілітація, спеціалізація 227.01 Фізична терапія</w:t>
      </w:r>
      <w:r>
        <w:rPr>
          <w:rFonts w:ascii="Times New Roman" w:hAnsi="Times New Roman" w:eastAsia="Times New Roman" w:cs="Times New Roman"/>
          <w:color w:val="000000"/>
          <w:sz w:val="28"/>
          <w:szCs w:val="28"/>
        </w:rPr>
        <w:t>.</w:t>
      </w:r>
    </w:p>
    <w:p>
      <w:pPr>
        <w:keepNext/>
        <w:keepLines/>
        <w:pBdr>
          <w:top w:val="none" w:color="auto" w:sz="0" w:space="0"/>
          <w:left w:val="none" w:color="auto" w:sz="0" w:space="0"/>
          <w:bottom w:val="none" w:color="auto" w:sz="0" w:space="0"/>
          <w:right w:val="none" w:color="auto" w:sz="0" w:space="0"/>
          <w:between w:val="none" w:color="auto" w:sz="0" w:space="0"/>
        </w:pBdr>
        <w:shd w:val="clear" w:color="auto" w:fill="FFFFFF"/>
        <w:tabs>
          <w:tab w:val="left" w:pos="709"/>
          <w:tab w:val="left" w:pos="1134"/>
        </w:tabs>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Затверджено та введено в дію наказом Міністерства освіти і науки України від _________.202</w:t>
      </w:r>
      <w:r>
        <w:rPr>
          <w:rFonts w:ascii="Times New Roman" w:hAnsi="Times New Roman" w:eastAsia="Times New Roman" w:cs="Times New Roman"/>
          <w:sz w:val="28"/>
          <w:szCs w:val="28"/>
        </w:rPr>
        <w:t>4</w:t>
      </w:r>
      <w:r>
        <w:rPr>
          <w:rFonts w:ascii="Times New Roman" w:hAnsi="Times New Roman" w:eastAsia="Times New Roman" w:cs="Times New Roman"/>
          <w:color w:val="000000"/>
          <w:sz w:val="28"/>
          <w:szCs w:val="28"/>
        </w:rPr>
        <w:t xml:space="preserve"> р. № _______.</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Розробники Стандарту: </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члени науково-методичної підкомісії зі спеціальності 227 Фізична терапія, ерготерапія Науково-методичної комісії з охорони здоров’я та соціального забезпечення сектору вищої освіти Науково-методичної Ради Міністерства освіти і науки України:</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color w:val="000000"/>
          <w:sz w:val="28"/>
          <w:szCs w:val="28"/>
        </w:rPr>
      </w:pPr>
    </w:p>
    <w:tbl>
      <w:tblPr>
        <w:tblStyle w:val="109"/>
        <w:tblW w:w="10172" w:type="dxa"/>
        <w:tblInd w:w="15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2133"/>
        <w:gridCol w:w="80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i/>
                <w:sz w:val="28"/>
                <w:szCs w:val="28"/>
              </w:rPr>
            </w:pPr>
            <w:r>
              <w:rPr>
                <w:rFonts w:hint="default" w:ascii="Times New Roman" w:hAnsi="Times New Roman" w:eastAsia="Times New Roman" w:cs="Times New Roman"/>
                <w:sz w:val="28"/>
                <w:szCs w:val="28"/>
              </w:rPr>
              <w:t>Лазарєва Олена Борисівна,</w:t>
            </w:r>
            <w:r>
              <w:rPr>
                <w:rFonts w:hint="default" w:ascii="Times New Roman" w:hAnsi="Times New Roman" w:eastAsia="Times New Roman" w:cs="Times New Roman"/>
                <w:sz w:val="28"/>
                <w:szCs w:val="28"/>
                <w:lang w:val="uk-UA"/>
              </w:rPr>
              <w:t xml:space="preserve"> </w:t>
            </w:r>
            <w:r>
              <w:rPr>
                <w:rFonts w:hint="default" w:ascii="Times New Roman" w:hAnsi="Times New Roman" w:eastAsia="Times New Roman" w:cs="Times New Roman"/>
                <w:i/>
                <w:sz w:val="28"/>
                <w:szCs w:val="28"/>
              </w:rPr>
              <w:t>голова підкомісії</w:t>
            </w:r>
          </w:p>
        </w:tc>
        <w:tc>
          <w:tcPr>
            <w:tcW w:w="8039" w:type="dxa"/>
          </w:tcPr>
          <w:p>
            <w:pPr>
              <w:tabs>
                <w:tab w:val="left" w:pos="7480"/>
              </w:tabs>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завідувач кафедри фізичної терапії та ерготерапії Національного університету фізичного виховання та спорту України, професор, доктор наук з фізичного виховання та спорту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Кобелєв Степан Юрійович</w:t>
            </w:r>
          </w:p>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i/>
                <w:sz w:val="28"/>
                <w:szCs w:val="28"/>
              </w:rPr>
              <w:t xml:space="preserve">заступник голови підкомісії </w:t>
            </w:r>
          </w:p>
        </w:tc>
        <w:tc>
          <w:tcPr>
            <w:tcW w:w="8039" w:type="dxa"/>
          </w:tcPr>
          <w:p>
            <w:pPr>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голова Правління ГО «Українська Асоціація фізичної терапії», кандидат наук з фізичного виховання та спорту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Баришок Тетяна Віталіївна</w:t>
            </w:r>
          </w:p>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i/>
                <w:sz w:val="28"/>
                <w:szCs w:val="28"/>
              </w:rPr>
              <w:t xml:space="preserve">секретар підкомісії </w:t>
            </w:r>
          </w:p>
        </w:tc>
        <w:tc>
          <w:tcPr>
            <w:tcW w:w="8039" w:type="dxa"/>
          </w:tcPr>
          <w:p>
            <w:pPr>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0"/>
                <w:szCs w:val="20"/>
              </w:rPr>
            </w:pPr>
            <w:r>
              <w:rPr>
                <w:rFonts w:hint="default" w:ascii="Times New Roman" w:hAnsi="Times New Roman" w:eastAsia="Times New Roman" w:cs="Times New Roman"/>
                <w:sz w:val="28"/>
                <w:szCs w:val="28"/>
              </w:rPr>
              <w:t xml:space="preserve">голова Правління ГО «Всеукраїнське об’єднання фізичних терапевтів», </w:t>
            </w:r>
            <w:r>
              <w:rPr>
                <w:rFonts w:hint="default" w:ascii="Times New Roman" w:hAnsi="Times New Roman" w:eastAsia="Times New Roman" w:cs="Times New Roman"/>
                <w:sz w:val="28"/>
                <w:szCs w:val="28"/>
                <w:lang w:val="uk-UA"/>
              </w:rPr>
              <w:t>доцент</w:t>
            </w:r>
            <w:r>
              <w:rPr>
                <w:rFonts w:hint="default" w:ascii="Times New Roman" w:hAnsi="Times New Roman" w:eastAsia="Times New Roman" w:cs="Times New Roman"/>
                <w:sz w:val="28"/>
                <w:szCs w:val="28"/>
              </w:rPr>
              <w:t xml:space="preserve"> кафедри фізичної терапії та ерготерапії комунального закладу вищої освіти «Хортицька національна навчально-реабілітаційна академія» Запорізької обласної ради, доцент, кандидат наук з фізичного виховання та спорту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Атаман</w:t>
            </w:r>
            <w:r>
              <w:rPr>
                <w:rFonts w:hint="default" w:ascii="Times New Roman" w:hAnsi="Times New Roman" w:eastAsia="Times New Roman" w:cs="Times New Roman"/>
                <w:sz w:val="28"/>
                <w:szCs w:val="28"/>
                <w:lang w:val="uk-UA"/>
              </w:rPr>
              <w:t xml:space="preserve"> </w:t>
            </w:r>
            <w:r>
              <w:rPr>
                <w:rFonts w:hint="default" w:ascii="Times New Roman" w:hAnsi="Times New Roman" w:eastAsia="Times New Roman" w:cs="Times New Roman"/>
                <w:sz w:val="28"/>
                <w:szCs w:val="28"/>
              </w:rPr>
              <w:t>Юрій Олександрович</w:t>
            </w:r>
          </w:p>
        </w:tc>
        <w:tc>
          <w:tcPr>
            <w:tcW w:w="8039" w:type="dxa"/>
          </w:tcPr>
          <w:p>
            <w:pPr>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lang w:val="uk-UA"/>
              </w:rPr>
              <w:t>з</w:t>
            </w:r>
            <w:r>
              <w:rPr>
                <w:rFonts w:hint="default" w:ascii="Times New Roman" w:hAnsi="Times New Roman" w:eastAsia="Times New Roman" w:cs="Times New Roman"/>
                <w:sz w:val="28"/>
                <w:szCs w:val="28"/>
              </w:rPr>
              <w:t xml:space="preserve">авідувач кафедри фізичної терапії, ерготерапії та спортивної медицини Сумського державного університету, професор, доктор медичних наук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Герцик Андрій Мирославович</w:t>
            </w:r>
          </w:p>
        </w:tc>
        <w:tc>
          <w:tcPr>
            <w:tcW w:w="8039" w:type="dxa"/>
          </w:tcPr>
          <w:p>
            <w:pPr>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професор кафедри фізичної терапії та ерготерапії Вищого навчального закладу «Український Католицький Університет», професор, доктор наук з фізичного виховання та спорту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Мисула Ігор Романович</w:t>
            </w:r>
          </w:p>
        </w:tc>
        <w:tc>
          <w:tcPr>
            <w:tcW w:w="8039" w:type="dxa"/>
          </w:tcPr>
          <w:p>
            <w:pPr>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завідувач кафедри медичної реабілітації Тернопільського національного медичного університету імені І. Я. Горбачевського МОЗ України, голова НМК 11 з охорони здоров’я та соціального забезпечення Науково-методичної ради МОН України, професор, доктор медичних наук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Мруга Марина Рашидівна</w:t>
            </w:r>
          </w:p>
        </w:tc>
        <w:tc>
          <w:tcPr>
            <w:tcW w:w="8039" w:type="dxa"/>
          </w:tcPr>
          <w:p>
            <w:pPr>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держав</w:t>
            </w:r>
            <w:r>
              <w:rPr>
                <w:rFonts w:hint="default" w:ascii="Times New Roman" w:hAnsi="Times New Roman" w:eastAsia="Times New Roman" w:cs="Times New Roman"/>
                <w:sz w:val="28"/>
                <w:szCs w:val="28"/>
                <w:lang w:val="uk-UA"/>
              </w:rPr>
              <w:t>ний</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uk-UA"/>
              </w:rPr>
              <w:t>експерт</w:t>
            </w:r>
            <w:r>
              <w:rPr>
                <w:rFonts w:hint="default" w:ascii="Times New Roman" w:hAnsi="Times New Roman" w:eastAsia="Times New Roman" w:cs="Times New Roman"/>
                <w:sz w:val="28"/>
                <w:szCs w:val="28"/>
              </w:rPr>
              <w:t xml:space="preserve"> експертної групи з питань вищої освіти і освіти дорослих директорату фахової передвищої, вищої освіти Міністерства освіти і науки України, </w:t>
            </w:r>
            <w:r>
              <w:rPr>
                <w:rFonts w:hint="default" w:ascii="Times New Roman" w:hAnsi="Times New Roman" w:eastAsia="Times New Roman" w:cs="Times New Roman"/>
                <w:sz w:val="28"/>
                <w:szCs w:val="28"/>
                <w:lang w:val="uk-UA"/>
              </w:rPr>
              <w:t>ч</w:t>
            </w:r>
            <w:r>
              <w:rPr>
                <w:rFonts w:hint="default" w:ascii="Times New Roman" w:hAnsi="Times New Roman" w:eastAsia="Times New Roman" w:cs="Times New Roman"/>
                <w:sz w:val="28"/>
                <w:szCs w:val="28"/>
              </w:rPr>
              <w:t xml:space="preserve">лен сектору вищої освіти Науково-методичної ради МОН України, доцент, кандидат педагогічних наук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133" w:type="dxa"/>
          </w:tcPr>
          <w:p>
            <w:pPr>
              <w:kinsoku/>
              <w:wordWrap/>
              <w:overflowPunct/>
              <w:topLinePunct w:val="0"/>
              <w:autoSpaceDE/>
              <w:autoSpaceDN/>
              <w:bidi w:val="0"/>
              <w:adjustRightInd/>
              <w:snapToGrid/>
              <w:spacing w:after="0" w:line="240" w:lineRule="auto"/>
              <w:ind w:left="0" w:leftChars="0" w:right="0"/>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Неханевич Олег Борисович</w:t>
            </w:r>
          </w:p>
        </w:tc>
        <w:tc>
          <w:tcPr>
            <w:tcW w:w="8039" w:type="dxa"/>
          </w:tcPr>
          <w:p>
            <w:pPr>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завідувач кафедри фізичної реабілітації, спортивної медицини та валеології Дніпровського державного медичного університету, професор, доктор медичних наук</w:t>
            </w:r>
          </w:p>
        </w:tc>
      </w:tr>
    </w:tbl>
    <w:p>
      <w:pPr>
        <w:tabs>
          <w:tab w:val="left" w:pos="0"/>
        </w:tabs>
        <w:kinsoku/>
        <w:wordWrap/>
        <w:overflowPunct/>
        <w:topLinePunct w:val="0"/>
        <w:autoSpaceDE/>
        <w:autoSpaceDN/>
        <w:bidi w:val="0"/>
        <w:adjustRightInd/>
        <w:snapToGrid/>
        <w:spacing w:after="0" w:line="240" w:lineRule="auto"/>
        <w:ind w:left="0" w:leftChars="0" w:right="0" w:firstLine="851"/>
        <w:jc w:val="both"/>
        <w:textAlignment w:val="auto"/>
        <w:rPr>
          <w:rFonts w:ascii="Times New Roman" w:hAnsi="Times New Roman" w:eastAsia="Times New Roman" w:cs="Times New Roman"/>
          <w:color w:val="000000"/>
          <w:sz w:val="28"/>
          <w:szCs w:val="28"/>
        </w:rPr>
      </w:pPr>
    </w:p>
    <w:p>
      <w:pPr>
        <w:tabs>
          <w:tab w:val="left" w:pos="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rPr>
        <w:t>Фахівці, залучені до розроблення стандарту:</w:t>
      </w:r>
    </w:p>
    <w:p>
      <w:pPr>
        <w:tabs>
          <w:tab w:val="left" w:pos="0"/>
        </w:tabs>
        <w:kinsoku/>
        <w:wordWrap/>
        <w:overflowPunct/>
        <w:topLinePunct w:val="0"/>
        <w:autoSpaceDE/>
        <w:autoSpaceDN/>
        <w:bidi w:val="0"/>
        <w:adjustRightInd/>
        <w:snapToGrid/>
        <w:spacing w:after="0" w:line="240" w:lineRule="auto"/>
        <w:ind w:left="0" w:leftChars="0" w:right="0" w:firstLine="440" w:firstLineChars="0"/>
        <w:jc w:val="both"/>
        <w:textAlignment w:val="auto"/>
        <w:rPr>
          <w:rFonts w:hint="default" w:ascii="Times New Roman" w:hAnsi="Times New Roman" w:eastAsia="Times New Roman" w:cs="Times New Roman"/>
          <w:color w:val="000000"/>
          <w:sz w:val="28"/>
          <w:szCs w:val="28"/>
        </w:rPr>
      </w:pPr>
    </w:p>
    <w:tbl>
      <w:tblPr>
        <w:tblStyle w:val="110"/>
        <w:tblW w:w="1024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2344"/>
        <w:gridCol w:w="79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344"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Рокошевська Віра Вікторівна</w:t>
            </w:r>
          </w:p>
        </w:tc>
        <w:tc>
          <w:tcPr>
            <w:tcW w:w="7905"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завідувач кафедри фізичної терапії та ерготерапії  Українськ</w:t>
            </w:r>
            <w:r>
              <w:rPr>
                <w:rFonts w:hint="default" w:ascii="Times New Roman" w:hAnsi="Times New Roman" w:eastAsia="Times New Roman" w:cs="Times New Roman"/>
                <w:sz w:val="28"/>
                <w:szCs w:val="28"/>
                <w:lang w:val="uk-UA"/>
              </w:rPr>
              <w:t>ого</w:t>
            </w:r>
            <w:r>
              <w:rPr>
                <w:rFonts w:hint="default" w:ascii="Times New Roman" w:hAnsi="Times New Roman" w:eastAsia="Times New Roman" w:cs="Times New Roman"/>
                <w:sz w:val="28"/>
                <w:szCs w:val="28"/>
              </w:rPr>
              <w:t xml:space="preserve"> Католицьк</w:t>
            </w:r>
            <w:r>
              <w:rPr>
                <w:rFonts w:hint="default" w:ascii="Times New Roman" w:hAnsi="Times New Roman" w:eastAsia="Times New Roman" w:cs="Times New Roman"/>
                <w:sz w:val="28"/>
                <w:szCs w:val="28"/>
                <w:lang w:val="uk-UA"/>
              </w:rPr>
              <w:t>ого</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uk-UA"/>
              </w:rPr>
              <w:t>у</w:t>
            </w:r>
            <w:r>
              <w:rPr>
                <w:rFonts w:hint="default" w:ascii="Times New Roman" w:hAnsi="Times New Roman" w:eastAsia="Times New Roman" w:cs="Times New Roman"/>
                <w:sz w:val="28"/>
                <w:szCs w:val="28"/>
              </w:rPr>
              <w:t>ніверситет</w:t>
            </w:r>
            <w:r>
              <w:rPr>
                <w:rFonts w:hint="default" w:ascii="Times New Roman" w:hAnsi="Times New Roman" w:eastAsia="Times New Roman" w:cs="Times New Roman"/>
                <w:sz w:val="28"/>
                <w:szCs w:val="28"/>
                <w:lang w:val="uk-UA"/>
              </w:rPr>
              <w:t>у</w:t>
            </w:r>
            <w:r>
              <w:rPr>
                <w:rFonts w:hint="default" w:ascii="Times New Roman" w:hAnsi="Times New Roman" w:eastAsia="Times New Roman" w:cs="Times New Roman"/>
                <w:sz w:val="28"/>
                <w:szCs w:val="28"/>
              </w:rPr>
              <w:t xml:space="preserve">, доцент, кандидат наук з фізичного виховання та спорту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344" w:type="dxa"/>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Єжова Ольга Олександрівна</w:t>
            </w:r>
          </w:p>
        </w:tc>
        <w:tc>
          <w:tcPr>
            <w:tcW w:w="7905" w:type="dxa"/>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 xml:space="preserve">професор кафедри фізичної терапії, ерготерапії та спортивної медицини Сумського державного університету; доктор педагогічних наук, професор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c>
          <w:tcPr>
            <w:tcW w:w="2344" w:type="dxa"/>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rPr>
            </w:pPr>
            <w:r>
              <w:rPr>
                <w:rFonts w:hint="default" w:ascii="Times New Roman" w:hAnsi="Times New Roman" w:eastAsia="Times New Roman" w:cs="Times New Roman"/>
                <w:sz w:val="28"/>
                <w:szCs w:val="28"/>
              </w:rPr>
              <w:t>Ціж Любов Михайлівна</w:t>
            </w:r>
          </w:p>
        </w:tc>
        <w:tc>
          <w:tcPr>
            <w:tcW w:w="7905" w:type="dxa"/>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hint="default" w:ascii="Times New Roman" w:hAnsi="Times New Roman" w:eastAsia="Times New Roman" w:cs="Times New Roman"/>
                <w:sz w:val="28"/>
                <w:szCs w:val="28"/>
                <w:lang w:val="ru-RU"/>
              </w:rPr>
            </w:pPr>
            <w:r>
              <w:rPr>
                <w:rFonts w:hint="default" w:ascii="Times New Roman" w:hAnsi="Times New Roman" w:eastAsia="Times New Roman" w:cs="Times New Roman"/>
                <w:sz w:val="28"/>
                <w:szCs w:val="28"/>
              </w:rPr>
              <w:t>в.о. завідувач</w:t>
            </w:r>
            <w:r>
              <w:rPr>
                <w:rFonts w:hint="default" w:ascii="Times New Roman" w:hAnsi="Times New Roman" w:eastAsia="Times New Roman" w:cs="Times New Roman"/>
                <w:sz w:val="28"/>
                <w:szCs w:val="28"/>
                <w:lang w:val="uk-UA"/>
              </w:rPr>
              <w:t>а</w:t>
            </w:r>
            <w:r>
              <w:rPr>
                <w:rFonts w:hint="default" w:ascii="Times New Roman" w:hAnsi="Times New Roman" w:eastAsia="Times New Roman" w:cs="Times New Roman"/>
                <w:sz w:val="28"/>
                <w:szCs w:val="28"/>
              </w:rPr>
              <w:t xml:space="preserve"> кафедри терапії та реабілітації Львівського державного університету фізичної культури ім. Івана Боберського, доцент, кандидат наук з фізичного виховання та спорту</w:t>
            </w:r>
            <w:r>
              <w:rPr>
                <w:rFonts w:hint="default" w:ascii="Times New Roman" w:hAnsi="Times New Roman" w:eastAsia="Times New Roman" w:cs="Times New Roman"/>
                <w:sz w:val="28"/>
                <w:szCs w:val="28"/>
                <w:lang w:val="uk-UA"/>
              </w:rPr>
              <w:t>,</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uk-UA"/>
              </w:rPr>
              <w:t>ч</w:t>
            </w:r>
            <w:r>
              <w:rPr>
                <w:rFonts w:hint="default" w:ascii="Times New Roman" w:hAnsi="Times New Roman" w:eastAsia="Times New Roman" w:cs="Times New Roman"/>
                <w:sz w:val="28"/>
                <w:szCs w:val="28"/>
              </w:rPr>
              <w:t xml:space="preserve">лен </w:t>
            </w:r>
            <w:r>
              <w:rPr>
                <w:rFonts w:hint="default" w:ascii="Times New Roman" w:hAnsi="Times New Roman" w:eastAsia="Times New Roman" w:cs="Times New Roman"/>
                <w:sz w:val="28"/>
                <w:szCs w:val="28"/>
                <w:lang w:val="uk-UA"/>
              </w:rPr>
              <w:t>Громадської організації</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ru-RU"/>
              </w:rPr>
              <w:t>«</w:t>
            </w:r>
            <w:r>
              <w:rPr>
                <w:rFonts w:hint="default" w:ascii="Times New Roman" w:hAnsi="Times New Roman" w:eastAsia="Times New Roman" w:cs="Times New Roman"/>
                <w:sz w:val="28"/>
                <w:szCs w:val="28"/>
              </w:rPr>
              <w:t>Всеукраїнське об'єднання фізичних терапевтів</w:t>
            </w:r>
            <w:r>
              <w:rPr>
                <w:rFonts w:hint="default" w:ascii="Times New Roman" w:hAnsi="Times New Roman" w:eastAsia="Times New Roman" w:cs="Times New Roman"/>
                <w:sz w:val="28"/>
                <w:szCs w:val="28"/>
                <w:lang w:val="ru-RU"/>
              </w:rPr>
              <w:t>»</w:t>
            </w:r>
          </w:p>
        </w:tc>
      </w:tr>
    </w:tbl>
    <w:p>
      <w:pPr>
        <w:kinsoku/>
        <w:wordWrap/>
        <w:overflowPunct/>
        <w:topLinePunct w:val="0"/>
        <w:autoSpaceDE/>
        <w:autoSpaceDN/>
        <w:bidi w:val="0"/>
        <w:adjustRightInd/>
        <w:snapToGrid/>
        <w:spacing w:after="0" w:line="240" w:lineRule="auto"/>
        <w:ind w:left="0" w:leftChars="0" w:right="0" w:firstLine="539"/>
        <w:jc w:val="both"/>
        <w:textAlignment w:val="auto"/>
        <w:rPr>
          <w:rFonts w:ascii="Times New Roman" w:hAnsi="Times New Roman" w:eastAsia="Times New Roman" w:cs="Times New Roman"/>
          <w:color w:val="000000"/>
          <w:sz w:val="28"/>
          <w:szCs w:val="28"/>
        </w:rPr>
      </w:pPr>
    </w:p>
    <w:p>
      <w:pPr>
        <w:kinsoku/>
        <w:wordWrap/>
        <w:overflowPunct/>
        <w:topLinePunct w:val="0"/>
        <w:autoSpaceDE/>
        <w:autoSpaceDN/>
        <w:bidi w:val="0"/>
        <w:adjustRightInd/>
        <w:snapToGrid/>
        <w:spacing w:after="0" w:line="240" w:lineRule="auto"/>
        <w:ind w:left="0" w:leftChars="0" w:right="0" w:firstLine="440" w:firstLineChars="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Фахову експертизу здійснювали:</w:t>
      </w:r>
    </w:p>
    <w:p>
      <w:pPr>
        <w:shd w:val="clear" w:color="auto" w:fill="FFFFFF"/>
        <w:kinsoku/>
        <w:wordWrap/>
        <w:overflowPunct/>
        <w:topLinePunct w:val="0"/>
        <w:autoSpaceDE/>
        <w:autoSpaceDN/>
        <w:bidi w:val="0"/>
        <w:adjustRightInd/>
        <w:snapToGrid/>
        <w:spacing w:after="0" w:line="240" w:lineRule="auto"/>
        <w:ind w:left="0" w:leftChars="0" w:right="0" w:firstLine="539"/>
        <w:jc w:val="both"/>
        <w:textAlignment w:val="auto"/>
        <w:rPr>
          <w:rFonts w:ascii="Times New Roman" w:hAnsi="Times New Roman" w:eastAsia="Times New Roman" w:cs="Times New Roman"/>
          <w:sz w:val="28"/>
          <w:szCs w:val="28"/>
        </w:rPr>
      </w:pPr>
    </w:p>
    <w:tbl>
      <w:tblPr>
        <w:tblStyle w:val="100"/>
        <w:tblW w:w="1000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660"/>
        <w:gridCol w:w="3150"/>
        <w:gridCol w:w="61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90" w:hRule="atLeast"/>
        </w:trPr>
        <w:tc>
          <w:tcPr>
            <w:tcW w:w="660"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6"/>
                <w:szCs w:val="26"/>
              </w:rPr>
            </w:pPr>
            <w:r>
              <w:rPr>
                <w:rFonts w:ascii="Times New Roman" w:hAnsi="Times New Roman" w:eastAsia="Times New Roman" w:cs="Times New Roman"/>
                <w:sz w:val="26"/>
                <w:szCs w:val="26"/>
              </w:rPr>
              <w:t>1</w:t>
            </w:r>
          </w:p>
        </w:tc>
        <w:tc>
          <w:tcPr>
            <w:tcW w:w="315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6"/>
                <w:szCs w:val="26"/>
              </w:rPr>
            </w:pPr>
          </w:p>
        </w:tc>
        <w:tc>
          <w:tcPr>
            <w:tcW w:w="6195"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6"/>
                <w:szCs w:val="26"/>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202" w:hRule="atLeast"/>
        </w:trPr>
        <w:tc>
          <w:tcPr>
            <w:tcW w:w="660"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6"/>
                <w:szCs w:val="26"/>
              </w:rPr>
            </w:pPr>
            <w:r>
              <w:rPr>
                <w:rFonts w:ascii="Times New Roman" w:hAnsi="Times New Roman" w:eastAsia="Times New Roman" w:cs="Times New Roman"/>
                <w:sz w:val="26"/>
                <w:szCs w:val="26"/>
              </w:rPr>
              <w:t>2</w:t>
            </w:r>
          </w:p>
        </w:tc>
        <w:tc>
          <w:tcPr>
            <w:tcW w:w="315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6"/>
                <w:szCs w:val="26"/>
              </w:rPr>
            </w:pPr>
          </w:p>
        </w:tc>
        <w:tc>
          <w:tcPr>
            <w:tcW w:w="6195"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6"/>
                <w:szCs w:val="26"/>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133" w:hRule="atLeast"/>
        </w:trPr>
        <w:tc>
          <w:tcPr>
            <w:tcW w:w="66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6"/>
                <w:szCs w:val="26"/>
              </w:rPr>
            </w:pPr>
            <w:r>
              <w:rPr>
                <w:rFonts w:ascii="Times New Roman" w:hAnsi="Times New Roman" w:eastAsia="Times New Roman" w:cs="Times New Roman"/>
                <w:sz w:val="26"/>
                <w:szCs w:val="26"/>
              </w:rPr>
              <w:t>3</w:t>
            </w:r>
          </w:p>
        </w:tc>
        <w:tc>
          <w:tcPr>
            <w:tcW w:w="3150" w:type="dxa"/>
            <w:tcBorders>
              <w:top w:val="nil"/>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6"/>
                <w:szCs w:val="26"/>
              </w:rPr>
            </w:pPr>
          </w:p>
        </w:tc>
        <w:tc>
          <w:tcPr>
            <w:tcW w:w="6195" w:type="dxa"/>
            <w:tcBorders>
              <w:top w:val="nil"/>
              <w:left w:val="nil"/>
              <w:bottom w:val="single" w:color="000000" w:sz="4" w:space="0"/>
              <w:right w:val="single" w:color="000000" w:sz="4" w:space="0"/>
            </w:tcBorders>
            <w:tcMar>
              <w:top w:w="0" w:type="dxa"/>
              <w:left w:w="100" w:type="dxa"/>
              <w:bottom w:w="0" w:type="dxa"/>
              <w:right w:w="10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6"/>
                <w:szCs w:val="26"/>
              </w:rPr>
            </w:pPr>
          </w:p>
        </w:tc>
      </w:tr>
    </w:tbl>
    <w:p>
      <w:pPr>
        <w:shd w:val="clear" w:color="auto" w:fill="FFFFFF"/>
        <w:kinsoku/>
        <w:wordWrap/>
        <w:overflowPunct/>
        <w:topLinePunct w:val="0"/>
        <w:autoSpaceDE/>
        <w:autoSpaceDN/>
        <w:bidi w:val="0"/>
        <w:adjustRightInd/>
        <w:snapToGrid/>
        <w:spacing w:after="0" w:line="240" w:lineRule="auto"/>
        <w:ind w:left="0" w:leftChars="0" w:right="0" w:firstLine="539"/>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Методичну експертизу здійснювали:</w:t>
      </w:r>
    </w:p>
    <w:p>
      <w:pPr>
        <w:tabs>
          <w:tab w:val="left" w:pos="0"/>
        </w:tabs>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Враховані пропозиції галузевих державних органів і галузевих об’єднань організацій роботодавців:</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r>
        <w:rPr>
          <w:rFonts w:hint="default" w:ascii="Times New Roman" w:hAnsi="Times New Roman" w:eastAsia="Times New Roman" w:cs="Times New Roman"/>
          <w:color w:val="000000"/>
          <w:sz w:val="28"/>
          <w:szCs w:val="28"/>
          <w:lang w:val="uk-UA"/>
        </w:rPr>
        <w:t>Громадської організації</w:t>
      </w:r>
      <w:r>
        <w:rPr>
          <w:rFonts w:hint="default" w:ascii="Times New Roman" w:hAnsi="Times New Roman" w:eastAsia="Times New Roman" w:cs="Times New Roman"/>
          <w:sz w:val="28"/>
          <w:szCs w:val="28"/>
        </w:rPr>
        <w:t xml:space="preserve"> </w:t>
      </w:r>
      <w:r>
        <w:rPr>
          <w:rFonts w:ascii="Times New Roman" w:hAnsi="Times New Roman" w:eastAsia="Times New Roman" w:cs="Times New Roman"/>
          <w:color w:val="000000"/>
          <w:sz w:val="28"/>
          <w:szCs w:val="28"/>
        </w:rPr>
        <w:t>«</w:t>
      </w:r>
      <w:r>
        <w:rPr>
          <w:rFonts w:ascii="Times New Roman" w:hAnsi="Times New Roman" w:eastAsia="Times New Roman" w:cs="Times New Roman"/>
          <w:sz w:val="28"/>
          <w:szCs w:val="28"/>
        </w:rPr>
        <w:t>Всеукраїнське об'єднання фізичних терапевтів</w:t>
      </w:r>
      <w:r>
        <w:rPr>
          <w:rFonts w:ascii="Times New Roman" w:hAnsi="Times New Roman" w:eastAsia="Times New Roman" w:cs="Times New Roman"/>
          <w:color w:val="000000"/>
          <w:sz w:val="28"/>
          <w:szCs w:val="28"/>
        </w:rPr>
        <w:t>»</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hint="default" w:ascii="Times New Roman" w:hAnsi="Times New Roman" w:eastAsia="Times New Roman" w:cs="Times New Roman"/>
          <w:color w:val="000000"/>
          <w:sz w:val="28"/>
          <w:szCs w:val="28"/>
          <w:lang w:val="ru-RU"/>
        </w:rPr>
      </w:pPr>
      <w:r>
        <w:rPr>
          <w:rFonts w:hint="default" w:ascii="Times New Roman" w:hAnsi="Times New Roman" w:eastAsia="Times New Roman" w:cs="Times New Roman"/>
          <w:color w:val="000000"/>
          <w:sz w:val="28"/>
          <w:szCs w:val="28"/>
          <w:lang w:val="uk-UA"/>
        </w:rPr>
        <w:t>Громадської організації</w:t>
      </w:r>
      <w:r>
        <w:rPr>
          <w:rFonts w:hint="default" w:ascii="Times New Roman" w:hAnsi="Times New Roman" w:eastAsia="Times New Roman" w:cs="Times New Roman"/>
          <w:sz w:val="28"/>
          <w:szCs w:val="28"/>
        </w:rPr>
        <w:t xml:space="preserve"> </w:t>
      </w:r>
      <w:r>
        <w:rPr>
          <w:rFonts w:hint="default" w:ascii="Times New Roman" w:hAnsi="Times New Roman" w:eastAsia="Times New Roman" w:cs="Times New Roman"/>
          <w:sz w:val="28"/>
          <w:szCs w:val="28"/>
          <w:lang w:val="ru-RU"/>
        </w:rPr>
        <w:t>«</w:t>
      </w:r>
      <w:r>
        <w:rPr>
          <w:rFonts w:ascii="Times New Roman" w:hAnsi="Times New Roman" w:eastAsia="Times New Roman" w:cs="Times New Roman"/>
          <w:color w:val="000000"/>
          <w:sz w:val="28"/>
          <w:szCs w:val="28"/>
        </w:rPr>
        <w:t>Українська Асоціація фізичної терапії</w:t>
      </w:r>
      <w:r>
        <w:rPr>
          <w:rFonts w:hint="default" w:ascii="Times New Roman" w:hAnsi="Times New Roman" w:eastAsia="Times New Roman" w:cs="Times New Roman"/>
          <w:color w:val="000000"/>
          <w:sz w:val="28"/>
          <w:szCs w:val="28"/>
          <w:lang w:val="ru-RU"/>
        </w:rPr>
        <w:t>»</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 xml:space="preserve">Стандарт розглянуто та схвалено на засіданні робочої групи підкомісії 227 Фізична терапія, ерготерапія науково-методичної комісії галузі знань 22 Охорона здоров’я від </w:t>
      </w:r>
      <w:r>
        <w:rPr>
          <w:rFonts w:ascii="Times New Roman" w:hAnsi="Times New Roman" w:eastAsia="Times New Roman" w:cs="Times New Roman"/>
          <w:sz w:val="28"/>
          <w:szCs w:val="28"/>
        </w:rPr>
        <w:t>від 14 травня 2024 р., протокол № 14</w:t>
      </w: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 </w:t>
      </w:r>
    </w:p>
    <w:p>
      <w:pPr>
        <w:tabs>
          <w:tab w:val="left" w:pos="709"/>
        </w:tabs>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Стандарт розглянуто та схвалено на засіданні сектору вищої освіти Науково-методичної ради Міністерства освіти і науки України від </w:t>
      </w:r>
      <w:r>
        <w:rPr>
          <w:rFonts w:ascii="Times New Roman" w:hAnsi="Times New Roman" w:eastAsia="Times New Roman" w:cs="Times New Roman"/>
          <w:sz w:val="28"/>
          <w:szCs w:val="28"/>
        </w:rPr>
        <w:t>____________</w:t>
      </w:r>
      <w:r>
        <w:rPr>
          <w:rFonts w:ascii="Times New Roman" w:hAnsi="Times New Roman" w:eastAsia="Times New Roman" w:cs="Times New Roman"/>
          <w:color w:val="000000"/>
          <w:sz w:val="28"/>
          <w:szCs w:val="28"/>
        </w:rPr>
        <w:t xml:space="preserve"> 20</w:t>
      </w:r>
      <w:r>
        <w:rPr>
          <w:rFonts w:ascii="Times New Roman" w:hAnsi="Times New Roman" w:eastAsia="Times New Roman" w:cs="Times New Roman"/>
          <w:sz w:val="28"/>
          <w:szCs w:val="28"/>
        </w:rPr>
        <w:t>24</w:t>
      </w:r>
      <w:r>
        <w:rPr>
          <w:rFonts w:ascii="Times New Roman" w:hAnsi="Times New Roman" w:eastAsia="Times New Roman" w:cs="Times New Roman"/>
          <w:color w:val="000000"/>
          <w:sz w:val="28"/>
          <w:szCs w:val="28"/>
        </w:rPr>
        <w:t xml:space="preserve"> р., протокол № </w:t>
      </w:r>
      <w:r>
        <w:rPr>
          <w:rFonts w:ascii="Times New Roman" w:hAnsi="Times New Roman" w:eastAsia="Times New Roman" w:cs="Times New Roman"/>
          <w:sz w:val="28"/>
          <w:szCs w:val="28"/>
        </w:rPr>
        <w:t>…..</w:t>
      </w:r>
      <w:r>
        <w:rPr>
          <w:rFonts w:ascii="Times New Roman" w:hAnsi="Times New Roman" w:eastAsia="Times New Roman" w:cs="Times New Roman"/>
          <w:color w:val="000000"/>
          <w:sz w:val="28"/>
          <w:szCs w:val="28"/>
        </w:rPr>
        <w:t>.</w:t>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39" w:firstLineChars="15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Стандарт розглянуто Міністерством охорони здоров’я України та Федерацією роботодавців України.</w:t>
      </w:r>
    </w:p>
    <w:p>
      <w:pPr>
        <w:kinsoku/>
        <w:wordWrap/>
        <w:overflowPunct/>
        <w:topLinePunct w:val="0"/>
        <w:autoSpaceDE/>
        <w:autoSpaceDN/>
        <w:bidi w:val="0"/>
        <w:adjustRightInd/>
        <w:snapToGrid/>
        <w:spacing w:after="0" w:line="240" w:lineRule="auto"/>
        <w:ind w:left="0" w:leftChars="0" w:right="0" w:firstLine="539"/>
        <w:jc w:val="both"/>
        <w:textAlignment w:val="auto"/>
        <w:rPr>
          <w:rFonts w:ascii="Times New Roman" w:hAnsi="Times New Roman" w:eastAsia="Times New Roman" w:cs="Times New Roman"/>
          <w:color w:val="000000"/>
          <w:sz w:val="28"/>
          <w:szCs w:val="28"/>
        </w:rPr>
      </w:pPr>
    </w:p>
    <w:p>
      <w:pPr>
        <w:kinsoku/>
        <w:wordWrap/>
        <w:overflowPunct/>
        <w:topLinePunct w:val="0"/>
        <w:autoSpaceDE/>
        <w:autoSpaceDN/>
        <w:bidi w:val="0"/>
        <w:adjustRightInd/>
        <w:snapToGrid/>
        <w:spacing w:after="0" w:line="240" w:lineRule="auto"/>
        <w:ind w:left="0" w:leftChars="0" w:right="0" w:firstLine="539"/>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color w:val="000000"/>
          <w:sz w:val="28"/>
          <w:szCs w:val="28"/>
        </w:rPr>
        <w:t xml:space="preserve">Стандарт погоджено Національним агентством із забезпечення якості вищої освіти від  </w:t>
      </w:r>
      <w:r>
        <w:rPr>
          <w:rFonts w:ascii="Times New Roman" w:hAnsi="Times New Roman" w:eastAsia="Times New Roman" w:cs="Times New Roman"/>
          <w:sz w:val="28"/>
          <w:szCs w:val="28"/>
        </w:rPr>
        <w:t>___________</w:t>
      </w:r>
      <w:r>
        <w:rPr>
          <w:rFonts w:ascii="Times New Roman" w:hAnsi="Times New Roman" w:eastAsia="Times New Roman" w:cs="Times New Roman"/>
          <w:color w:val="000000"/>
          <w:sz w:val="28"/>
          <w:szCs w:val="28"/>
        </w:rPr>
        <w:t xml:space="preserve"> 20</w:t>
      </w:r>
      <w:r>
        <w:rPr>
          <w:rFonts w:ascii="Times New Roman" w:hAnsi="Times New Roman" w:eastAsia="Times New Roman" w:cs="Times New Roman"/>
          <w:sz w:val="28"/>
          <w:szCs w:val="28"/>
        </w:rPr>
        <w:t>24</w:t>
      </w:r>
      <w:r>
        <w:rPr>
          <w:rFonts w:ascii="Times New Roman" w:hAnsi="Times New Roman" w:eastAsia="Times New Roman" w:cs="Times New Roman"/>
          <w:color w:val="000000"/>
          <w:sz w:val="28"/>
          <w:szCs w:val="28"/>
        </w:rPr>
        <w:t xml:space="preserve"> р., протокол № </w:t>
      </w:r>
      <w:r>
        <w:rPr>
          <w:rFonts w:ascii="Times New Roman" w:hAnsi="Times New Roman" w:eastAsia="Times New Roman" w:cs="Times New Roman"/>
          <w:sz w:val="28"/>
          <w:szCs w:val="28"/>
        </w:rPr>
        <w:t>……</w:t>
      </w:r>
      <w:r>
        <w:rPr>
          <w:rFonts w:ascii="Times New Roman" w:hAnsi="Times New Roman" w:eastAsia="Times New Roman" w:cs="Times New Roman"/>
          <w:color w:val="000000"/>
          <w:sz w:val="28"/>
          <w:szCs w:val="28"/>
        </w:rPr>
        <w:t>.</w:t>
      </w:r>
      <w:r>
        <w:br w:type="page"/>
      </w: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ІІ Загальна характеристика</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bl>
      <w:tblPr>
        <w:tblStyle w:val="101"/>
        <w:tblW w:w="1024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57" w:type="dxa"/>
          <w:right w:w="108" w:type="dxa"/>
        </w:tblCellMar>
      </w:tblPr>
      <w:tblGrid>
        <w:gridCol w:w="2177"/>
        <w:gridCol w:w="80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Рівень вищої освіти</w:t>
            </w:r>
          </w:p>
        </w:tc>
        <w:tc>
          <w:tcPr>
            <w:tcW w:w="806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Другий (магістерський) рівень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Ступінь вищої освіти</w:t>
            </w:r>
          </w:p>
        </w:tc>
        <w:tc>
          <w:tcPr>
            <w:tcW w:w="806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Магістр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Галузь знань</w:t>
            </w:r>
          </w:p>
        </w:tc>
        <w:tc>
          <w:tcPr>
            <w:tcW w:w="806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22 Охорона здоров’я</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Спеціальність</w:t>
            </w:r>
          </w:p>
        </w:tc>
        <w:tc>
          <w:tcPr>
            <w:tcW w:w="806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227 Терапія та реабілітація</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Спеціалізації</w:t>
            </w:r>
          </w:p>
        </w:tc>
        <w:tc>
          <w:tcPr>
            <w:tcW w:w="806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227.01 Фізична терапія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Форми здобуття освіти</w:t>
            </w:r>
          </w:p>
        </w:tc>
        <w:tc>
          <w:tcPr>
            <w:tcW w:w="8067"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trike/>
                <w:sz w:val="28"/>
                <w:szCs w:val="28"/>
              </w:rPr>
            </w:pPr>
            <w:r>
              <w:rPr>
                <w:rFonts w:ascii="Times New Roman" w:hAnsi="Times New Roman" w:eastAsia="Times New Roman" w:cs="Times New Roman"/>
                <w:sz w:val="28"/>
                <w:szCs w:val="28"/>
              </w:rPr>
              <w:t xml:space="preserve">Денна очна, дуальна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Освітня кваліфікація</w:t>
            </w:r>
          </w:p>
        </w:tc>
        <w:tc>
          <w:tcPr>
            <w:tcW w:w="806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sz w:val="28"/>
                <w:szCs w:val="28"/>
              </w:rPr>
              <w:t>Магістр терапії та реабілітації за спеціалізацією 227.01 Фізична терапія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Кваліфікація в дипломі</w:t>
            </w:r>
          </w:p>
        </w:tc>
        <w:tc>
          <w:tcPr>
            <w:tcW w:w="8067" w:type="dxa"/>
            <w:vAlign w:val="cente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ступінь вищої освіти Магістр</w:t>
            </w:r>
          </w:p>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спеціальність 227 </w:t>
            </w:r>
            <w:r>
              <w:rPr>
                <w:rFonts w:ascii="Times New Roman" w:hAnsi="Times New Roman" w:eastAsia="Times New Roman" w:cs="Times New Roman"/>
                <w:sz w:val="28"/>
                <w:szCs w:val="28"/>
              </w:rPr>
              <w:t>Терапія та реабілітація</w:t>
            </w:r>
          </w:p>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color w:val="000000"/>
                <w:sz w:val="28"/>
                <w:szCs w:val="28"/>
              </w:rPr>
              <w:t xml:space="preserve">спеціалізація 227.01 Фізична терапія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Професійна кваліфікація</w:t>
            </w:r>
          </w:p>
        </w:tc>
        <w:tc>
          <w:tcPr>
            <w:tcW w:w="806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Фізичний терапевт</w:t>
            </w:r>
          </w:p>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177"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Опис предметної області</w:t>
            </w:r>
          </w:p>
        </w:tc>
        <w:tc>
          <w:tcPr>
            <w:tcW w:w="8067" w:type="dxa"/>
            <w:vAlign w:val="center"/>
          </w:tcPr>
          <w:p>
            <w:pPr>
              <w:kinsoku/>
              <w:wordWrap/>
              <w:overflowPunct/>
              <w:topLinePunct w:val="0"/>
              <w:autoSpaceDE/>
              <w:autoSpaceDN/>
              <w:bidi w:val="0"/>
              <w:adjustRightInd/>
              <w:snapToGrid/>
              <w:spacing w:after="0" w:line="240" w:lineRule="auto"/>
              <w:ind w:left="0" w:leftChars="0" w:right="0" w:firstLine="17"/>
              <w:jc w:val="both"/>
              <w:textAlignment w:val="auto"/>
              <w:rPr>
                <w:rFonts w:ascii="Times New Roman" w:hAnsi="Times New Roman" w:eastAsia="Times New Roman" w:cs="Times New Roman"/>
                <w:sz w:val="28"/>
                <w:szCs w:val="28"/>
              </w:rPr>
            </w:pPr>
            <w:r>
              <w:rPr>
                <w:rFonts w:ascii="Times New Roman" w:hAnsi="Times New Roman" w:eastAsia="Times New Roman" w:cs="Times New Roman"/>
                <w:b/>
                <w:sz w:val="28"/>
                <w:szCs w:val="28"/>
              </w:rPr>
              <w:t>Об’єкти вивчення та/або діяльності</w:t>
            </w:r>
            <w:r>
              <w:rPr>
                <w:rFonts w:ascii="Times New Roman" w:hAnsi="Times New Roman" w:eastAsia="Times New Roman" w:cs="Times New Roman"/>
                <w:sz w:val="28"/>
                <w:szCs w:val="28"/>
              </w:rPr>
              <w:t xml:space="preserve"> – складні порушення рухових функцій та обмеження активності людини, їх коригування з використанням заходів фізичної терапії для  досягнення максимально можливого рівня функціонування відповідно до бажань і потреб людини в умовах її середовища. </w:t>
            </w:r>
          </w:p>
          <w:p>
            <w:pPr>
              <w:kinsoku/>
              <w:wordWrap/>
              <w:overflowPunct/>
              <w:topLinePunct w:val="0"/>
              <w:autoSpaceDE/>
              <w:autoSpaceDN/>
              <w:bidi w:val="0"/>
              <w:adjustRightInd/>
              <w:snapToGrid/>
              <w:spacing w:after="0" w:line="240" w:lineRule="auto"/>
              <w:ind w:left="0" w:leftChars="0" w:right="0" w:firstLine="17"/>
              <w:jc w:val="both"/>
              <w:textAlignment w:val="auto"/>
              <w:rPr>
                <w:rFonts w:ascii="Times New Roman" w:hAnsi="Times New Roman" w:eastAsia="Times New Roman" w:cs="Times New Roman"/>
                <w:sz w:val="28"/>
                <w:szCs w:val="28"/>
              </w:rPr>
            </w:pPr>
            <w:r>
              <w:rPr>
                <w:rFonts w:ascii="Times New Roman" w:hAnsi="Times New Roman" w:eastAsia="Times New Roman" w:cs="Times New Roman"/>
                <w:b/>
                <w:sz w:val="28"/>
                <w:szCs w:val="28"/>
              </w:rPr>
              <w:t>Цілі навчання:</w:t>
            </w:r>
            <w:r>
              <w:rPr>
                <w:rFonts w:ascii="Times New Roman" w:hAnsi="Times New Roman" w:eastAsia="Times New Roman" w:cs="Times New Roman"/>
                <w:sz w:val="28"/>
                <w:szCs w:val="28"/>
              </w:rPr>
              <w:t xml:space="preserve"> набуття здатності здійснювати професійну діяльність фізичного терапевта, розв’язувати задачі практичного, освітнього, організаційного, дослідницького та/або інноваційного характеру, які стосуються фізичної терапії. </w:t>
            </w:r>
          </w:p>
          <w:p>
            <w:pPr>
              <w:kinsoku/>
              <w:wordWrap/>
              <w:overflowPunct/>
              <w:topLinePunct w:val="0"/>
              <w:autoSpaceDE/>
              <w:autoSpaceDN/>
              <w:bidi w:val="0"/>
              <w:adjustRightInd/>
              <w:snapToGrid/>
              <w:spacing w:after="0" w:line="240" w:lineRule="auto"/>
              <w:ind w:left="0" w:leftChars="0" w:right="0" w:firstLine="17"/>
              <w:jc w:val="both"/>
              <w:textAlignment w:val="auto"/>
              <w:rPr>
                <w:rFonts w:ascii="Times New Roman" w:hAnsi="Times New Roman" w:eastAsia="Times New Roman" w:cs="Times New Roman"/>
                <w:sz w:val="28"/>
                <w:szCs w:val="28"/>
              </w:rPr>
            </w:pPr>
            <w:r>
              <w:rPr>
                <w:rFonts w:ascii="Times New Roman" w:hAnsi="Times New Roman" w:eastAsia="Times New Roman" w:cs="Times New Roman"/>
                <w:b/>
                <w:sz w:val="28"/>
                <w:szCs w:val="28"/>
              </w:rPr>
              <w:t>Теоретичний зміст предметної області</w:t>
            </w:r>
            <w:r>
              <w:rPr>
                <w:rFonts w:ascii="Times New Roman" w:hAnsi="Times New Roman" w:eastAsia="Times New Roman" w:cs="Times New Roman"/>
                <w:sz w:val="28"/>
                <w:szCs w:val="28"/>
              </w:rPr>
              <w:t>: порушення функцій, активності та участі осіб різних нозологічних та вікових груп, принципи, концепції, теорії та методи фізичної терапії, менеджмент, викладання та наукові дослідження у фізичній терапії.</w:t>
            </w:r>
          </w:p>
          <w:p>
            <w:pPr>
              <w:kinsoku/>
              <w:wordWrap/>
              <w:overflowPunct/>
              <w:topLinePunct w:val="0"/>
              <w:autoSpaceDE/>
              <w:autoSpaceDN/>
              <w:bidi w:val="0"/>
              <w:adjustRightInd/>
              <w:snapToGrid/>
              <w:spacing w:after="0" w:line="240" w:lineRule="auto"/>
              <w:ind w:left="0" w:leftChars="0" w:right="0" w:firstLine="17"/>
              <w:jc w:val="both"/>
              <w:textAlignment w:val="auto"/>
              <w:rPr>
                <w:rFonts w:ascii="Times New Roman" w:hAnsi="Times New Roman" w:eastAsia="Times New Roman" w:cs="Times New Roman"/>
                <w:sz w:val="28"/>
                <w:szCs w:val="28"/>
              </w:rPr>
            </w:pPr>
            <w:r>
              <w:rPr>
                <w:rFonts w:ascii="Times New Roman" w:hAnsi="Times New Roman" w:eastAsia="Times New Roman" w:cs="Times New Roman"/>
                <w:b/>
                <w:sz w:val="28"/>
                <w:szCs w:val="28"/>
              </w:rPr>
              <w:t>Методи, методики, технології</w:t>
            </w:r>
            <w:r>
              <w:rPr>
                <w:rFonts w:ascii="Times New Roman" w:hAnsi="Times New Roman" w:eastAsia="Times New Roman" w:cs="Times New Roman"/>
                <w:sz w:val="28"/>
                <w:szCs w:val="28"/>
              </w:rPr>
              <w:t xml:space="preserve"> визначення функціональних можливостей пацієнта/клієнта; опрацювання інформації; планування, прогнозування, реалізації та корекції програм фізичної терапії; профілактики захворювань, ускладнень та функціональних порушень; наукових досліджень та дискусії; доказової практики; управління та організації; викладання та навчання.</w:t>
            </w:r>
          </w:p>
          <w:p>
            <w:pPr>
              <w:kinsoku/>
              <w:wordWrap/>
              <w:overflowPunct/>
              <w:topLinePunct w:val="0"/>
              <w:autoSpaceDE/>
              <w:autoSpaceDN/>
              <w:bidi w:val="0"/>
              <w:adjustRightInd/>
              <w:snapToGrid/>
              <w:spacing w:after="0" w:line="240" w:lineRule="auto"/>
              <w:ind w:left="0" w:leftChars="0" w:right="0" w:firstLine="17"/>
              <w:jc w:val="both"/>
              <w:textAlignment w:val="auto"/>
              <w:rPr>
                <w:rFonts w:ascii="Times New Roman" w:hAnsi="Times New Roman" w:eastAsia="Times New Roman" w:cs="Times New Roman"/>
                <w:sz w:val="28"/>
                <w:szCs w:val="28"/>
              </w:rPr>
            </w:pPr>
            <w:r>
              <w:rPr>
                <w:rFonts w:ascii="Times New Roman" w:hAnsi="Times New Roman" w:eastAsia="Times New Roman" w:cs="Times New Roman"/>
                <w:b/>
                <w:sz w:val="28"/>
                <w:szCs w:val="28"/>
              </w:rPr>
              <w:t>Інструменти та обладнання:</w:t>
            </w:r>
            <w:r>
              <w:rPr>
                <w:rFonts w:ascii="Times New Roman" w:hAnsi="Times New Roman" w:eastAsia="Times New Roman" w:cs="Times New Roman"/>
                <w:sz w:val="28"/>
                <w:szCs w:val="28"/>
              </w:rPr>
              <w:t xml:space="preserve"> пристрої, прилади та обладнання для контролю основних життєвих показників, обстеження пацієнта/клієнта, реалізації програми фізичної терапії; бази даних, інформаційні системи, спеціалізоване програмне забезпечення.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879"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Академічні права випускників</w:t>
            </w:r>
          </w:p>
        </w:tc>
        <w:tc>
          <w:tcPr>
            <w:tcW w:w="806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Випускники мають право продовжити навчання на третьому рівні вищої освіти для здобуття кваліфікації доктора філософії та здобувати додаткові кваліфікації у системі освіти дорослих.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879" w:hRule="atLeast"/>
        </w:trPr>
        <w:tc>
          <w:tcPr>
            <w:tcW w:w="217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Працевлаш-</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тування випускників</w:t>
            </w:r>
          </w:p>
        </w:tc>
        <w:tc>
          <w:tcPr>
            <w:tcW w:w="8067"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Здобуття ступеня магістра за спеціальністю 227 Терапія та реабілітація спеціалізація 227.01 Фізична терапія дає право обіймати посаду фізичного терапевта.</w:t>
            </w:r>
          </w:p>
        </w:tc>
      </w:tr>
    </w:tbl>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ІІІ Вимоги до рівня освіти осіб, які можуть розпочати навчання за освітніми програмами спеціальності 227 Терапія та реабілітація, спеціалізація 227.01 Фізична терапія</w:t>
      </w:r>
    </w:p>
    <w:p>
      <w:pPr>
        <w:kinsoku/>
        <w:wordWrap/>
        <w:overflowPunct/>
        <w:topLinePunct w:val="0"/>
        <w:autoSpaceDE/>
        <w:autoSpaceDN/>
        <w:bidi w:val="0"/>
        <w:adjustRightInd/>
        <w:snapToGrid/>
        <w:spacing w:after="0" w:line="240" w:lineRule="auto"/>
        <w:ind w:left="0" w:leftChars="0" w:right="0" w:firstLine="345"/>
        <w:jc w:val="both"/>
        <w:textAlignment w:val="auto"/>
        <w:rPr>
          <w:rFonts w:ascii="Times New Roman" w:hAnsi="Times New Roman" w:eastAsia="Times New Roman" w:cs="Times New Roman"/>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На навчання для здобуття освітнього ступеня магістра зі спеціальності терапія та реабілітація за спеціалізацією 227.01 Фізична терапія можуть вступати особи, які здобули освітній ступінь бакалавра за спеціальністю 227 Терапія та реабілітація (227.01 фізична терапія) або Фізична терапія, ерготерапія або за напрямом підготовки Здоров’я людини (професійне спрямування Фізична реабілітація)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41"/>
        <w:jc w:val="both"/>
        <w:textAlignment w:val="auto"/>
        <w:rPr>
          <w:rFonts w:hint="default" w:ascii="Times New Roman" w:hAnsi="Times New Roman" w:eastAsia="Times New Roman" w:cs="Times New Roman"/>
          <w:b/>
          <w:sz w:val="28"/>
          <w:szCs w:val="28"/>
          <w:lang w:val="uk-UA"/>
        </w:rPr>
      </w:pPr>
      <w:r>
        <w:rPr>
          <w:rFonts w:ascii="Times New Roman" w:hAnsi="Times New Roman" w:eastAsia="Times New Roman" w:cs="Times New Roman"/>
          <w:b/>
          <w:sz w:val="28"/>
          <w:szCs w:val="28"/>
        </w:rPr>
        <w:t xml:space="preserve">ІV Обсяг кредитів ЄКТС, необхідний для здобуття </w:t>
      </w:r>
      <w:r>
        <w:rPr>
          <w:rFonts w:ascii="Times New Roman" w:hAnsi="Times New Roman" w:eastAsia="Times New Roman" w:cs="Times New Roman"/>
          <w:b/>
          <w:sz w:val="28"/>
          <w:szCs w:val="28"/>
          <w:lang w:val="ru-RU"/>
        </w:rPr>
        <w:t>осв</w:t>
      </w:r>
      <w:r>
        <w:rPr>
          <w:rFonts w:ascii="Times New Roman" w:hAnsi="Times New Roman" w:eastAsia="Times New Roman" w:cs="Times New Roman"/>
          <w:b/>
          <w:sz w:val="28"/>
          <w:szCs w:val="28"/>
          <w:lang w:val="uk-UA"/>
        </w:rPr>
        <w:t>і</w:t>
      </w:r>
      <w:r>
        <w:rPr>
          <w:rFonts w:ascii="Times New Roman" w:hAnsi="Times New Roman" w:eastAsia="Times New Roman" w:cs="Times New Roman"/>
          <w:b/>
          <w:sz w:val="28"/>
          <w:szCs w:val="28"/>
          <w:lang w:val="ru-RU"/>
        </w:rPr>
        <w:t>тнього</w:t>
      </w:r>
      <w:r>
        <w:rPr>
          <w:rFonts w:hint="default" w:ascii="Times New Roman" w:hAnsi="Times New Roman" w:eastAsia="Times New Roman" w:cs="Times New Roman"/>
          <w:b/>
          <w:sz w:val="28"/>
          <w:szCs w:val="28"/>
          <w:lang w:val="ru-RU"/>
        </w:rPr>
        <w:t xml:space="preserve"> ступеня</w:t>
      </w:r>
      <w:r>
        <w:rPr>
          <w:rFonts w:hint="default" w:ascii="Times New Roman" w:hAnsi="Times New Roman" w:eastAsia="Times New Roman" w:cs="Times New Roman"/>
          <w:b/>
          <w:sz w:val="28"/>
          <w:szCs w:val="28"/>
          <w:lang w:val="uk-UA"/>
        </w:rPr>
        <w:t xml:space="preserve"> магістра</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Обсяг освітньо-професійних та освітньо-наукових програм, необхідний для здобуття ступеня магістра становить 120 кредитів ЄКТС.</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Мінімум 90% обсягу освітньої програми має бути спрямовано на забезпечення загальних та спеціальних (фахових) компетентностей за спеціалізацією, визначених цим стандартом вищої освіти.</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Мінімум 36 кредитів ЄКТС освітньо-наукової програми має бути надано на забезпечення науково-дослідницької компоненти.</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V Перелік компетентностей випускника за спеціальністю 227 Терапія та реабілітація спеціалізація 227.01 Фізична терапія</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z w:val="28"/>
          <w:szCs w:val="28"/>
        </w:rPr>
      </w:pPr>
    </w:p>
    <w:tbl>
      <w:tblPr>
        <w:tblStyle w:val="102"/>
        <w:tblW w:w="10200" w:type="dxa"/>
        <w:tblInd w:w="7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57" w:type="dxa"/>
          <w:right w:w="108" w:type="dxa"/>
        </w:tblCellMar>
      </w:tblPr>
      <w:tblGrid>
        <w:gridCol w:w="2517"/>
        <w:gridCol w:w="76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778" w:hRule="atLeast"/>
        </w:trPr>
        <w:tc>
          <w:tcPr>
            <w:tcW w:w="2517"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Інтегральна компетентність.</w:t>
            </w:r>
          </w:p>
        </w:tc>
        <w:tc>
          <w:tcPr>
            <w:tcW w:w="7683"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Здатн</w:t>
            </w:r>
            <w:r>
              <w:rPr>
                <w:rFonts w:ascii="Times New Roman" w:hAnsi="Times New Roman" w:eastAsia="Times New Roman" w:cs="Times New Roman"/>
                <w:sz w:val="28"/>
                <w:szCs w:val="28"/>
                <w:lang w:val="uk-UA"/>
              </w:rPr>
              <w:t>ість</w:t>
            </w:r>
            <w:r>
              <w:rPr>
                <w:rFonts w:hint="default" w:ascii="Times New Roman" w:hAnsi="Times New Roman" w:eastAsia="Times New Roman" w:cs="Times New Roman"/>
                <w:sz w:val="28"/>
                <w:szCs w:val="28"/>
                <w:lang w:val="uk-UA"/>
              </w:rPr>
              <w:t xml:space="preserve"> </w:t>
            </w:r>
            <w:r>
              <w:rPr>
                <w:rFonts w:ascii="Times New Roman" w:hAnsi="Times New Roman" w:eastAsia="Times New Roman" w:cs="Times New Roman"/>
                <w:sz w:val="28"/>
                <w:szCs w:val="28"/>
              </w:rPr>
              <w:t>розв’язувати автономно та у мультидисциплінарному контексті складні спеціалізовані задачі та проблеми, пов’язані з порушенням рухових та поєднаних з ними функцій, які  забезпечують активність та участь особи;  провадити практичну, адміністративну, наукову, інноваційну та освітню діяльність у фізичній терапії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517"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Загальні компетентності</w:t>
            </w:r>
          </w:p>
        </w:tc>
        <w:tc>
          <w:tcPr>
            <w:tcW w:w="7683" w:type="dxa"/>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ЗК 01. Здатність планувати та управляти часом.</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ЗК 02. Здатність до пошуку, оброблення та аналізу інформації з різних джерел.</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ЗК 03. Здатність до адаптації та дії в новій ситуації.</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color w:val="FF0000"/>
                <w:sz w:val="28"/>
                <w:szCs w:val="28"/>
              </w:rPr>
            </w:pPr>
            <w:r>
              <w:rPr>
                <w:rFonts w:ascii="Times New Roman" w:hAnsi="Times New Roman" w:eastAsia="Times New Roman" w:cs="Times New Roman"/>
                <w:sz w:val="28"/>
                <w:szCs w:val="28"/>
              </w:rPr>
              <w:t>ЗК 04. Здатність приймати обґрунтовані рішення.</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ЗК 05. Здатність мотивувати людей та рухатися до спільної мети.</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ЗК 06. Здатність виявляти ініціативу та підприємність.</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ЗК 07. Здатність працювати автономно. </w:t>
            </w:r>
          </w:p>
          <w:p>
            <w:pPr>
              <w:tabs>
                <w:tab w:val="left" w:pos="389"/>
              </w:tabs>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8"/>
                <w:szCs w:val="28"/>
              </w:rPr>
              <w:t>ЗК 08. Здатність надавати першу домедичну допомогу за умов надзвичайних ситуацій та військових дій, розуміти основи тактичної медицини.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517"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Спеціальні (фахові, предметні) компетентності. </w:t>
            </w:r>
          </w:p>
        </w:tc>
        <w:tc>
          <w:tcPr>
            <w:tcW w:w="7683"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СК 01. Здатність професійно мислити, диференціювати проблеми фізичної, когнітивної, психоемоційної сфер, визначати обмеження рухових та поєднаних з ними функцій, активності та участі пацієнта за Класифікатором функціонування, обмеження життєдіяльності та здоров'я НК 030:2022. </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СК 02. Здатність розуміти клінічний діагноз пацієнта/ клієнта, перебіг захворювання і тактику лікування.</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СК 03. Здатність безпечно та ефективно обстежувати  та оцінювати осіб різних вікових, нозологічних та професійних груп з обмеженнями повсякденного  функціонування,  із складною прогресуючою та мультисистемною патологією, визначати  фізичний розвиток та фізичний стан.</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СК 04. Здатність визначати потреби пацієнта/клієнта, прогнозувати результати фізичної терапії, встановлювати довгострокові та короткострокові цілі, формулювати завдання, розробляти, обговорювати та пояснювати програму фізичної терапії, або компоненти індивідуального   реабілітаційного плану, які стосуються фізичної терапії.</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СК 05. Здатність безпечно та ефективно проводити втручання на основі принципів доказово-інформованої практики, застосовувати науково обґрунтовані засоби та методи. </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СК 06. Здатність планувати та контролювати тривалість та інтенсивність окремих терапевтичних заходів для забезпечення їх відповідності цілям фізичної терапії, функціональним можливостям та динаміці стану пацієнта/клієнта.</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СК 07. Здатність контролювати виконання програми фізичної терапії, аналізувати та інтерпретувати результати втручання,  вносити корективи до розробленої програми чи компонентів індивідуального   реабілітаційного плану.</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СК 08.  Здатність вести документацію різних аспектів фізичної терапії згідно вимог чинного законодавства.</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СК 09. Здатність провадити наукові дослідження у сфері фізичної терапії та використовувати найкращі наявні докази у викладацькій діяльності, зокрема, як керівник/методист/супервізор клінічних практик.</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СК 10. Здатність організовувати складні робочі процеси, які можуть потребувати нових підходів у фізичній терапії, керувати роботою асистентів, помічників та волонтерів.</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34"/>
                <w:szCs w:val="34"/>
              </w:rPr>
            </w:pPr>
            <w:r>
              <w:rPr>
                <w:rFonts w:ascii="Times New Roman" w:hAnsi="Times New Roman" w:eastAsia="Times New Roman" w:cs="Times New Roman"/>
                <w:sz w:val="28"/>
                <w:szCs w:val="28"/>
              </w:rPr>
              <w:t>СК 11. Здатність здійснювати самоаналіз та безперервний професійний розвиток.</w:t>
            </w:r>
          </w:p>
        </w:tc>
      </w:tr>
    </w:tbl>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VI Нормативний зміст підготовки магістра за спеціальністю 227 Терапія та реабілітація спеціалізація 227.01 Фізична терапія, сформульований у термінах результатів навчання</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z w:val="28"/>
          <w:szCs w:val="28"/>
        </w:rPr>
      </w:pPr>
    </w:p>
    <w:tbl>
      <w:tblPr>
        <w:tblStyle w:val="103"/>
        <w:tblW w:w="10155"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100" w:type="dxa"/>
          <w:left w:w="100" w:type="dxa"/>
          <w:bottom w:w="100" w:type="dxa"/>
          <w:right w:w="100" w:type="dxa"/>
        </w:tblCellMar>
      </w:tblPr>
      <w:tblGrid>
        <w:gridCol w:w="1015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1320" w:hRule="atLeast"/>
        </w:trPr>
        <w:tc>
          <w:tcPr>
            <w:tcW w:w="10155" w:type="dxa"/>
            <w:vMerge w:val="restart"/>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01 Застосовувати біопсихосоціальну модель обмежень життєдіяльності у професійній діяльності, аналізувати медичні, соціальні та особистісні проблеми пацієнта/клієнта.</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02</w:t>
            </w:r>
            <w:r>
              <w:rPr>
                <w:rFonts w:hint="default" w:ascii="Times New Roman" w:hAnsi="Times New Roman" w:eastAsia="Times New Roman" w:cs="Times New Roman"/>
                <w:sz w:val="28"/>
                <w:szCs w:val="28"/>
                <w:lang w:val="uk-UA"/>
              </w:rPr>
              <w:t xml:space="preserve"> </w:t>
            </w:r>
            <w:r>
              <w:rPr>
                <w:rFonts w:ascii="Times New Roman" w:hAnsi="Times New Roman" w:eastAsia="Times New Roman" w:cs="Times New Roman"/>
                <w:sz w:val="28"/>
                <w:szCs w:val="28"/>
              </w:rPr>
              <w:t>Дотримуватись юридичних та етичних вимог, провадити діяльність зі згоди пацієнта/клієнта.</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03</w:t>
            </w:r>
            <w:r>
              <w:rPr>
                <w:rFonts w:hint="default" w:ascii="Times New Roman" w:hAnsi="Times New Roman" w:eastAsia="Times New Roman" w:cs="Times New Roman"/>
                <w:sz w:val="28"/>
                <w:szCs w:val="28"/>
                <w:lang w:val="uk-UA"/>
              </w:rPr>
              <w:t xml:space="preserve"> </w:t>
            </w:r>
            <w:r>
              <w:rPr>
                <w:rFonts w:ascii="Times New Roman" w:hAnsi="Times New Roman" w:eastAsia="Times New Roman" w:cs="Times New Roman"/>
                <w:sz w:val="28"/>
                <w:szCs w:val="28"/>
              </w:rPr>
              <w:t>Уміти вибирати і аналізувати інформацію про стан пацієнта.</w:t>
            </w:r>
          </w:p>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04 Оцінювати, обговорювати та застосовувати результати наукових досліджень у клінічній, науковій, освітній та адміністративній діяльності.</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05 Проводити опитування (суб’єктивне обстеження) пацієнта/клієнта для визначення потреб, порушень функції, активності та участі.</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06 Визначати рівень психомоторного та фізичного розвитку людини, її фізичний стан, виконувати об’єктивне обстеження пацієнтів/клієнтів різних нозологічних груп та при складній прогресуючій і мультисистемній патології, використовуючи відповідний інструментарій.</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07 Демонструвати здатність до пацієнтоцентричної практичної діяльності за узгодженням із пацієнтом/клієнтом, його родиною/опікунами, членами мультидисциплінарної команди.</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08 Спілкуватися з пацієнтом/клієнтом, встановлювати прямий та зворотній зв'язок для створення та підтримки терапевтичного  альянсу.</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09 Прогнозувати результати фізичної терапії пацієнтів/клієнтів різних вікових та нозологічних груп, при складній прогресуючій та мультисистемній патології.</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10 Визначати наявні ресурси фізичної терапії, встановлювати мету, цілі та завдання  втручання.</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11 Створювати програму фізичної терапії пацієнтів/клієнтів різного віку зі складними патологічними процесами та порушеннями окремо, або як частину індивідуального   реабілітаційного плану.</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12 Реалізовувати програму фізичної терапії фізичної терапії окремо, або як частину індивідуального реабілітаційного плану, відповідно до наявних ресурсів.</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13 Контролювати тривалість та інтенсивність терапевтичних заходів в межах програми фізичної терапії та окремих занять.</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14 Коректувати перебіг виконання програми фізичної терапії на основі аналізу запланованих та досягнутих результатів.</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15 Визначати  межі професійної діяльності та їх дотримуватися, провадити практичну діяльність автономно, бути відповідальним за її наслідки перед суспільством та іншим фахівцями.</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16 Вести документацію різних аспектів фізичної терапії згідно вимог чинного законодавства.</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РН 17 Взаємодіяти з адміністративними та управлінськими структурами, інформаційними ресурсами з метою адвокації професії, впливу на політики та стратегії розвитку фізичної терапії, що спрямовані на задоволення потреб окремих осіб та громади в Україні </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18 Ефективно використовувати наявні та залучати додаткові ресурси і технології для забезпечення якості послуг</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19 Викладати спеціалізовані навчальні дисципліни у закладах вищої освіти, брати участь в реалізації освітніх програм як клінічний керівник/методист/супервизор навчальних практик.</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20 Планувати та здійснювати особистий професійний розвиток, сприяти професійному розвитку колег.</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21 Планувати і виконувати наукові і прикладні дослідження у сфері фізичної терапії, висувати і перевіряти гіпотези, обирати методики та інструменти досліджень, аналізувати їх результати, обґрунтовувати висновки.</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РН 22 Надавати долікарську допомогу при невідкладних станах.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81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66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99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shd w:val="clear" w:color="auto" w:fill="FFFFFF"/>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82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99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124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99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99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34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99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115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99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81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34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34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34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34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115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765"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147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100" w:type="dxa"/>
            <w:left w:w="100" w:type="dxa"/>
            <w:bottom w:w="100" w:type="dxa"/>
            <w:right w:w="100" w:type="dxa"/>
          </w:tblCellMar>
        </w:tblPrEx>
        <w:trPr>
          <w:trHeight w:val="660" w:hRule="atLeast"/>
        </w:trPr>
        <w:tc>
          <w:tcPr>
            <w:tcW w:w="10155" w:type="dxa"/>
            <w:vMerge w:val="continue"/>
            <w:tcBorders>
              <w:bottom w:val="single" w:color="000000" w:sz="8" w:space="0"/>
              <w:right w:val="single" w:color="000000" w:sz="8" w:space="0"/>
            </w:tcBorders>
            <w:tcMar>
              <w:top w:w="0" w:type="dxa"/>
              <w:left w:w="20" w:type="dxa"/>
              <w:bottom w:w="0" w:type="dxa"/>
              <w:right w:w="20" w:type="dxa"/>
            </w:tcMa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p>
        </w:tc>
      </w:tr>
    </w:tbl>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firstLineChars="157"/>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VІІ Форми атестації здобувачів другого (магістерського) рівня вищої освіти </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z w:val="28"/>
          <w:szCs w:val="28"/>
        </w:rPr>
      </w:pPr>
    </w:p>
    <w:tbl>
      <w:tblPr>
        <w:tblStyle w:val="104"/>
        <w:tblW w:w="10217" w:type="dxa"/>
        <w:tblInd w:w="12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57" w:type="dxa"/>
          <w:right w:w="108" w:type="dxa"/>
        </w:tblCellMar>
      </w:tblPr>
      <w:tblGrid>
        <w:gridCol w:w="2672"/>
        <w:gridCol w:w="75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672"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Форми атестації здобувачів вищої освіти</w:t>
            </w:r>
          </w:p>
        </w:tc>
        <w:tc>
          <w:tcPr>
            <w:tcW w:w="7545" w:type="dxa"/>
            <w:vAlign w:val="center"/>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Атестація здійснюється у формі єдиного державного кваліфікаційного іспиту та публічного захисту кваліфікаційної роботи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672"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Вимоги до єдиного державного кваліфікаційного іспиту</w:t>
            </w:r>
          </w:p>
        </w:tc>
        <w:tc>
          <w:tcPr>
            <w:tcW w:w="7545"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Єдиний державний кваліфікаційний іспит здійснюється відповідно до Порядку, визначеного Кабінетом Міністрів України для здобувачів ступеня вищої освіти магістр за спеціальностями галузі знань 22 Охорона здоров’я.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57" w:type="dxa"/>
            <w:right w:w="108" w:type="dxa"/>
          </w:tblCellMar>
        </w:tblPrEx>
        <w:trPr>
          <w:trHeight w:val="151" w:hRule="atLeast"/>
        </w:trPr>
        <w:tc>
          <w:tcPr>
            <w:tcW w:w="2672"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Вимоги до кваліфікаційної роботи</w:t>
            </w:r>
          </w:p>
        </w:tc>
        <w:tc>
          <w:tcPr>
            <w:tcW w:w="7545"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Кваліфікаційна робота має передбачати розв’язання задачі дослідницького та/або інноваційного характеру </w:t>
            </w:r>
            <w:r>
              <w:rPr>
                <w:rFonts w:ascii="Times New Roman" w:hAnsi="Times New Roman" w:eastAsia="Times New Roman" w:cs="Times New Roman"/>
                <w:color w:val="000000"/>
                <w:sz w:val="28"/>
                <w:szCs w:val="28"/>
              </w:rPr>
              <w:t>у сфері фізичної терапії</w:t>
            </w:r>
            <w:r>
              <w:rPr>
                <w:rFonts w:ascii="Times New Roman" w:hAnsi="Times New Roman" w:eastAsia="Times New Roman" w:cs="Times New Roman"/>
              </w:rPr>
              <w:t xml:space="preserve">. </w:t>
            </w:r>
            <w:r>
              <w:rPr>
                <w:rFonts w:ascii="Times New Roman" w:hAnsi="Times New Roman" w:eastAsia="Times New Roman" w:cs="Times New Roman"/>
                <w:sz w:val="28"/>
                <w:szCs w:val="28"/>
              </w:rPr>
              <w:t>Кваліфікаційна робота не повинна містити академічного плагіату, фальсифікації, фабрикації.</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Кваліфікаційна робота має бути оприлюднена на офіційному сайті закладу вищої освіти чи його структурного підрозділу, або у репозитарії закладу вищої освіти.</w:t>
            </w:r>
          </w:p>
        </w:tc>
      </w:tr>
    </w:tbl>
    <w:p>
      <w:pPr>
        <w:shd w:val="clear" w:color="auto" w:fill="FFFFFF"/>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color w:val="000000"/>
          <w:sz w:val="28"/>
          <w:szCs w:val="28"/>
        </w:rPr>
      </w:pPr>
    </w:p>
    <w:p>
      <w:pPr>
        <w:shd w:val="clear" w:color="auto" w:fill="FFFFFF"/>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color w:val="000000"/>
          <w:sz w:val="28"/>
          <w:szCs w:val="28"/>
        </w:rPr>
      </w:pPr>
      <w:r>
        <w:rPr>
          <w:rFonts w:ascii="Times New Roman" w:hAnsi="Times New Roman" w:eastAsia="Times New Roman" w:cs="Times New Roman"/>
          <w:b/>
          <w:color w:val="000000"/>
          <w:sz w:val="28"/>
          <w:szCs w:val="28"/>
        </w:rPr>
        <w:t>VIIІ Вимоги до створення освітніх програм підготовки за галуззю знань, двома галузями знань або групою спеціальностей, міждисциплінарних освітньо-наукових програм</w:t>
      </w:r>
    </w:p>
    <w:p>
      <w:pPr>
        <w:shd w:val="clear" w:color="auto" w:fill="FFFFFF"/>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color w:val="000000"/>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Створення міждисциплінарних програм не передбачається.</w:t>
      </w:r>
    </w:p>
    <w:p>
      <w:pPr>
        <w:shd w:val="clear" w:color="auto" w:fill="FFFFFF"/>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color w:val="000000"/>
          <w:sz w:val="28"/>
          <w:szCs w:val="28"/>
        </w:rPr>
      </w:pP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ІХ Вимоги професійних стандартів за спеціальністю 227 Терапія та реабілітація спеціалізація 227.01 Фізична терапія</w:t>
      </w:r>
    </w:p>
    <w:p>
      <w:pPr>
        <w:shd w:val="clear" w:color="auto" w:fill="FFFFFF"/>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p>
    <w:tbl>
      <w:tblPr>
        <w:tblStyle w:val="105"/>
        <w:tblW w:w="10364" w:type="dxa"/>
        <w:tblInd w:w="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15" w:type="dxa"/>
          <w:bottom w:w="0" w:type="dxa"/>
          <w:right w:w="115" w:type="dxa"/>
        </w:tblCellMar>
      </w:tblPr>
      <w:tblGrid>
        <w:gridCol w:w="3414"/>
        <w:gridCol w:w="69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3414" w:type="dxa"/>
          </w:tcPr>
          <w:p>
            <w:pPr>
              <w:kinsoku/>
              <w:wordWrap/>
              <w:overflowPunct/>
              <w:topLinePunct w:val="0"/>
              <w:autoSpaceDE/>
              <w:autoSpaceDN/>
              <w:bidi w:val="0"/>
              <w:adjustRightInd/>
              <w:snapToGrid/>
              <w:spacing w:after="0" w:line="240" w:lineRule="auto"/>
              <w:ind w:left="0" w:leftChars="0" w:right="0"/>
              <w:jc w:val="left"/>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Повна назва Професійного стандарту </w:t>
            </w:r>
          </w:p>
        </w:tc>
        <w:tc>
          <w:tcPr>
            <w:tcW w:w="6950"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World Physiotherapy. Physiotherapist education framework. London, UK: World Physiotherapy; 2021.</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Україна</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Професійний стандарт «Фізичний терапевт»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3414" w:type="dxa"/>
          </w:tcPr>
          <w:p>
            <w:pPr>
              <w:kinsoku/>
              <w:wordWrap/>
              <w:overflowPunct/>
              <w:topLinePunct w:val="0"/>
              <w:autoSpaceDE/>
              <w:autoSpaceDN/>
              <w:bidi w:val="0"/>
              <w:adjustRightInd/>
              <w:snapToGrid/>
              <w:spacing w:after="0" w:line="240" w:lineRule="auto"/>
              <w:ind w:left="0" w:leftChars="0" w:right="0"/>
              <w:jc w:val="left"/>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Назва та реквізити відповідного документу </w:t>
            </w:r>
          </w:p>
        </w:tc>
        <w:tc>
          <w:tcPr>
            <w:tcW w:w="6950" w:type="dxa"/>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fldChar w:fldCharType="begin"/>
            </w:r>
            <w:r>
              <w:instrText xml:space="preserve"> HYPERLINK "https://world.physio/sites/default/files/2021-07/Physiotherapist-education-framework-FINAL.pdf" \h </w:instrText>
            </w:r>
            <w:r>
              <w:fldChar w:fldCharType="separate"/>
            </w:r>
            <w:r>
              <w:rPr>
                <w:rFonts w:ascii="Times New Roman" w:hAnsi="Times New Roman" w:eastAsia="Times New Roman" w:cs="Times New Roman"/>
                <w:color w:val="1155CC"/>
                <w:sz w:val="28"/>
                <w:szCs w:val="28"/>
                <w:u w:val="single"/>
              </w:rPr>
              <w:t>https://world.physio/sites/default/files/2021-07/Physiotherapist-education-framework-FINAL.pdf</w:t>
            </w:r>
            <w:r>
              <w:rPr>
                <w:rFonts w:ascii="Times New Roman" w:hAnsi="Times New Roman" w:eastAsia="Times New Roman" w:cs="Times New Roman"/>
                <w:color w:val="1155CC"/>
                <w:sz w:val="28"/>
                <w:szCs w:val="28"/>
                <w:u w:val="single"/>
              </w:rPr>
              <w:fldChar w:fldCharType="end"/>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Україна</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8"/>
                <w:szCs w:val="28"/>
              </w:rPr>
            </w:pPr>
            <w:r>
              <w:fldChar w:fldCharType="begin"/>
            </w:r>
            <w:r>
              <w:instrText xml:space="preserve"> HYPERLINK "https://register.nqa.gov.ua/uploads/0/444-profesijnij_standart_fizicnij_terapevt_1.pdf" \h </w:instrText>
            </w:r>
            <w:r>
              <w:fldChar w:fldCharType="separate"/>
            </w:r>
            <w:r>
              <w:rPr>
                <w:rFonts w:ascii="Times New Roman" w:hAnsi="Times New Roman" w:eastAsia="Times New Roman" w:cs="Times New Roman"/>
                <w:color w:val="1155CC"/>
                <w:sz w:val="28"/>
                <w:szCs w:val="28"/>
                <w:u w:val="single"/>
              </w:rPr>
              <w:t>https://register.nqa.gov.ua/uploads/0/444-profesijnij_standart_fizicnij_terapevt_1.pdf</w:t>
            </w:r>
            <w:r>
              <w:rPr>
                <w:rFonts w:ascii="Times New Roman" w:hAnsi="Times New Roman" w:eastAsia="Times New Roman" w:cs="Times New Roman"/>
                <w:color w:val="1155CC"/>
                <w:sz w:val="28"/>
                <w:szCs w:val="28"/>
                <w:u w:val="single"/>
              </w:rPr>
              <w:fldChar w:fldCharType="end"/>
            </w:r>
            <w:r>
              <w:rPr>
                <w:rFonts w:ascii="Times New Roman" w:hAnsi="Times New Roman" w:eastAsia="Times New Roman" w:cs="Times New Roman"/>
                <w:sz w:val="28"/>
                <w:szCs w:val="28"/>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15" w:type="dxa"/>
            <w:bottom w:w="0" w:type="dxa"/>
            <w:right w:w="115" w:type="dxa"/>
          </w:tblCellMar>
        </w:tblPrEx>
        <w:trPr>
          <w:trHeight w:val="151" w:hRule="atLeast"/>
        </w:trPr>
        <w:tc>
          <w:tcPr>
            <w:tcW w:w="3414" w:type="dxa"/>
          </w:tcPr>
          <w:p>
            <w:pPr>
              <w:kinsoku/>
              <w:wordWrap/>
              <w:overflowPunct/>
              <w:topLinePunct w:val="0"/>
              <w:autoSpaceDE/>
              <w:autoSpaceDN/>
              <w:bidi w:val="0"/>
              <w:adjustRightInd/>
              <w:snapToGrid/>
              <w:spacing w:after="0" w:line="240" w:lineRule="auto"/>
              <w:ind w:left="0" w:leftChars="0" w:right="0"/>
              <w:jc w:val="left"/>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Особливості стандарту вищої освіти, пов’язані з наявністю даного Професійного стандарту </w:t>
            </w:r>
          </w:p>
        </w:tc>
        <w:tc>
          <w:tcPr>
            <w:tcW w:w="6950" w:type="dxa"/>
          </w:tcPr>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Стандарти </w:t>
            </w:r>
            <w:r>
              <w:rPr>
                <w:rFonts w:ascii="Times New Roman" w:hAnsi="Times New Roman" w:eastAsia="Times New Roman" w:cs="Times New Roman"/>
                <w:sz w:val="28"/>
                <w:szCs w:val="28"/>
              </w:rPr>
              <w:t>враховані</w:t>
            </w:r>
            <w:r>
              <w:rPr>
                <w:rFonts w:ascii="Times New Roman" w:hAnsi="Times New Roman" w:eastAsia="Times New Roman" w:cs="Times New Roman"/>
                <w:color w:val="000000"/>
                <w:sz w:val="28"/>
                <w:szCs w:val="28"/>
              </w:rPr>
              <w:t xml:space="preserve"> при визначенні основних компетентностей, які має здобути випускник, термінів навчання, тривалості клінічних практик, результатів навчання, вимог до атестації та вимог до якості. </w:t>
            </w:r>
          </w:p>
        </w:tc>
      </w:tr>
    </w:tbl>
    <w:p>
      <w:pPr>
        <w:shd w:val="clear" w:color="auto" w:fill="FFFFFF"/>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Х Додаткові вимоги до організації освітнього процесу для освітніх програм з підготовки фахівців для професій, для яких запроваджене додаткове регулювання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Засвоєння здобувачами освітнього ступеня магістр</w:t>
      </w:r>
      <w:r>
        <w:rPr>
          <w:rFonts w:ascii="Times New Roman" w:hAnsi="Times New Roman" w:eastAsia="Times New Roman" w:cs="Times New Roman"/>
          <w:color w:val="000000"/>
          <w:sz w:val="28"/>
          <w:szCs w:val="28"/>
          <w:lang w:val="uk-UA"/>
        </w:rPr>
        <w:t>а</w:t>
      </w:r>
      <w:r>
        <w:rPr>
          <w:rFonts w:ascii="Times New Roman" w:hAnsi="Times New Roman" w:eastAsia="Times New Roman" w:cs="Times New Roman"/>
          <w:color w:val="000000"/>
          <w:sz w:val="28"/>
          <w:szCs w:val="28"/>
        </w:rPr>
        <w:t xml:space="preserve"> за спеціальністю 227 Терапія та реабілітація спеціальних (фахових) компетентностей повинно здійснюватися на клінічних базах закладу освіти відповідного профілю, відповідно до навчальних планів. </w:t>
      </w:r>
      <w:r>
        <w:rPr>
          <w:rFonts w:ascii="Times New Roman" w:hAnsi="Times New Roman" w:eastAsia="Times New Roman" w:cs="Times New Roman"/>
          <w:sz w:val="28"/>
          <w:szCs w:val="28"/>
        </w:rPr>
        <w:t xml:space="preserve">Клінічні практики/ клінічне навчання проводяться у спеціалізованих підрозділах із залученням профільних фізичних терапевтів. </w:t>
      </w:r>
      <w:r>
        <w:rPr>
          <w:rFonts w:ascii="Times New Roman" w:hAnsi="Times New Roman" w:eastAsia="Times New Roman" w:cs="Times New Roman"/>
          <w:color w:val="000000"/>
          <w:sz w:val="28"/>
          <w:szCs w:val="28"/>
        </w:rPr>
        <w:t>Професійна підготовка на клінічних базах повинна враховувати специфіку кожної дисципліни та, з метою засвоєння фахових компетенцій, обов’язково передбачати використання симуляційних методів навчання, роботу із застосуванням відповідного обладнання та безпосередню роботу з пацієнтом</w:t>
      </w:r>
      <w:r>
        <w:rPr>
          <w:rFonts w:ascii="Times New Roman" w:hAnsi="Times New Roman" w:eastAsia="Times New Roman" w:cs="Times New Roman"/>
          <w:sz w:val="28"/>
          <w:szCs w:val="28"/>
        </w:rPr>
        <w:t>/</w:t>
      </w:r>
      <w:r>
        <w:rPr>
          <w:rFonts w:ascii="Times New Roman" w:hAnsi="Times New Roman" w:eastAsia="Times New Roman" w:cs="Times New Roman"/>
          <w:color w:val="000000"/>
          <w:sz w:val="28"/>
          <w:szCs w:val="28"/>
        </w:rPr>
        <w:t xml:space="preserve">клієнтом; </w:t>
      </w:r>
    </w:p>
    <w:p>
      <w:pP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Проходження кожної клінічної практики/ клінічного навчання у повному обсязі є обов’язковим. Для забезпечення клінічних практик необхідно укласти договори про співробітництво із закладами охорони здоров’я, соціального захисту тощо, що надають реабілітаційну допомогу в гострому, післягострому та довготривалому періодах.</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Вимоги до клінічного компоненту освітньої програми базового рівня підготовки за спеціальністю 227 Терапія та реабілітація спеціалізація 227.01 Фізична терапія</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Базовий рівень підготовки фізичного терапевта досягається успішним завершенням відповідної освітньої програми другого (магістерського) рівня, метою якої є формування  фізичного терапевта як компетентного та самостійного практика.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Клінічне навчання / клінічні практики є важливим компонентом освітньої програми підготовки фізичних терапевтів базового рівня, який реалізується у середовищі, що сприяє професійному розвитку студента та стимулює формування самостійного та компетентного клініциста. У клінічних умовах студенти-фізичні терапевти мають змогу інтегрувати фахові знання, уміння та професійну поведінку, а також розвивати основні клінічні навички обстеження, планування, втручання та контролю.</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Кожен ЗВО повинен забезпечити штатних науково-педагогічних працівників відповідальних за компонент клінічного навчання академічної програми, які мають бути  фізичним терапевтом та виконувати обов’язки </w:t>
      </w:r>
      <w:r>
        <w:rPr>
          <w:rFonts w:ascii="Times New Roman" w:hAnsi="Times New Roman" w:eastAsia="Times New Roman" w:cs="Times New Roman"/>
          <w:b/>
          <w:sz w:val="28"/>
          <w:szCs w:val="28"/>
        </w:rPr>
        <w:t>координатора клінічного навчання.</w:t>
      </w:r>
      <w:r>
        <w:rPr>
          <w:rFonts w:ascii="Times New Roman" w:hAnsi="Times New Roman" w:eastAsia="Times New Roman" w:cs="Times New Roman"/>
          <w:sz w:val="28"/>
          <w:szCs w:val="28"/>
        </w:rPr>
        <w:t xml:space="preserve"> </w:t>
      </w:r>
    </w:p>
    <w:p>
      <w:pPr>
        <w:kinsoku/>
        <w:wordWrap/>
        <w:overflowPunct/>
        <w:topLinePunct w:val="0"/>
        <w:autoSpaceDE/>
        <w:autoSpaceDN/>
        <w:bidi w:val="0"/>
        <w:adjustRightInd/>
        <w:snapToGrid/>
        <w:spacing w:after="0" w:line="240" w:lineRule="auto"/>
        <w:ind w:left="0" w:leftChars="0" w:right="0" w:firstLine="566"/>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Роль координатора клінічного навчання передбачає:</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Організація та забезпечення клінічного навчання згідно законодавчих, етичних та практичних професійних настанов; </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Налагодження та підтримка комунікації  з уповноваженою особою від бази практики упродовж клінічного навчання; </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Укладання договору про співпрацю між ЗВО та базами практики; </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Встановлення цілей клінічної практики та прогнозованих результатів клінічного навчання на базі практики (Додаток 3 та 4);</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Надання настанов клінічним супервізорам щодо очікуваного рівня засвоєння результатів клінічного навчання студентів (Додаток 6);</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Комунікація зі студентами щодо встановлення та досягнення очікуваного рівня результатів клінічного навчання; </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Комунікація з клінічними супервізорами щодо виконання академічної програми та досягнення очікуваних результатів клінічного навчання;</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Підготовка документації та контроль за її веденням;</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Оцінювання загальних результатів клінічного навчання;</w:t>
      </w:r>
    </w:p>
    <w:p>
      <w:pPr>
        <w:numPr>
          <w:ilvl w:val="0"/>
          <w:numId w:val="2"/>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Вирішення конфліктних ситуацій під час клінічного навчання. </w:t>
      </w:r>
    </w:p>
    <w:p>
      <w:pP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Для забезпечення клінічних практик необхідно укласти договори про  практику (співпрацю, меморандум, тощо) із закладами охорони здоров’я, соціального захисту тощо, що надають реабілітаційну допомогу в гострому, післягострому та довготривалому періодах.</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Базами практик мають забезпечити усі аспекти  менеджменту пацієнта / клієнта з порушеннями функцій та обмеженням життєдіяльності, що потребує фізичної терапії: обстеження, планування, втручання, контроль та їхні складники. Причинами дисфункцій можуть бути неврологічні, кардіо-респіраторні, м’язово-скелетні та інші порушення або їх поєднання. Студентам слід надати можливість працювати з пацієнтами / клієнтами різного віку та у різних клінічних умовах, демонструвати професійні навички та поведінку, щоб досягти результатів клінічного навчання.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Клінічне навчання здійснюється під супервізією фізичних терапевтів, які працюють на базах практик. Основна роль клінічного супервізора полягає у створенні умов для досягнення очікуваних результатів клінічного навчання.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Відповідальність фізичного терапевта як клінічного супервізора передбачає:</w:t>
      </w:r>
    </w:p>
    <w:p>
      <w:pPr>
        <w:numPr>
          <w:ilvl w:val="0"/>
          <w:numId w:val="3"/>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Науково-методичне та організаційне забезпечення клінічного навчання;</w:t>
      </w:r>
    </w:p>
    <w:p>
      <w:pPr>
        <w:numPr>
          <w:ilvl w:val="0"/>
          <w:numId w:val="3"/>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Знання законодавчих, етичних та практичних професійних настанов; </w:t>
      </w:r>
    </w:p>
    <w:p>
      <w:pPr>
        <w:numPr>
          <w:ilvl w:val="0"/>
          <w:numId w:val="3"/>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Планування діяльності студента під час практики;</w:t>
      </w:r>
    </w:p>
    <w:p>
      <w:pPr>
        <w:numPr>
          <w:ilvl w:val="0"/>
          <w:numId w:val="3"/>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Забезпечення супервізії відповідно до рівня очікуваних та досягнутих результатів клінічного навчання (Додатки 3 та 5);</w:t>
      </w:r>
    </w:p>
    <w:p>
      <w:pPr>
        <w:numPr>
          <w:ilvl w:val="0"/>
          <w:numId w:val="3"/>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Оцінювання успішності студента, шляхом безпосереднього спостереження;</w:t>
      </w:r>
    </w:p>
    <w:p>
      <w:pPr>
        <w:numPr>
          <w:ilvl w:val="0"/>
          <w:numId w:val="3"/>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Виконання ролі професійної моделі для наслідування студентом упродовж клінічної практики.</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Під час клінічної практики, яка передбачає безпосередню взаємодію студентів з пацієнтами, один  клінічний супервізор керує роботою не більше трьох студентів.</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bookmarkStart w:id="0" w:name="_heading=h.1ksv4uv" w:colFirst="0" w:colLast="0"/>
      <w:bookmarkEnd w:id="0"/>
      <w:r>
        <w:rPr>
          <w:rFonts w:ascii="Times New Roman" w:hAnsi="Times New Roman" w:eastAsia="Times New Roman" w:cs="Times New Roman"/>
          <w:sz w:val="28"/>
          <w:szCs w:val="28"/>
        </w:rPr>
        <w:t>ЗВО вибирає очікувані результати клінічного навчання з Додатку 3 та їх рівні з Додатку 5.</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bookmarkStart w:id="1" w:name="_heading=h.44sinio" w:colFirst="0" w:colLast="0"/>
      <w:bookmarkEnd w:id="1"/>
      <w:r>
        <w:rPr>
          <w:rFonts w:ascii="Times New Roman" w:hAnsi="Times New Roman" w:eastAsia="Times New Roman" w:cs="Times New Roman"/>
          <w:sz w:val="28"/>
          <w:szCs w:val="28"/>
        </w:rPr>
        <w:t xml:space="preserve">Цю інформацію координатор клінічного навчання представляє супервізорам на базах практики та студентам.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sz w:val="28"/>
          <w:szCs w:val="28"/>
        </w:rPr>
        <w:t>Метою виконання клінічного компоненту освітньої програми є досягнення студентом  четвертого рівня засвоєння  усіх вісімнадцяти  результатів клінічного навчання.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ХІ Додаткові вимоги до структури освітніх програм, що передбачають присвоєння професійних кваліфікацій з професій, для яких запроваджене додаткове регулювання</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Освітня програма на здобуття ступеня магістра Терапії та реабілітації за спеціалізацією 227.1 Фізична терапія повинна містити не менше 34 кредитів клінічних практик/ клінічного навчання тривалістю не менше 6 кредитів кожна. Обов’язковими є клінічні практики/клінічне навчання з фізичної терапії осіб різного віку (у тому числі дитячого та старечого) з порушеннями діяльності опорно-рухового апарату, серцево-судинної, дихальної та нервової систем, із важкими, комбінованими та тривалими порушеннями.</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Вимоги до викладацького складу:</w:t>
      </w:r>
    </w:p>
    <w:p>
      <w:pP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Гарантом програми/членом робочої групи при ліцензуванні (акредитації) освітньої програми за спеціалізацією 227.01 Фізична терапія може бути особа, яка має освіту спеціаліста/магістра з фізичної реабілітації/фізичної терапії, ерготерапії/терапії та реабілітації, захистила дисертаційну роботу кандидата чи доктора наук </w:t>
      </w:r>
    </w:p>
    <w:p>
      <w:pP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Дисципліни, що формують спеціальні компетентності викладають фахівці, які займають/можуть займати посаду фізичного терапевта. </w:t>
      </w:r>
    </w:p>
    <w:p>
      <w:pP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Дисципліни, які формують здатність розуміти медико-біологічні, психолого-педагогічні, соціальні аспекти, пов’язані з практикою фізичної терапії викладаються  науково-педагогічними (педагогічними) та/або науковими працівниками з урахуванням відповідності їх освітньої та/або професійної кваліфікації.</w:t>
      </w:r>
    </w:p>
    <w:p>
      <w:pP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Вимоги до матеріально-технічного забезпечення реалізації освітньої програми за спеціальністю 227 Терапія та реабілітація представлені у додатку 3.</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sz w:val="28"/>
          <w:szCs w:val="28"/>
        </w:rPr>
      </w:pPr>
      <w:r>
        <w:rPr>
          <w:rFonts w:ascii="Times New Roman" w:hAnsi="Times New Roman" w:eastAsia="Times New Roman" w:cs="Times New Roman"/>
          <w:b/>
          <w:sz w:val="28"/>
          <w:szCs w:val="28"/>
        </w:rPr>
        <w:t>XІІ Перелік нормативних документів, на яких базується стандарт вищої освіти</w:t>
      </w:r>
    </w:p>
    <w:p>
      <w:pPr>
        <w:kinsoku/>
        <w:wordWrap/>
        <w:overflowPunct/>
        <w:topLinePunct w:val="0"/>
        <w:autoSpaceDE/>
        <w:autoSpaceDN/>
        <w:bidi w:val="0"/>
        <w:adjustRightInd/>
        <w:snapToGrid/>
        <w:spacing w:after="0" w:line="240" w:lineRule="auto"/>
        <w:ind w:left="0" w:leftChars="0" w:right="0" w:firstLine="440"/>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1. Закон України «Про вищу освіту» – </w:t>
      </w:r>
      <w:r>
        <w:rPr>
          <w:rFonts w:ascii="Times New Roman" w:hAnsi="Times New Roman" w:eastAsia="Times New Roman" w:cs="Times New Roman"/>
          <w:sz w:val="28"/>
          <w:szCs w:val="28"/>
        </w:rPr>
        <w:fldChar w:fldCharType="begin"/>
      </w:r>
      <w:r>
        <w:rPr>
          <w:rFonts w:ascii="Times New Roman" w:hAnsi="Times New Roman" w:eastAsia="Times New Roman" w:cs="Times New Roman"/>
          <w:sz w:val="28"/>
          <w:szCs w:val="28"/>
        </w:rPr>
        <w:instrText xml:space="preserve"> HYPERLINK "http://zakon4.rada.gov.ua/laws/show/1556-18" \h </w:instrText>
      </w:r>
      <w:r>
        <w:rPr>
          <w:rFonts w:ascii="Times New Roman" w:hAnsi="Times New Roman" w:eastAsia="Times New Roman" w:cs="Times New Roman"/>
          <w:sz w:val="28"/>
          <w:szCs w:val="28"/>
        </w:rPr>
        <w:fldChar w:fldCharType="separate"/>
      </w:r>
      <w:r>
        <w:rPr>
          <w:rFonts w:ascii="Times New Roman" w:hAnsi="Times New Roman" w:eastAsia="Times New Roman" w:cs="Times New Roman"/>
          <w:sz w:val="28"/>
          <w:szCs w:val="28"/>
        </w:rPr>
        <w:t>http://zakon4.rada.gov.ua/laws/show/1556-18</w:t>
      </w:r>
      <w:r>
        <w:rPr>
          <w:rFonts w:ascii="Times New Roman" w:hAnsi="Times New Roman" w:eastAsia="Times New Roman" w:cs="Times New Roman"/>
          <w:sz w:val="28"/>
          <w:szCs w:val="28"/>
        </w:rPr>
        <w:fldChar w:fldCharType="end"/>
      </w:r>
      <w:r>
        <w:rPr>
          <w:rFonts w:ascii="Times New Roman" w:hAnsi="Times New Roman" w:eastAsia="Times New Roman" w:cs="Times New Roman"/>
          <w:sz w:val="28"/>
          <w:szCs w:val="28"/>
        </w:rPr>
        <w:t>;</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2. Закон України «Про освіту» – </w:t>
      </w:r>
      <w:r>
        <w:rPr>
          <w:rFonts w:ascii="Times New Roman" w:hAnsi="Times New Roman" w:eastAsia="Times New Roman" w:cs="Times New Roman"/>
          <w:sz w:val="28"/>
          <w:szCs w:val="28"/>
        </w:rPr>
        <w:fldChar w:fldCharType="begin"/>
      </w:r>
      <w:r>
        <w:rPr>
          <w:rFonts w:ascii="Times New Roman" w:hAnsi="Times New Roman" w:eastAsia="Times New Roman" w:cs="Times New Roman"/>
          <w:sz w:val="28"/>
          <w:szCs w:val="28"/>
        </w:rPr>
        <w:instrText xml:space="preserve"> HYPERLINK "http://zakon5.rada.gov.ua/laws/show/2145-19" \h </w:instrText>
      </w:r>
      <w:r>
        <w:rPr>
          <w:rFonts w:ascii="Times New Roman" w:hAnsi="Times New Roman" w:eastAsia="Times New Roman" w:cs="Times New Roman"/>
          <w:sz w:val="28"/>
          <w:szCs w:val="28"/>
        </w:rPr>
        <w:fldChar w:fldCharType="separate"/>
      </w:r>
      <w:r>
        <w:rPr>
          <w:rFonts w:ascii="Times New Roman" w:hAnsi="Times New Roman" w:eastAsia="Times New Roman" w:cs="Times New Roman"/>
          <w:sz w:val="28"/>
          <w:szCs w:val="28"/>
        </w:rPr>
        <w:t>http://zakon5.rada.gov.ua/laws/show/2145-19</w:t>
      </w:r>
      <w:r>
        <w:rPr>
          <w:rFonts w:ascii="Times New Roman" w:hAnsi="Times New Roman" w:eastAsia="Times New Roman" w:cs="Times New Roman"/>
          <w:sz w:val="28"/>
          <w:szCs w:val="28"/>
        </w:rPr>
        <w:fldChar w:fldCharType="end"/>
      </w:r>
      <w:r>
        <w:rPr>
          <w:rFonts w:ascii="Times New Roman" w:hAnsi="Times New Roman" w:eastAsia="Times New Roman" w:cs="Times New Roman"/>
          <w:sz w:val="28"/>
          <w:szCs w:val="28"/>
        </w:rPr>
        <w:t>;</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3. Закон «Про реабілітацію у сфері охорони здоров’я» </w:t>
      </w:r>
      <w:r>
        <w:rPr>
          <w:rFonts w:ascii="Times New Roman" w:hAnsi="Times New Roman" w:eastAsia="Times New Roman" w:cs="Times New Roman"/>
          <w:sz w:val="28"/>
          <w:szCs w:val="28"/>
        </w:rPr>
        <w:fldChar w:fldCharType="begin"/>
      </w:r>
      <w:r>
        <w:rPr>
          <w:rFonts w:ascii="Times New Roman" w:hAnsi="Times New Roman" w:eastAsia="Times New Roman" w:cs="Times New Roman"/>
          <w:sz w:val="28"/>
          <w:szCs w:val="28"/>
        </w:rPr>
        <w:instrText xml:space="preserve"> HYPERLINK "https://zakon.rada.gov.ua/laws/show/1053-20" \l "Text" \h </w:instrText>
      </w:r>
      <w:r>
        <w:rPr>
          <w:rFonts w:ascii="Times New Roman" w:hAnsi="Times New Roman" w:eastAsia="Times New Roman" w:cs="Times New Roman"/>
          <w:sz w:val="28"/>
          <w:szCs w:val="28"/>
        </w:rPr>
        <w:fldChar w:fldCharType="separate"/>
      </w:r>
      <w:r>
        <w:rPr>
          <w:rFonts w:ascii="Times New Roman" w:hAnsi="Times New Roman" w:eastAsia="Times New Roman" w:cs="Times New Roman"/>
          <w:sz w:val="28"/>
          <w:szCs w:val="28"/>
        </w:rPr>
        <w:t>https://zakon.rada.gov.ua/laws/show/1053-20#Text</w:t>
      </w:r>
      <w:r>
        <w:rPr>
          <w:rFonts w:ascii="Times New Roman" w:hAnsi="Times New Roman" w:eastAsia="Times New Roman" w:cs="Times New Roman"/>
          <w:sz w:val="28"/>
          <w:szCs w:val="28"/>
        </w:rPr>
        <w:fldChar w:fldCharType="end"/>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4. Постанова Кабінету Міністрів України «Про затвердження переліку галузей знань і спеціальностей, за якими здійснюється підготовка здобувачів вищої освіти» від 29.04.2015 р. № 266 – </w:t>
      </w:r>
      <w:r>
        <w:rPr>
          <w:rFonts w:ascii="Times New Roman" w:hAnsi="Times New Roman" w:eastAsia="Times New Roman" w:cs="Times New Roman"/>
          <w:sz w:val="28"/>
          <w:szCs w:val="28"/>
        </w:rPr>
        <w:fldChar w:fldCharType="begin"/>
      </w:r>
      <w:r>
        <w:rPr>
          <w:rFonts w:ascii="Times New Roman" w:hAnsi="Times New Roman" w:eastAsia="Times New Roman" w:cs="Times New Roman"/>
          <w:sz w:val="28"/>
          <w:szCs w:val="28"/>
        </w:rPr>
        <w:instrText xml:space="preserve"> HYPERLINK "http://zakon4.rada.gov.ua/laws/show/266-2015-%D0%BF" \h </w:instrText>
      </w:r>
      <w:r>
        <w:rPr>
          <w:rFonts w:ascii="Times New Roman" w:hAnsi="Times New Roman" w:eastAsia="Times New Roman" w:cs="Times New Roman"/>
          <w:sz w:val="28"/>
          <w:szCs w:val="28"/>
        </w:rPr>
        <w:fldChar w:fldCharType="separate"/>
      </w:r>
      <w:r>
        <w:rPr>
          <w:rFonts w:ascii="Times New Roman" w:hAnsi="Times New Roman" w:eastAsia="Times New Roman" w:cs="Times New Roman"/>
          <w:sz w:val="28"/>
          <w:szCs w:val="28"/>
        </w:rPr>
        <w:t>http://zakon4.rada.gov.ua/laws/show/266-2015-п</w:t>
      </w:r>
      <w:r>
        <w:rPr>
          <w:rFonts w:ascii="Times New Roman" w:hAnsi="Times New Roman" w:eastAsia="Times New Roman" w:cs="Times New Roman"/>
          <w:sz w:val="28"/>
          <w:szCs w:val="28"/>
        </w:rPr>
        <w:fldChar w:fldCharType="end"/>
      </w:r>
      <w:r>
        <w:rPr>
          <w:rFonts w:ascii="Times New Roman" w:hAnsi="Times New Roman" w:eastAsia="Times New Roman" w:cs="Times New Roman"/>
          <w:sz w:val="28"/>
          <w:szCs w:val="28"/>
        </w:rPr>
        <w:t>;</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5. Наказ Міністерства охорони здоров’я України від 14.08.1998 р. №251 Про затвердження Положення про систему ліцензійних інтегрованих іспитів фахівців з вищою освітою напрямів «Медицина» і «Фармація»  </w:t>
      </w:r>
      <w:r>
        <w:rPr>
          <w:rFonts w:ascii="Times New Roman" w:hAnsi="Times New Roman" w:eastAsia="Times New Roman" w:cs="Times New Roman"/>
          <w:sz w:val="28"/>
          <w:szCs w:val="28"/>
        </w:rPr>
        <w:fldChar w:fldCharType="begin"/>
      </w:r>
      <w:r>
        <w:rPr>
          <w:rFonts w:ascii="Times New Roman" w:hAnsi="Times New Roman" w:eastAsia="Times New Roman" w:cs="Times New Roman"/>
          <w:sz w:val="28"/>
          <w:szCs w:val="28"/>
        </w:rPr>
        <w:instrText xml:space="preserve"> HYPERLINK "https://zakon.rada.gov.ua/laws/show/z0563-98" \l "Text" \h </w:instrText>
      </w:r>
      <w:r>
        <w:rPr>
          <w:rFonts w:ascii="Times New Roman" w:hAnsi="Times New Roman" w:eastAsia="Times New Roman" w:cs="Times New Roman"/>
          <w:sz w:val="28"/>
          <w:szCs w:val="28"/>
        </w:rPr>
        <w:fldChar w:fldCharType="separate"/>
      </w:r>
      <w:r>
        <w:rPr>
          <w:rFonts w:ascii="Times New Roman" w:hAnsi="Times New Roman" w:eastAsia="Times New Roman" w:cs="Times New Roman"/>
          <w:sz w:val="28"/>
          <w:szCs w:val="28"/>
        </w:rPr>
        <w:t>https://zakon.rada.gov.ua/laws/show/z0563-98#Text</w:t>
      </w:r>
      <w:r>
        <w:rPr>
          <w:rFonts w:ascii="Times New Roman" w:hAnsi="Times New Roman" w:eastAsia="Times New Roman" w:cs="Times New Roman"/>
          <w:sz w:val="28"/>
          <w:szCs w:val="28"/>
        </w:rPr>
        <w:fldChar w:fldCharType="end"/>
      </w:r>
      <w:r>
        <w:rPr>
          <w:rFonts w:ascii="Times New Roman" w:hAnsi="Times New Roman" w:eastAsia="Times New Roman" w:cs="Times New Roman"/>
          <w:sz w:val="28"/>
          <w:szCs w:val="28"/>
        </w:rPr>
        <w:t xml:space="preserve">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6. Національний класифікатор України: Класифікатор професій ДК 003:2010. – </w:t>
      </w:r>
      <w:r>
        <w:rPr>
          <w:rFonts w:ascii="Times New Roman" w:hAnsi="Times New Roman" w:eastAsia="Times New Roman" w:cs="Times New Roman"/>
          <w:sz w:val="28"/>
          <w:szCs w:val="28"/>
        </w:rPr>
        <w:fldChar w:fldCharType="begin"/>
      </w:r>
      <w:r>
        <w:rPr>
          <w:rFonts w:ascii="Times New Roman" w:hAnsi="Times New Roman" w:eastAsia="Times New Roman" w:cs="Times New Roman"/>
          <w:sz w:val="28"/>
          <w:szCs w:val="28"/>
        </w:rPr>
        <w:instrText xml:space="preserve"> HYPERLINK "https://zakon.rada.gov.ua/rada/show/va327609-10" \h </w:instrText>
      </w:r>
      <w:r>
        <w:rPr>
          <w:rFonts w:ascii="Times New Roman" w:hAnsi="Times New Roman" w:eastAsia="Times New Roman" w:cs="Times New Roman"/>
          <w:sz w:val="28"/>
          <w:szCs w:val="28"/>
        </w:rPr>
        <w:fldChar w:fldCharType="separate"/>
      </w:r>
      <w:r>
        <w:rPr>
          <w:rFonts w:ascii="Times New Roman" w:hAnsi="Times New Roman" w:eastAsia="Times New Roman" w:cs="Times New Roman"/>
          <w:sz w:val="28"/>
          <w:szCs w:val="28"/>
        </w:rPr>
        <w:t>https://zakon.rada.gov.ua/rada/show/va327609-10</w:t>
      </w:r>
      <w:r>
        <w:rPr>
          <w:rFonts w:ascii="Times New Roman" w:hAnsi="Times New Roman" w:eastAsia="Times New Roman" w:cs="Times New Roman"/>
          <w:sz w:val="28"/>
          <w:szCs w:val="28"/>
        </w:rPr>
        <w:fldChar w:fldCharType="end"/>
      </w:r>
      <w:r>
        <w:rPr>
          <w:rFonts w:ascii="Times New Roman" w:hAnsi="Times New Roman" w:eastAsia="Times New Roman" w:cs="Times New Roman"/>
          <w:sz w:val="28"/>
          <w:szCs w:val="28"/>
        </w:rPr>
        <w:t xml:space="preserve">;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7. Методичні рекомендації щодо розроблення стандартів вищої освіти, затверджені наказом Міністерства освіти і науки України від 01.06.2017 р. № 600 (у редакції наказу Міністерства освіти і науки України від 30.04.2020 р. № 584), схвалені сектором вищої освіти Науково-методичної Ради Міністерства освіти і науки України </w:t>
      </w:r>
      <w:r>
        <w:rPr>
          <w:rFonts w:ascii="Times New Roman" w:hAnsi="Times New Roman" w:eastAsia="Times New Roman" w:cs="Times New Roman"/>
          <w:sz w:val="28"/>
          <w:szCs w:val="28"/>
        </w:rPr>
        <w:fldChar w:fldCharType="begin"/>
      </w:r>
      <w:r>
        <w:rPr>
          <w:rFonts w:ascii="Times New Roman" w:hAnsi="Times New Roman" w:eastAsia="Times New Roman" w:cs="Times New Roman"/>
          <w:sz w:val="28"/>
          <w:szCs w:val="28"/>
        </w:rPr>
        <w:instrText xml:space="preserve"> HYPERLINK "https://mon.gov.ua/ua/osvita/visha-osvita/naukovo-metodichna-rada-ministerstva-osviti-i-nauki-ukrayini/metodichni-rekomendaciyi-vo" \h </w:instrText>
      </w:r>
      <w:r>
        <w:rPr>
          <w:rFonts w:ascii="Times New Roman" w:hAnsi="Times New Roman" w:eastAsia="Times New Roman" w:cs="Times New Roman"/>
          <w:sz w:val="28"/>
          <w:szCs w:val="28"/>
        </w:rPr>
        <w:fldChar w:fldCharType="separate"/>
      </w:r>
      <w:r>
        <w:rPr>
          <w:rFonts w:ascii="Times New Roman" w:hAnsi="Times New Roman" w:eastAsia="Times New Roman" w:cs="Times New Roman"/>
          <w:sz w:val="28"/>
          <w:szCs w:val="28"/>
        </w:rPr>
        <w:t>https://mon.gov.ua/ua/osvita/visha-osvita/naukovo-metodichna-rada-ministerstva-osviti-i-nauki-ukrayini/metodichni-rekomendaciyi-vo</w:t>
      </w:r>
      <w:r>
        <w:rPr>
          <w:rFonts w:ascii="Times New Roman" w:hAnsi="Times New Roman" w:eastAsia="Times New Roman" w:cs="Times New Roman"/>
          <w:sz w:val="28"/>
          <w:szCs w:val="28"/>
        </w:rPr>
        <w:fldChar w:fldCharType="end"/>
      </w:r>
      <w:r>
        <w:rPr>
          <w:rFonts w:ascii="Times New Roman" w:hAnsi="Times New Roman" w:eastAsia="Times New Roman" w:cs="Times New Roman"/>
          <w:sz w:val="28"/>
          <w:szCs w:val="28"/>
        </w:rPr>
        <w:t xml:space="preserve">;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8. Наказ від 31.05.2023  № 995 Про затвердження Примірного табелю матеріально-технічного оснащення стаціонарних реабілітаційних відділень, підрозділів закладів охорони здоров'я, які надають реабілітаційну допомогу дорослим у післягострому реабілітаційному періоді  </w:t>
      </w:r>
      <w:r>
        <w:rPr>
          <w:rFonts w:ascii="Times New Roman" w:hAnsi="Times New Roman" w:eastAsia="Times New Roman" w:cs="Times New Roman"/>
          <w:sz w:val="28"/>
          <w:szCs w:val="28"/>
        </w:rPr>
        <w:fldChar w:fldCharType="begin"/>
      </w:r>
      <w:r>
        <w:rPr>
          <w:rFonts w:ascii="Times New Roman" w:hAnsi="Times New Roman" w:eastAsia="Times New Roman" w:cs="Times New Roman"/>
          <w:sz w:val="28"/>
          <w:szCs w:val="28"/>
        </w:rPr>
        <w:instrText xml:space="preserve"> HYPERLINK "https://zakon.rada.gov.ua/rada/show/v0995282-23" \l "Text" \h </w:instrText>
      </w:r>
      <w:r>
        <w:rPr>
          <w:rFonts w:ascii="Times New Roman" w:hAnsi="Times New Roman" w:eastAsia="Times New Roman" w:cs="Times New Roman"/>
          <w:sz w:val="28"/>
          <w:szCs w:val="28"/>
        </w:rPr>
        <w:fldChar w:fldCharType="separate"/>
      </w:r>
      <w:r>
        <w:rPr>
          <w:rFonts w:ascii="Times New Roman" w:hAnsi="Times New Roman" w:eastAsia="Times New Roman" w:cs="Times New Roman"/>
          <w:sz w:val="28"/>
          <w:szCs w:val="28"/>
        </w:rPr>
        <w:t>https://zakon.rada.gov.ua/rada/show/v0995282-23#Text</w:t>
      </w:r>
      <w:r>
        <w:rPr>
          <w:rFonts w:ascii="Times New Roman" w:hAnsi="Times New Roman" w:eastAsia="Times New Roman" w:cs="Times New Roman"/>
          <w:sz w:val="28"/>
          <w:szCs w:val="28"/>
        </w:rPr>
        <w:fldChar w:fldCharType="end"/>
      </w:r>
    </w:p>
    <w:p>
      <w:pPr>
        <w:kinsoku/>
        <w:wordWrap/>
        <w:overflowPunct/>
        <w:topLinePunct w:val="0"/>
        <w:autoSpaceDE/>
        <w:autoSpaceDN/>
        <w:bidi w:val="0"/>
        <w:adjustRightInd/>
        <w:snapToGrid/>
        <w:spacing w:after="0" w:line="240" w:lineRule="auto"/>
        <w:ind w:left="0" w:leftChars="0" w:right="0" w:firstLine="440"/>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26"/>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Генеральний директор директорату</w:t>
      </w:r>
    </w:p>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фахової передвищої, вищої освіти</w:t>
      </w:r>
      <w:r>
        <w:rPr>
          <w:rFonts w:ascii="Times New Roman" w:hAnsi="Times New Roman" w:eastAsia="Times New Roman" w:cs="Times New Roman"/>
          <w:b/>
          <w:bCs/>
          <w:sz w:val="28"/>
          <w:szCs w:val="28"/>
        </w:rPr>
        <w:tab/>
      </w:r>
      <w:r>
        <w:rPr>
          <w:rFonts w:ascii="Times New Roman" w:hAnsi="Times New Roman" w:eastAsia="Times New Roman" w:cs="Times New Roman"/>
          <w:b/>
          <w:bCs/>
          <w:sz w:val="28"/>
          <w:szCs w:val="28"/>
        </w:rPr>
        <w:tab/>
      </w:r>
      <w:r>
        <w:rPr>
          <w:rFonts w:ascii="Times New Roman" w:hAnsi="Times New Roman" w:eastAsia="Times New Roman" w:cs="Times New Roman"/>
          <w:b/>
          <w:bCs/>
          <w:sz w:val="28"/>
          <w:szCs w:val="28"/>
        </w:rPr>
        <w:tab/>
      </w:r>
      <w:r>
        <w:rPr>
          <w:rFonts w:ascii="Times New Roman" w:hAnsi="Times New Roman" w:eastAsia="Times New Roman" w:cs="Times New Roman"/>
          <w:b/>
          <w:bCs/>
          <w:sz w:val="28"/>
          <w:szCs w:val="28"/>
        </w:rPr>
        <w:tab/>
      </w:r>
      <w:r>
        <w:rPr>
          <w:rFonts w:ascii="Times New Roman" w:hAnsi="Times New Roman" w:eastAsia="Times New Roman" w:cs="Times New Roman"/>
          <w:b/>
          <w:bCs/>
          <w:sz w:val="28"/>
          <w:szCs w:val="28"/>
        </w:rPr>
        <w:tab/>
      </w:r>
      <w:r>
        <w:rPr>
          <w:rFonts w:hint="default" w:ascii="Times New Roman" w:hAnsi="Times New Roman" w:eastAsia="Times New Roman" w:cs="Times New Roman"/>
          <w:b/>
          <w:bCs/>
          <w:sz w:val="28"/>
          <w:szCs w:val="28"/>
          <w:lang w:val="uk-UA"/>
        </w:rPr>
        <w:tab/>
      </w:r>
      <w:r>
        <w:rPr>
          <w:rFonts w:ascii="Times New Roman" w:hAnsi="Times New Roman" w:eastAsia="Times New Roman" w:cs="Times New Roman"/>
          <w:b/>
          <w:bCs/>
          <w:sz w:val="28"/>
          <w:szCs w:val="28"/>
        </w:rPr>
        <w:t>Олег ШАРОВ</w:t>
      </w: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sectPr>
          <w:headerReference r:id="rId9" w:type="first"/>
          <w:headerReference r:id="rId8" w:type="default"/>
          <w:footerReference r:id="rId10" w:type="default"/>
          <w:pgSz w:w="11906" w:h="16838"/>
          <w:pgMar w:top="1134" w:right="567" w:bottom="867" w:left="1134" w:header="567" w:footer="170" w:gutter="0"/>
          <w:pgNumType w:fmt="decimal" w:start="2"/>
          <w:cols w:space="720" w:num="1"/>
          <w:titlePg/>
        </w:sectPr>
      </w:pP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Пояснювальна записка</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tabs>
          <w:tab w:val="left" w:pos="851"/>
        </w:tabs>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bookmarkStart w:id="2" w:name="_heading=h.2jxsxqh" w:colFirst="0" w:colLast="0"/>
      <w:bookmarkEnd w:id="2"/>
      <w:r>
        <w:rPr>
          <w:rFonts w:ascii="Times New Roman" w:hAnsi="Times New Roman" w:eastAsia="Times New Roman" w:cs="Times New Roman"/>
          <w:sz w:val="28"/>
          <w:szCs w:val="28"/>
        </w:rPr>
        <w:t xml:space="preserve">Стандарт вищої освіти містить вимоги до освітніх програм підготовки магістрів за спеціальністю </w:t>
      </w:r>
      <w:r>
        <w:rPr>
          <w:rFonts w:ascii="Times New Roman" w:hAnsi="Times New Roman" w:eastAsia="Times New Roman" w:cs="Times New Roman"/>
          <w:color w:val="000000"/>
          <w:sz w:val="28"/>
          <w:szCs w:val="28"/>
        </w:rPr>
        <w:t xml:space="preserve">227 </w:t>
      </w:r>
      <w:r>
        <w:rPr>
          <w:rFonts w:ascii="Times New Roman" w:hAnsi="Times New Roman" w:eastAsia="Times New Roman" w:cs="Times New Roman"/>
          <w:sz w:val="28"/>
          <w:szCs w:val="28"/>
        </w:rPr>
        <w:t>Терапія та реабілітація, спеціалізація 227.01 Фізична терапія стосовно:</w:t>
      </w:r>
    </w:p>
    <w:p>
      <w:pPr>
        <w:numPr>
          <w:ilvl w:val="0"/>
          <w:numId w:val="1"/>
        </w:numPr>
        <w:tabs>
          <w:tab w:val="left" w:pos="851"/>
        </w:tabs>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обсягу кредитів ЄКТС для здобуття освітнього ступеня «магістр» зі спеціальності 227 Терапія та реабілітація, спеціалізації 227.01 Фізична терапія ;</w:t>
      </w:r>
    </w:p>
    <w:p>
      <w:pPr>
        <w:numPr>
          <w:ilvl w:val="0"/>
          <w:numId w:val="1"/>
        </w:numPr>
        <w:tabs>
          <w:tab w:val="left" w:pos="851"/>
        </w:tabs>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рівня освіти осіб, які можуть розпочати навчання за відповідною освітньою програмою;</w:t>
      </w:r>
    </w:p>
    <w:p>
      <w:pPr>
        <w:numPr>
          <w:ilvl w:val="0"/>
          <w:numId w:val="1"/>
        </w:numPr>
        <w:tabs>
          <w:tab w:val="left" w:pos="851"/>
        </w:tabs>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переліку обов’язкових компетентностей випускника;</w:t>
      </w:r>
    </w:p>
    <w:p>
      <w:pPr>
        <w:numPr>
          <w:ilvl w:val="0"/>
          <w:numId w:val="1"/>
        </w:numPr>
        <w:tabs>
          <w:tab w:val="left" w:pos="851"/>
        </w:tabs>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нормативного змісту підготовки здобувачів вищої освіти, сформульованого у термінах результатів навчання;</w:t>
      </w:r>
    </w:p>
    <w:p>
      <w:pPr>
        <w:numPr>
          <w:ilvl w:val="0"/>
          <w:numId w:val="1"/>
        </w:numPr>
        <w:tabs>
          <w:tab w:val="left" w:pos="851"/>
        </w:tabs>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форм атестації здобувачів вищої освіти;</w:t>
      </w:r>
    </w:p>
    <w:p>
      <w:pPr>
        <w:tabs>
          <w:tab w:val="left" w:pos="851"/>
        </w:tabs>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Вимоги до компетентностей та результатів навчання узгоджені між собою та відповідають дескрипторам Національної рамки кваліфікацій. </w:t>
      </w:r>
    </w:p>
    <w:p>
      <w:pPr>
        <w:tabs>
          <w:tab w:val="left" w:pos="851"/>
        </w:tabs>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Таблиця 1 демонструє відповідність визначених Стандартом компетентностей та дескрипторів НРК, а таблиця 2 – відповідність результатів навчання та компетентностей.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Заклад вищої освіти самостійно визначає перелік дисциплін, практик та інших видів навчальної діяльності, необхідний для набуття визначених Стандартом компетентностей та результатів навчання. Наведений в Стандарті перелік компетентностей і результатів навчання не є вичерпним. Заклади вищої освіти при формуванні освітніх програм можуть зазначати додаткові вимоги до компетентностей і результатів навчання. Заклади вищої освіти мають право використовувати власні формулювання спеціальних (фахових) компетентностей і результатів навчання, забезпечуючи охоплення освітньою програмою сукупності всіх вимог стандарту.</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color w:val="000000"/>
          <w:sz w:val="28"/>
          <w:szCs w:val="28"/>
        </w:rPr>
      </w:pPr>
      <w:bookmarkStart w:id="3" w:name="_heading=h.30j0zll" w:colFirst="0" w:colLast="0"/>
      <w:bookmarkEnd w:id="3"/>
      <w:r>
        <w:rPr>
          <w:rFonts w:ascii="Times New Roman" w:hAnsi="Times New Roman" w:eastAsia="Times New Roman" w:cs="Times New Roman"/>
          <w:b/>
          <w:color w:val="000000"/>
          <w:sz w:val="28"/>
          <w:szCs w:val="28"/>
        </w:rPr>
        <w:t>Рекомендовані джерела:</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Стандарти та рекомендації щодо забезпечення якості в Європейському просторі вищої освіти (ESG). [Режим доступу:https://ihed.org.ua/wp-content/uploads/2018/10/04_2016_ESG_2015.pdf];</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International Standard Classification of Education (ISCED 2011): UNESCO Institute for Statistics. [Режим доступу:</w:t>
      </w:r>
      <w:r>
        <w:fldChar w:fldCharType="begin"/>
      </w:r>
      <w:r>
        <w:instrText xml:space="preserve"> HYPERLINK "http://uis.unesco.org/sites/default/files/documents/international-standard-classification-of-education-isced-2011-en.pdf" \h </w:instrText>
      </w:r>
      <w:r>
        <w:fldChar w:fldCharType="separate"/>
      </w:r>
      <w:r>
        <w:rPr>
          <w:rFonts w:ascii="Times New Roman" w:hAnsi="Times New Roman" w:eastAsia="Times New Roman" w:cs="Times New Roman"/>
          <w:color w:val="1155CC"/>
          <w:sz w:val="28"/>
          <w:szCs w:val="28"/>
          <w:u w:val="single"/>
        </w:rPr>
        <w:t>http://uis.unesco.org/sites/default/files/documents/international-standard-classification-of-education-isced-2011-en.pdf</w:t>
      </w:r>
      <w:r>
        <w:rPr>
          <w:rFonts w:ascii="Times New Roman" w:hAnsi="Times New Roman" w:eastAsia="Times New Roman" w:cs="Times New Roman"/>
          <w:color w:val="1155CC"/>
          <w:sz w:val="28"/>
          <w:szCs w:val="28"/>
          <w:u w:val="single"/>
        </w:rPr>
        <w:fldChar w:fldCharType="end"/>
      </w:r>
      <w:r>
        <w:rPr>
          <w:rFonts w:ascii="Times New Roman" w:hAnsi="Times New Roman" w:eastAsia="Times New Roman" w:cs="Times New Roman"/>
          <w:color w:val="0000FF"/>
          <w:sz w:val="28"/>
          <w:szCs w:val="28"/>
          <w:u w:val="single"/>
        </w:rPr>
        <w:t>];</w:t>
      </w:r>
    </w:p>
    <w:p>
      <w:pPr>
        <w:widowControl w:val="0"/>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ISCED Fields of Education and Training 2013 (ISCED-F 2013):UNESCO Institute for Statistics. [Режим доступу:http://uis.unesco.org/sites/default/files/documents/international-standard-classification-of-education-fields-of-education-and-training-2013-detailed-field-descriptions-2015-en.pdf];</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The European Qualifications Framework: Supporting Learning, Work and Cross-Border Mobility. [Режим доступу:http://www.ehea.info/Upload/TPG_A_QF_RO_MK_1_EQF_Brochure.pdf];</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sectPr>
          <w:headerReference r:id="rId12" w:type="first"/>
          <w:headerReference r:id="rId11" w:type="default"/>
          <w:pgSz w:w="11906" w:h="16838"/>
          <w:pgMar w:top="1134" w:right="567" w:bottom="867" w:left="1134" w:header="567" w:footer="170" w:gutter="0"/>
          <w:pgNumType w:fmt="decimal"/>
          <w:cols w:space="720" w:num="1"/>
          <w:titlePg/>
        </w:sectPr>
      </w:pP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QF-EHEA – Qualification Framework of the European Higher Education Area. [Режим доступу: http://www.ehea.info/Upload/document/ministerial_declarations/EHEAParis2018_Communique_AppendixIII_952778.pdf];</w:t>
      </w:r>
    </w:p>
    <w:p>
      <w:pPr>
        <w:numPr>
          <w:ilvl w:val="0"/>
          <w:numId w:val="4"/>
        </w:numPr>
        <w:pBdr>
          <w:top w:val="none" w:color="auto" w:sz="0" w:space="0"/>
          <w:left w:val="none" w:color="auto" w:sz="0" w:space="0"/>
          <w:bottom w:val="none" w:color="auto" w:sz="0" w:space="0"/>
          <w:right w:val="none" w:color="auto" w:sz="0" w:space="0"/>
          <w:between w:val="none" w:color="auto" w:sz="0" w:space="0"/>
        </w:pBdr>
        <w:tabs>
          <w:tab w:val="left" w:pos="-220"/>
          <w:tab w:val="left" w:pos="142"/>
          <w:tab w:val="left" w:pos="851"/>
          <w:tab w:val="left" w:pos="1701"/>
        </w:tabs>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Розвиток системи забезпечення якості вищої освіти в Україні: інформаційно-аналітичний огляд – URL: http://erasmusplus.org.ua/korysna-informatsiia/korysni-materialy/category/3-materialy-natsionalnoi-komandy-ekspertiv-shchodo-zaprovadzhennia-instrumentiv-bolonskoho-protsesu.html?download=88:rozvytok-systemy-zabezpechennia-iakosti-vyshchoi-osvity-ukrainy&amp;start=80</w:t>
      </w:r>
    </w:p>
    <w:p>
      <w:pPr>
        <w:numPr>
          <w:ilvl w:val="0"/>
          <w:numId w:val="4"/>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Настанови Світової Фізіотерапії «Клінічний компонент освітньої програми базового рівня підготовки фізичного терапевта» </w:t>
      </w:r>
      <w:r>
        <w:fldChar w:fldCharType="begin"/>
      </w:r>
      <w:r>
        <w:instrText xml:space="preserve"> HYPERLINK "https://world.physio/guideline/clinical-education" \h </w:instrText>
      </w:r>
      <w:r>
        <w:fldChar w:fldCharType="separate"/>
      </w:r>
      <w:r>
        <w:rPr>
          <w:rFonts w:ascii="Times New Roman" w:hAnsi="Times New Roman" w:eastAsia="Times New Roman" w:cs="Times New Roman"/>
          <w:color w:val="1155CC"/>
          <w:sz w:val="28"/>
          <w:szCs w:val="28"/>
          <w:u w:val="single"/>
        </w:rPr>
        <w:t>https://world.physio/guideline/clinical-education</w:t>
      </w:r>
      <w:r>
        <w:rPr>
          <w:rFonts w:ascii="Times New Roman" w:hAnsi="Times New Roman" w:eastAsia="Times New Roman" w:cs="Times New Roman"/>
          <w:color w:val="1155CC"/>
          <w:sz w:val="28"/>
          <w:szCs w:val="28"/>
          <w:u w:val="single"/>
        </w:rPr>
        <w:fldChar w:fldCharType="end"/>
      </w:r>
      <w:r>
        <w:rPr>
          <w:rFonts w:ascii="Times New Roman" w:hAnsi="Times New Roman" w:eastAsia="Times New Roman" w:cs="Times New Roman"/>
          <w:color w:val="000000"/>
          <w:sz w:val="28"/>
          <w:szCs w:val="28"/>
        </w:rPr>
        <w:t xml:space="preserve"> </w:t>
      </w:r>
    </w:p>
    <w:p>
      <w:pPr>
        <w:pStyle w:val="2"/>
        <w:keepNext w:val="0"/>
        <w:numPr>
          <w:ilvl w:val="0"/>
          <w:numId w:val="4"/>
        </w:numPr>
        <w:pBdr>
          <w:right w:val="none" w:color="auto" w:sz="0" w:space="11"/>
        </w:pBdr>
        <w:shd w:val="clear" w:color="auto" w:fill="FFFFFF"/>
        <w:kinsoku/>
        <w:wordWrap/>
        <w:overflowPunct/>
        <w:topLinePunct w:val="0"/>
        <w:autoSpaceDE/>
        <w:autoSpaceDN/>
        <w:bidi w:val="0"/>
        <w:adjustRightInd/>
        <w:snapToGrid/>
        <w:spacing w:after="0" w:line="240" w:lineRule="auto"/>
        <w:ind w:left="0" w:leftChars="0" w:right="0" w:firstLine="567"/>
        <w:jc w:val="both"/>
        <w:textAlignment w:val="auto"/>
        <w:rPr>
          <w:b w:val="0"/>
          <w:color w:val="0000FF"/>
          <w:sz w:val="28"/>
          <w:szCs w:val="28"/>
          <w:u w:val="single"/>
          <w:lang w:val="uk-UA"/>
        </w:rPr>
      </w:pPr>
      <w:bookmarkStart w:id="4" w:name="_heading=h.7vfi00hp8etd" w:colFirst="0" w:colLast="0"/>
      <w:bookmarkEnd w:id="4"/>
      <w:r>
        <w:rPr>
          <w:b w:val="0"/>
          <w:color w:val="3C4245"/>
          <w:sz w:val="28"/>
          <w:szCs w:val="28"/>
        </w:rPr>
        <w:t>Rehabilitation Competency Framework. WHO</w:t>
      </w:r>
      <w:r>
        <w:rPr>
          <w:color w:val="3C4245"/>
          <w:sz w:val="28"/>
          <w:szCs w:val="28"/>
        </w:rPr>
        <w:t xml:space="preserve"> </w:t>
      </w:r>
      <w:r>
        <w:fldChar w:fldCharType="begin"/>
      </w:r>
      <w:r>
        <w:instrText xml:space="preserve"> HYPERLINK "https://www.who.int/publications/i/item/9789240008281" \h </w:instrText>
      </w:r>
      <w:r>
        <w:fldChar w:fldCharType="separate"/>
      </w:r>
      <w:r>
        <w:rPr>
          <w:b w:val="0"/>
          <w:color w:val="0000FF"/>
          <w:sz w:val="28"/>
          <w:szCs w:val="28"/>
          <w:u w:val="single"/>
        </w:rPr>
        <w:t>https://www.who.int/publications/i/item/9789240008281</w:t>
      </w:r>
      <w:r>
        <w:rPr>
          <w:b w:val="0"/>
          <w:color w:val="0000FF"/>
          <w:sz w:val="28"/>
          <w:szCs w:val="28"/>
          <w:u w:val="single"/>
        </w:rPr>
        <w:fldChar w:fldCharType="end"/>
      </w:r>
    </w:p>
    <w:p>
      <w:pPr>
        <w:kinsoku/>
        <w:wordWrap/>
        <w:overflowPunct/>
        <w:topLinePunct w:val="0"/>
        <w:autoSpaceDE/>
        <w:autoSpaceDN/>
        <w:bidi w:val="0"/>
        <w:adjustRightInd/>
        <w:snapToGrid/>
        <w:spacing w:after="0" w:line="240" w:lineRule="auto"/>
        <w:ind w:left="0" w:leftChars="0" w:right="0"/>
        <w:textAlignment w:val="auto"/>
      </w:pPr>
    </w:p>
    <w:p>
      <w:pPr>
        <w:kinsoku/>
        <w:wordWrap/>
        <w:overflowPunct/>
        <w:topLinePunct w:val="0"/>
        <w:autoSpaceDE/>
        <w:autoSpaceDN/>
        <w:bidi w:val="0"/>
        <w:adjustRightInd/>
        <w:snapToGrid/>
        <w:spacing w:after="0" w:line="240" w:lineRule="auto"/>
        <w:ind w:left="0" w:leftChars="0" w:right="0"/>
        <w:textAlignment w:val="auto"/>
      </w:pP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567"/>
        <w:jc w:val="both"/>
        <w:textAlignment w:val="auto"/>
        <w:rPr>
          <w:rFonts w:ascii="Times New Roman" w:hAnsi="Times New Roman" w:eastAsia="Times New Roman" w:cs="Times New Roman"/>
          <w:color w:val="000000"/>
          <w:sz w:val="28"/>
          <w:szCs w:val="28"/>
        </w:rPr>
        <w:sectPr>
          <w:headerReference r:id="rId14" w:type="first"/>
          <w:headerReference r:id="rId13" w:type="default"/>
          <w:pgSz w:w="11906" w:h="16838"/>
          <w:pgMar w:top="1134" w:right="567" w:bottom="867" w:left="1134" w:header="567" w:footer="170" w:gutter="0"/>
          <w:pgNumType w:fmt="decimal" w:start="14"/>
          <w:cols w:space="720" w:num="1"/>
        </w:sectPr>
      </w:pPr>
    </w:p>
    <w:p>
      <w:pPr>
        <w:kinsoku/>
        <w:wordWrap/>
        <w:overflowPunct/>
        <w:topLinePunct w:val="0"/>
        <w:autoSpaceDE/>
        <w:autoSpaceDN/>
        <w:bidi w:val="0"/>
        <w:adjustRightInd/>
        <w:snapToGrid/>
        <w:spacing w:after="0" w:line="240" w:lineRule="auto"/>
        <w:ind w:left="0" w:leftChars="0" w:right="0"/>
        <w:jc w:val="right"/>
        <w:textAlignment w:val="auto"/>
        <w:rPr>
          <w:rFonts w:ascii="Times New Roman" w:hAnsi="Times New Roman" w:eastAsia="Times New Roman" w:cs="Times New Roman"/>
          <w:i/>
          <w:sz w:val="28"/>
          <w:szCs w:val="28"/>
        </w:rPr>
      </w:pPr>
      <w:r>
        <w:rPr>
          <w:rFonts w:ascii="Times New Roman" w:hAnsi="Times New Roman" w:eastAsia="Times New Roman" w:cs="Times New Roman"/>
          <w:i/>
          <w:sz w:val="28"/>
          <w:szCs w:val="28"/>
        </w:rPr>
        <w:t>Таблиця 1</w:t>
      </w: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i/>
          <w:sz w:val="28"/>
          <w:szCs w:val="28"/>
        </w:rPr>
      </w:pPr>
      <w:r>
        <w:rPr>
          <w:rFonts w:ascii="Times New Roman" w:hAnsi="Times New Roman" w:eastAsia="Times New Roman" w:cs="Times New Roman"/>
          <w:b/>
          <w:i/>
          <w:sz w:val="28"/>
          <w:szCs w:val="28"/>
        </w:rPr>
        <w:t>Матриця відповідності визначених Стандартом компетентностей дескрипторам НРК</w:t>
      </w: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i/>
          <w:sz w:val="28"/>
          <w:szCs w:val="28"/>
        </w:rPr>
      </w:pPr>
    </w:p>
    <w:tbl>
      <w:tblPr>
        <w:tblStyle w:val="106"/>
        <w:tblW w:w="1536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1470"/>
        <w:gridCol w:w="2760"/>
        <w:gridCol w:w="4400"/>
        <w:gridCol w:w="2235"/>
        <w:gridCol w:w="45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2232" w:hRule="atLeast"/>
        </w:trPr>
        <w:tc>
          <w:tcPr>
            <w:tcW w:w="1470" w:type="dxa"/>
            <w:tcBorders>
              <w:top w:val="single" w:color="000000" w:sz="8" w:space="0"/>
              <w:left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Класифі- кація компетент- ностей за НРК</w:t>
            </w:r>
          </w:p>
        </w:tc>
        <w:tc>
          <w:tcPr>
            <w:tcW w:w="2760" w:type="dxa"/>
            <w:tcBorders>
              <w:top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b/>
                <w:i/>
                <w:sz w:val="20"/>
                <w:szCs w:val="20"/>
              </w:rPr>
            </w:pPr>
            <w:r>
              <w:rPr>
                <w:rFonts w:ascii="Times New Roman" w:hAnsi="Times New Roman" w:eastAsia="Times New Roman" w:cs="Times New Roman"/>
                <w:b/>
                <w:i/>
                <w:sz w:val="20"/>
                <w:szCs w:val="20"/>
              </w:rPr>
              <w:t>Знання</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Зн1</w:t>
            </w:r>
            <w:r>
              <w:rPr>
                <w:rFonts w:ascii="Times New Roman" w:hAnsi="Times New Roman" w:eastAsia="Times New Roman" w:cs="Times New Roman"/>
                <w:i/>
                <w:sz w:val="18"/>
                <w:szCs w:val="18"/>
              </w:rPr>
              <w:t xml:space="preserve"> Спеціалізовані концептуальні знання, що включають сучасні наукові здобутки у сфері професійної діяльності або галузі знань і є основою для оригінального мислення та проведення досліджень</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Зн2</w:t>
            </w:r>
            <w:r>
              <w:rPr>
                <w:rFonts w:ascii="Times New Roman" w:hAnsi="Times New Roman" w:eastAsia="Times New Roman" w:cs="Times New Roman"/>
                <w:i/>
                <w:sz w:val="18"/>
                <w:szCs w:val="18"/>
              </w:rPr>
              <w:t xml:space="preserve"> Критичне осмислення проблем у галузі та на межі галузей знань</w:t>
            </w:r>
          </w:p>
        </w:tc>
        <w:tc>
          <w:tcPr>
            <w:tcW w:w="4400" w:type="dxa"/>
            <w:tcBorders>
              <w:top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b/>
                <w:i/>
                <w:sz w:val="20"/>
                <w:szCs w:val="20"/>
              </w:rPr>
            </w:pPr>
            <w:r>
              <w:rPr>
                <w:rFonts w:ascii="Times New Roman" w:hAnsi="Times New Roman" w:eastAsia="Times New Roman" w:cs="Times New Roman"/>
                <w:b/>
                <w:i/>
                <w:sz w:val="20"/>
                <w:szCs w:val="20"/>
              </w:rPr>
              <w:t>Уміння/Навички</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Ум1</w:t>
            </w:r>
            <w:r>
              <w:rPr>
                <w:rFonts w:ascii="Times New Roman" w:hAnsi="Times New Roman" w:eastAsia="Times New Roman" w:cs="Times New Roman"/>
                <w:i/>
                <w:sz w:val="18"/>
                <w:szCs w:val="18"/>
              </w:rPr>
              <w:t xml:space="preserve"> Спеціалізовані уміння/навички розв’язання проблем, необхідні для проведення досліджень та/або провадження інноваційної діяльності з метою розвитку нових знань та процедур</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Ум2</w:t>
            </w:r>
            <w:r>
              <w:rPr>
                <w:rFonts w:ascii="Times New Roman" w:hAnsi="Times New Roman" w:eastAsia="Times New Roman" w:cs="Times New Roman"/>
                <w:i/>
                <w:sz w:val="18"/>
                <w:szCs w:val="18"/>
              </w:rPr>
              <w:t xml:space="preserve"> Здатність інтегрувати знання та розв’язувати складні задачі у широких або мультидисциплінарних контекстах</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 xml:space="preserve">Ум3 </w:t>
            </w:r>
            <w:r>
              <w:rPr>
                <w:rFonts w:ascii="Times New Roman" w:hAnsi="Times New Roman" w:eastAsia="Times New Roman" w:cs="Times New Roman"/>
                <w:i/>
                <w:sz w:val="18"/>
                <w:szCs w:val="18"/>
              </w:rPr>
              <w:t>Здатність розв’язувати проблеми у нових або незнайомих середовищах за наявності неповної або обмеженої інформації з урахуванням аспектів соціальної та етичної відповідальності</w:t>
            </w:r>
          </w:p>
        </w:tc>
        <w:tc>
          <w:tcPr>
            <w:tcW w:w="2235" w:type="dxa"/>
            <w:tcBorders>
              <w:top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b/>
                <w:i/>
                <w:sz w:val="20"/>
                <w:szCs w:val="20"/>
              </w:rPr>
            </w:pPr>
            <w:r>
              <w:rPr>
                <w:rFonts w:ascii="Times New Roman" w:hAnsi="Times New Roman" w:eastAsia="Times New Roman" w:cs="Times New Roman"/>
                <w:b/>
                <w:i/>
                <w:sz w:val="20"/>
                <w:szCs w:val="20"/>
              </w:rPr>
              <w:t>Комунікація</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К1</w:t>
            </w:r>
            <w:r>
              <w:rPr>
                <w:rFonts w:ascii="Times New Roman" w:hAnsi="Times New Roman" w:eastAsia="Times New Roman" w:cs="Times New Roman"/>
                <w:i/>
                <w:sz w:val="18"/>
                <w:szCs w:val="18"/>
              </w:rPr>
              <w:t xml:space="preserve"> Зрозуміле і недвозначне донесення власних знань, висновків та аргументації до фахівців і нефахівців, зокрема до осіб, які навчаються</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К2</w:t>
            </w:r>
            <w:r>
              <w:rPr>
                <w:rFonts w:ascii="Times New Roman" w:hAnsi="Times New Roman" w:eastAsia="Times New Roman" w:cs="Times New Roman"/>
                <w:i/>
                <w:sz w:val="18"/>
                <w:szCs w:val="18"/>
              </w:rPr>
              <w:t xml:space="preserve"> Використання іноземних мов у професійній діяльності</w:t>
            </w:r>
          </w:p>
        </w:tc>
        <w:tc>
          <w:tcPr>
            <w:tcW w:w="4500" w:type="dxa"/>
            <w:tcBorders>
              <w:top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b/>
                <w:i/>
                <w:sz w:val="20"/>
                <w:szCs w:val="20"/>
              </w:rPr>
            </w:pPr>
            <w:r>
              <w:rPr>
                <w:rFonts w:ascii="Times New Roman" w:hAnsi="Times New Roman" w:eastAsia="Times New Roman" w:cs="Times New Roman"/>
                <w:b/>
                <w:i/>
                <w:sz w:val="20"/>
                <w:szCs w:val="20"/>
              </w:rPr>
              <w:t>Відповідальність</w:t>
            </w:r>
            <w:r>
              <w:rPr>
                <w:rFonts w:ascii="Times New Roman" w:hAnsi="Times New Roman" w:eastAsia="Times New Roman" w:cs="Times New Roman"/>
                <w:i/>
                <w:sz w:val="20"/>
                <w:szCs w:val="20"/>
              </w:rPr>
              <w:t xml:space="preserve"> </w:t>
            </w:r>
            <w:r>
              <w:rPr>
                <w:rFonts w:ascii="Times New Roman" w:hAnsi="Times New Roman" w:eastAsia="Times New Roman" w:cs="Times New Roman"/>
                <w:b/>
                <w:i/>
                <w:sz w:val="20"/>
                <w:szCs w:val="20"/>
              </w:rPr>
              <w:t>і автономія</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0"/>
                <w:szCs w:val="20"/>
              </w:rPr>
            </w:pPr>
            <w:r>
              <w:rPr>
                <w:rFonts w:ascii="Times New Roman" w:hAnsi="Times New Roman" w:eastAsia="Times New Roman" w:cs="Times New Roman"/>
                <w:i/>
                <w:sz w:val="20"/>
                <w:szCs w:val="20"/>
              </w:rPr>
              <w:t xml:space="preserve"> </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АВ1</w:t>
            </w:r>
            <w:r>
              <w:rPr>
                <w:rFonts w:ascii="Times New Roman" w:hAnsi="Times New Roman" w:eastAsia="Times New Roman" w:cs="Times New Roman"/>
                <w:i/>
                <w:sz w:val="18"/>
                <w:szCs w:val="18"/>
              </w:rPr>
              <w:t xml:space="preserve"> Управління робочими або навчальними процесами, які є складними, непередбачуваними та потребують нових стратегічних підходів</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АВ2</w:t>
            </w:r>
            <w:r>
              <w:rPr>
                <w:rFonts w:ascii="Times New Roman" w:hAnsi="Times New Roman" w:eastAsia="Times New Roman" w:cs="Times New Roman"/>
                <w:i/>
                <w:sz w:val="18"/>
                <w:szCs w:val="18"/>
              </w:rPr>
              <w:t xml:space="preserve"> Відповідальність за внесок до професійних знань і практики та/або оцінювання результатів діяльності команд та колективів</w:t>
            </w: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18"/>
                <w:szCs w:val="18"/>
              </w:rPr>
            </w:pPr>
            <w:r>
              <w:rPr>
                <w:rFonts w:ascii="Times New Roman" w:hAnsi="Times New Roman" w:eastAsia="Times New Roman" w:cs="Times New Roman"/>
                <w:b/>
                <w:i/>
                <w:sz w:val="18"/>
                <w:szCs w:val="18"/>
              </w:rPr>
              <w:t>АВ3</w:t>
            </w:r>
            <w:r>
              <w:rPr>
                <w:rFonts w:ascii="Times New Roman" w:hAnsi="Times New Roman" w:eastAsia="Times New Roman" w:cs="Times New Roman"/>
                <w:i/>
                <w:sz w:val="18"/>
                <w:szCs w:val="18"/>
              </w:rPr>
              <w:t xml:space="preserve"> Здатність продовжувати навчання з високим ступенем автономії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5365" w:type="dxa"/>
            <w:gridSpan w:val="5"/>
            <w:tcBorders>
              <w:left w:val="single" w:color="000000" w:sz="8" w:space="0"/>
              <w:bottom w:val="single" w:color="000000" w:sz="8" w:space="0"/>
              <w:right w:val="single" w:color="000000" w:sz="8" w:space="0"/>
            </w:tcBorders>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Загальні компетентності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ЗК 01</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8"/>
                <w:szCs w:val="28"/>
              </w:rPr>
            </w:pP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 xml:space="preserve"> </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ЗК 02</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2,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ЗК 03</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 xml:space="preserve"> </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ЗК 04</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8"/>
                <w:szCs w:val="28"/>
              </w:rPr>
            </w:pP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2,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ЗК 05</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2,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ЗК 06</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8"/>
                <w:szCs w:val="28"/>
              </w:rPr>
            </w:pP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ЗК 07</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2,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ЗК 08</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 xml:space="preserve">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5365" w:type="dxa"/>
            <w:gridSpan w:val="5"/>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Спеціальні (фахові) компетентності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01</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2,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02</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03</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04</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05</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06</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07</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08</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2,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09</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2,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10</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1, АВ 2, АВ 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80" w:hRule="atLeast"/>
        </w:trPr>
        <w:tc>
          <w:tcPr>
            <w:tcW w:w="1470" w:type="dxa"/>
            <w:tcBorders>
              <w:left w:val="single" w:color="000000" w:sz="8" w:space="0"/>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СК 11</w:t>
            </w:r>
          </w:p>
        </w:tc>
        <w:tc>
          <w:tcPr>
            <w:tcW w:w="276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Зн 1, Зн 2</w:t>
            </w:r>
          </w:p>
        </w:tc>
        <w:tc>
          <w:tcPr>
            <w:tcW w:w="44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Ум 1, Ум 2, Ум 3</w:t>
            </w:r>
          </w:p>
        </w:tc>
        <w:tc>
          <w:tcPr>
            <w:tcW w:w="2235"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4"/>
                <w:szCs w:val="24"/>
              </w:rPr>
            </w:pPr>
            <w:r>
              <w:rPr>
                <w:rFonts w:ascii="Times New Roman" w:hAnsi="Times New Roman" w:eastAsia="Times New Roman" w:cs="Times New Roman"/>
                <w:i/>
                <w:sz w:val="24"/>
                <w:szCs w:val="24"/>
              </w:rPr>
              <w:t>К 1, К2</w:t>
            </w:r>
          </w:p>
        </w:tc>
        <w:tc>
          <w:tcPr>
            <w:tcW w:w="4500" w:type="dxa"/>
            <w:tcBorders>
              <w:bottom w:val="single" w:color="000000" w:sz="8" w:space="0"/>
              <w:right w:val="single" w:color="000000" w:sz="8" w:space="0"/>
            </w:tcBorders>
            <w:shd w:val="clear" w:color="auto" w:fill="auto"/>
            <w:tcMar>
              <w:top w:w="20" w:type="dxa"/>
              <w:left w:w="20" w:type="dxa"/>
              <w:bottom w:w="20" w:type="dxa"/>
              <w:right w:w="20" w:type="dxa"/>
            </w:tcMar>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6"/>
                <w:szCs w:val="26"/>
              </w:rPr>
            </w:pPr>
            <w:r>
              <w:rPr>
                <w:rFonts w:ascii="Times New Roman" w:hAnsi="Times New Roman" w:eastAsia="Times New Roman" w:cs="Times New Roman"/>
                <w:i/>
                <w:sz w:val="26"/>
                <w:szCs w:val="26"/>
              </w:rPr>
              <w:t>АВ 3</w:t>
            </w:r>
          </w:p>
        </w:tc>
      </w:tr>
    </w:tbl>
    <w:p>
      <w:pPr>
        <w:kinsoku/>
        <w:wordWrap/>
        <w:overflowPunct/>
        <w:topLinePunct w:val="0"/>
        <w:autoSpaceDE/>
        <w:autoSpaceDN/>
        <w:bidi w:val="0"/>
        <w:adjustRightInd/>
        <w:snapToGrid/>
        <w:spacing w:after="0" w:line="240" w:lineRule="auto"/>
        <w:ind w:left="0" w:leftChars="0" w:right="0"/>
        <w:jc w:val="right"/>
        <w:textAlignment w:val="auto"/>
        <w:rPr>
          <w:rFonts w:ascii="Times New Roman" w:hAnsi="Times New Roman" w:eastAsia="Times New Roman" w:cs="Times New Roman"/>
          <w:i/>
          <w:sz w:val="28"/>
          <w:szCs w:val="28"/>
        </w:rPr>
      </w:pPr>
      <w:r>
        <w:rPr>
          <w:rFonts w:ascii="Times New Roman" w:hAnsi="Times New Roman" w:eastAsia="Times New Roman" w:cs="Times New Roman"/>
          <w:i/>
          <w:sz w:val="28"/>
          <w:szCs w:val="28"/>
        </w:rPr>
        <w:t xml:space="preserve"> </w:t>
      </w:r>
    </w:p>
    <w:p>
      <w:pPr>
        <w:kinsoku/>
        <w:wordWrap/>
        <w:overflowPunct/>
        <w:topLinePunct w:val="0"/>
        <w:autoSpaceDE/>
        <w:autoSpaceDN/>
        <w:bidi w:val="0"/>
        <w:adjustRightInd/>
        <w:snapToGrid/>
        <w:spacing w:after="0" w:line="240" w:lineRule="auto"/>
        <w:ind w:left="0" w:leftChars="0" w:right="0"/>
        <w:jc w:val="right"/>
        <w:textAlignment w:val="auto"/>
        <w:rPr>
          <w:rFonts w:ascii="Times New Roman" w:hAnsi="Times New Roman" w:eastAsia="Times New Roman" w:cs="Times New Roman"/>
          <w:i/>
          <w:sz w:val="28"/>
          <w:szCs w:val="28"/>
        </w:rPr>
      </w:pPr>
    </w:p>
    <w:p>
      <w:pPr>
        <w:kinsoku/>
        <w:wordWrap/>
        <w:overflowPunct/>
        <w:topLinePunct w:val="0"/>
        <w:autoSpaceDE/>
        <w:autoSpaceDN/>
        <w:bidi w:val="0"/>
        <w:adjustRightInd/>
        <w:snapToGrid/>
        <w:spacing w:after="0" w:line="240" w:lineRule="auto"/>
        <w:ind w:left="0" w:leftChars="0" w:right="0"/>
        <w:jc w:val="right"/>
        <w:textAlignment w:val="auto"/>
        <w:rPr>
          <w:rFonts w:ascii="Times New Roman" w:hAnsi="Times New Roman" w:eastAsia="Times New Roman" w:cs="Times New Roman"/>
          <w:i/>
          <w:sz w:val="28"/>
          <w:szCs w:val="28"/>
        </w:rPr>
      </w:pPr>
      <w:r>
        <w:br w:type="page"/>
      </w:r>
    </w:p>
    <w:p>
      <w:pPr>
        <w:kinsoku/>
        <w:wordWrap/>
        <w:overflowPunct/>
        <w:topLinePunct w:val="0"/>
        <w:autoSpaceDE/>
        <w:autoSpaceDN/>
        <w:bidi w:val="0"/>
        <w:adjustRightInd/>
        <w:snapToGrid/>
        <w:spacing w:after="0" w:line="240" w:lineRule="auto"/>
        <w:ind w:left="0" w:leftChars="0" w:right="0"/>
        <w:jc w:val="right"/>
        <w:textAlignment w:val="auto"/>
        <w:rPr>
          <w:rFonts w:ascii="Times New Roman" w:hAnsi="Times New Roman" w:eastAsia="Times New Roman" w:cs="Times New Roman"/>
          <w:i/>
          <w:sz w:val="28"/>
          <w:szCs w:val="28"/>
        </w:rPr>
      </w:pPr>
      <w:r>
        <w:rPr>
          <w:rFonts w:ascii="Times New Roman" w:hAnsi="Times New Roman" w:eastAsia="Times New Roman" w:cs="Times New Roman"/>
          <w:i/>
          <w:sz w:val="28"/>
          <w:szCs w:val="28"/>
        </w:rPr>
        <w:t>Таблиця 2</w:t>
      </w: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Матриця відповідності визначених Стандартом результатам навчання та компетентностей</w:t>
      </w:r>
    </w:p>
    <w:p>
      <w:pPr>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b/>
          <w:sz w:val="28"/>
          <w:szCs w:val="28"/>
        </w:rPr>
      </w:pPr>
    </w:p>
    <w:tbl>
      <w:tblPr>
        <w:tblStyle w:val="107"/>
        <w:tblpPr w:leftFromText="180" w:rightFromText="180" w:topFromText="180" w:bottomFromText="180" w:vertAnchor="text" w:tblpX="21"/>
        <w:tblW w:w="15015"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1440"/>
        <w:gridCol w:w="615"/>
        <w:gridCol w:w="720"/>
        <w:gridCol w:w="720"/>
        <w:gridCol w:w="720"/>
        <w:gridCol w:w="720"/>
        <w:gridCol w:w="720"/>
        <w:gridCol w:w="720"/>
        <w:gridCol w:w="720"/>
        <w:gridCol w:w="720"/>
        <w:gridCol w:w="720"/>
        <w:gridCol w:w="720"/>
        <w:gridCol w:w="720"/>
        <w:gridCol w:w="720"/>
        <w:gridCol w:w="720"/>
        <w:gridCol w:w="720"/>
        <w:gridCol w:w="720"/>
        <w:gridCol w:w="720"/>
        <w:gridCol w:w="720"/>
        <w:gridCol w:w="72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vMerge w:val="restart"/>
            <w:vAlign w:val="bottom"/>
          </w:tcPr>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rPr>
            </w:pPr>
            <w:bookmarkStart w:id="5" w:name="_heading=h.jdrw8zcp4emd" w:colFirst="0" w:colLast="0"/>
            <w:bookmarkEnd w:id="5"/>
            <w:bookmarkStart w:id="6" w:name="_heading=h.l4ygnhkm8vop" w:colFirst="0" w:colLast="0"/>
            <w:bookmarkEnd w:id="6"/>
            <w:r>
              <w:rPr>
                <w:rFonts w:ascii="Times New Roman" w:hAnsi="Times New Roman" w:eastAsia="Times New Roman" w:cs="Times New Roman"/>
                <w:sz w:val="21"/>
                <w:szCs w:val="21"/>
              </w:rPr>
              <w:t>Результати навчання</w:t>
            </w:r>
          </w:p>
        </w:tc>
        <w:tc>
          <w:tcPr>
            <w:tcW w:w="13575" w:type="dxa"/>
            <w:gridSpan w:val="19"/>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Компетентності</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vMerge w:val="continue"/>
          </w:tcPr>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sz w:val="21"/>
                <w:szCs w:val="21"/>
              </w:rPr>
            </w:pPr>
            <w:bookmarkStart w:id="7" w:name="_heading=h.1fob9te" w:colFirst="0" w:colLast="0"/>
            <w:bookmarkEnd w:id="7"/>
          </w:p>
        </w:tc>
        <w:tc>
          <w:tcPr>
            <w:tcW w:w="13575" w:type="dxa"/>
            <w:gridSpan w:val="19"/>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Інтегральна компетентність</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vMerge w:val="continue"/>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p>
        </w:tc>
        <w:tc>
          <w:tcPr>
            <w:tcW w:w="5655" w:type="dxa"/>
            <w:gridSpan w:val="8"/>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Загальні компетентності</w:t>
            </w:r>
          </w:p>
        </w:tc>
        <w:tc>
          <w:tcPr>
            <w:tcW w:w="7920" w:type="dxa"/>
            <w:gridSpan w:val="11"/>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Спеціальні (фахові) компетентності</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vMerge w:val="continue"/>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p>
        </w:tc>
        <w:tc>
          <w:tcPr>
            <w:tcW w:w="615"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ЗК 01</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ЗК 02</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ЗК 03</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ЗК 04</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ЗК 05</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ЗК 06</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ЗК 07</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ЗК 08</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01</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02</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03</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04</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05</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06</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07</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08</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09</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10</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СК 11</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01</w:t>
            </w:r>
          </w:p>
        </w:tc>
        <w:tc>
          <w:tcPr>
            <w:tcW w:w="615"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02</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03</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04</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05</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06</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07</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08</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09</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10</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11</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12</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13</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14</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15</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16</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17</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18</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single" w:color="000000" w:sz="4" w:space="0"/>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19</w:t>
            </w:r>
          </w:p>
        </w:tc>
        <w:tc>
          <w:tcPr>
            <w:tcW w:w="615"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single" w:color="000000" w:sz="4" w:space="0"/>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20</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21</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rPr>
          <w:trHeight w:val="20" w:hRule="atLeast"/>
        </w:trPr>
        <w:tc>
          <w:tcPr>
            <w:tcW w:w="1440" w:type="dxa"/>
            <w:tcBorders>
              <w:top w:val="nil"/>
              <w:left w:val="single" w:color="000000" w:sz="4" w:space="0"/>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РН 22</w:t>
            </w:r>
          </w:p>
        </w:tc>
        <w:tc>
          <w:tcPr>
            <w:tcW w:w="615"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720" w:type="dxa"/>
            <w:tcBorders>
              <w:top w:val="nil"/>
              <w:left w:val="nil"/>
              <w:bottom w:val="single" w:color="000000" w:sz="4" w:space="0"/>
              <w:right w:val="single" w:color="000000" w:sz="4" w:space="0"/>
            </w:tcBorders>
            <w:tcMar>
              <w:top w:w="0" w:type="dxa"/>
              <w:left w:w="100" w:type="dxa"/>
              <w:bottom w:w="0" w:type="dxa"/>
              <w:right w:w="100" w:type="dxa"/>
            </w:tcMar>
          </w:tcPr>
          <w:p>
            <w:pPr>
              <w:widowControl w:val="0"/>
              <w:kinsoku/>
              <w:wordWrap/>
              <w:overflowPunct/>
              <w:topLinePunct w:val="0"/>
              <w:autoSpaceDE/>
              <w:autoSpaceDN/>
              <w:bidi w:val="0"/>
              <w:adjustRightInd/>
              <w:snapToGrid/>
              <w:spacing w:after="0" w:line="240" w:lineRule="auto"/>
              <w:ind w:left="0" w:leftChars="0" w:right="0"/>
              <w:jc w:val="center"/>
              <w:textAlignment w:val="auto"/>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 </w:t>
            </w:r>
          </w:p>
        </w:tc>
      </w:tr>
    </w:tbl>
    <w:p>
      <w:pPr>
        <w:kinsoku/>
        <w:wordWrap/>
        <w:overflowPunct/>
        <w:topLinePunct w:val="0"/>
        <w:autoSpaceDE/>
        <w:autoSpaceDN/>
        <w:bidi w:val="0"/>
        <w:adjustRightInd/>
        <w:snapToGrid/>
        <w:spacing w:after="0" w:line="240" w:lineRule="auto"/>
        <w:ind w:left="0" w:leftChars="0" w:right="0"/>
        <w:jc w:val="both"/>
        <w:textAlignment w:val="auto"/>
        <w:rPr>
          <w:rFonts w:ascii="Times New Roman" w:hAnsi="Times New Roman" w:eastAsia="Times New Roman" w:cs="Times New Roman"/>
          <w:i/>
          <w:sz w:val="28"/>
          <w:szCs w:val="28"/>
        </w:rPr>
        <w:sectPr>
          <w:headerReference r:id="rId15" w:type="default"/>
          <w:pgSz w:w="16838" w:h="11906" w:orient="landscape"/>
          <w:pgMar w:top="851" w:right="1134" w:bottom="731" w:left="1134" w:header="567" w:footer="0" w:gutter="0"/>
          <w:pgNumType w:fmt="decimal" w:start="15"/>
          <w:cols w:space="720" w:num="1"/>
        </w:sectPr>
      </w:pPr>
      <w:r>
        <w:br w:type="page"/>
      </w:r>
    </w:p>
    <w:p>
      <w:pPr>
        <w:kinsoku/>
        <w:wordWrap/>
        <w:overflowPunct/>
        <w:topLinePunct w:val="0"/>
        <w:autoSpaceDE/>
        <w:autoSpaceDN/>
        <w:bidi w:val="0"/>
        <w:adjustRightInd/>
        <w:snapToGrid/>
        <w:spacing w:after="0" w:line="240" w:lineRule="auto"/>
        <w:ind w:left="0" w:leftChars="0" w:right="0"/>
        <w:jc w:val="right"/>
        <w:textAlignment w:val="auto"/>
        <w:rPr>
          <w:rFonts w:ascii="Times New Roman" w:hAnsi="Times New Roman" w:eastAsia="Times New Roman" w:cs="Times New Roman"/>
          <w:i/>
          <w:sz w:val="28"/>
          <w:szCs w:val="28"/>
        </w:rPr>
      </w:pPr>
      <w:r>
        <w:rPr>
          <w:rFonts w:ascii="Times New Roman" w:hAnsi="Times New Roman" w:eastAsia="Times New Roman" w:cs="Times New Roman"/>
          <w:i/>
          <w:sz w:val="28"/>
          <w:szCs w:val="28"/>
        </w:rPr>
        <w:t>Додаток 2</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Мінімально матеріально-технічне забезпечення  освітнього процесу на другому (магістерському) рівні вищої освіти за спеціальністю 227 Терапія та реабілітація 227.01 Фізична терапія</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color w:val="000000"/>
          <w:sz w:val="28"/>
          <w:szCs w:val="28"/>
        </w:rPr>
      </w:pP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sz w:val="28"/>
          <w:szCs w:val="28"/>
        </w:rPr>
      </w:pPr>
      <w:r>
        <w:rPr>
          <w:rFonts w:ascii="Times New Roman" w:hAnsi="Times New Roman" w:eastAsia="Times New Roman" w:cs="Times New Roman"/>
          <w:b/>
          <w:color w:val="000000"/>
          <w:sz w:val="28"/>
          <w:szCs w:val="28"/>
        </w:rPr>
        <w:t xml:space="preserve">Мінімальне обладнання кабінету доклінічної практики: </w:t>
      </w:r>
      <w:r>
        <w:rPr>
          <w:rFonts w:ascii="Times New Roman" w:hAnsi="Times New Roman" w:eastAsia="Times New Roman" w:cs="Times New Roman"/>
          <w:sz w:val="28"/>
          <w:szCs w:val="28"/>
        </w:rPr>
        <w:t xml:space="preserve">кушетка/стіл реабілітаційний для терапії широкий  120х200 см - 2 од; сходи/степ платформи  різної висоти (5 см, 10 см, 15 см); паралельні регульовані бруси; мобільне дзеркало; </w:t>
      </w:r>
      <w:r>
        <w:rPr>
          <w:rFonts w:ascii="Times New Roman" w:hAnsi="Times New Roman" w:eastAsia="Times New Roman" w:cs="Times New Roman"/>
          <w:color w:val="333333"/>
          <w:sz w:val="28"/>
          <w:szCs w:val="28"/>
        </w:rPr>
        <w:t>милиці передплічні та пахвові</w:t>
      </w:r>
      <w:r>
        <w:rPr>
          <w:rFonts w:ascii="Times New Roman" w:hAnsi="Times New Roman" w:eastAsia="Times New Roman" w:cs="Times New Roman"/>
          <w:sz w:val="28"/>
          <w:szCs w:val="28"/>
        </w:rPr>
        <w:t xml:space="preserve">, </w:t>
      </w:r>
      <w:r>
        <w:rPr>
          <w:rFonts w:ascii="Times New Roman" w:hAnsi="Times New Roman" w:eastAsia="Times New Roman" w:cs="Times New Roman"/>
          <w:color w:val="333333"/>
          <w:sz w:val="28"/>
          <w:szCs w:val="28"/>
        </w:rPr>
        <w:t>тростини і палиці для ходіння</w:t>
      </w:r>
      <w:r>
        <w:rPr>
          <w:rFonts w:ascii="Times New Roman" w:hAnsi="Times New Roman" w:eastAsia="Times New Roman" w:cs="Times New Roman"/>
          <w:sz w:val="28"/>
          <w:szCs w:val="28"/>
        </w:rPr>
        <w:t xml:space="preserve">, </w:t>
      </w:r>
      <w:r>
        <w:rPr>
          <w:rFonts w:ascii="Times New Roman" w:hAnsi="Times New Roman" w:eastAsia="Times New Roman" w:cs="Times New Roman"/>
          <w:color w:val="333333"/>
          <w:sz w:val="28"/>
          <w:szCs w:val="28"/>
        </w:rPr>
        <w:t>ходунки-рамки</w:t>
      </w:r>
      <w:r>
        <w:rPr>
          <w:rFonts w:ascii="Times New Roman" w:hAnsi="Times New Roman" w:eastAsia="Times New Roman" w:cs="Times New Roman"/>
          <w:sz w:val="28"/>
          <w:szCs w:val="28"/>
        </w:rPr>
        <w:t xml:space="preserve">; крісла колісні різного розміру та ступеню мобільності; </w:t>
      </w:r>
      <w:r>
        <w:rPr>
          <w:rFonts w:ascii="Times New Roman" w:hAnsi="Times New Roman" w:eastAsia="Times New Roman" w:cs="Times New Roman"/>
          <w:color w:val="333333"/>
          <w:sz w:val="28"/>
          <w:szCs w:val="28"/>
        </w:rPr>
        <w:t>еластична стрічка для вправ різного опору</w:t>
      </w:r>
      <w:r>
        <w:rPr>
          <w:rFonts w:ascii="Times New Roman" w:hAnsi="Times New Roman" w:eastAsia="Times New Roman" w:cs="Times New Roman"/>
          <w:sz w:val="28"/>
          <w:szCs w:val="28"/>
        </w:rPr>
        <w:t xml:space="preserve">; </w:t>
      </w:r>
      <w:r>
        <w:rPr>
          <w:rFonts w:ascii="Times New Roman" w:hAnsi="Times New Roman" w:eastAsia="Times New Roman" w:cs="Times New Roman"/>
          <w:color w:val="333333"/>
          <w:sz w:val="28"/>
          <w:szCs w:val="28"/>
        </w:rPr>
        <w:t>обважнювачів</w:t>
      </w:r>
      <w:r>
        <w:rPr>
          <w:rFonts w:ascii="Times New Roman" w:hAnsi="Times New Roman" w:eastAsia="Times New Roman" w:cs="Times New Roman"/>
          <w:sz w:val="28"/>
          <w:szCs w:val="28"/>
        </w:rPr>
        <w:t xml:space="preserve"> на кінцівки і пальці; платформи та диски для тренування балансу, фітболи, тощо; мати, подушки, валики, напіввалики; гантелі; шведська стінка</w:t>
      </w:r>
      <w:r>
        <w:t xml:space="preserve"> </w:t>
      </w:r>
    </w:p>
    <w:p>
      <w:pPr>
        <w:kinsoku/>
        <w:wordWrap/>
        <w:overflowPunct/>
        <w:topLinePunct w:val="0"/>
        <w:autoSpaceDE/>
        <w:autoSpaceDN/>
        <w:bidi w:val="0"/>
        <w:adjustRightInd/>
        <w:snapToGrid/>
        <w:spacing w:after="0" w:line="240" w:lineRule="auto"/>
        <w:ind w:left="0" w:leftChars="0" w:right="0" w:firstLine="709"/>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Мінімальне обладнання для навчання методам вимірювання структурних змін та порушених функцій організму: </w:t>
      </w:r>
    </w:p>
    <w:p>
      <w:pPr>
        <w:numPr>
          <w:ilvl w:val="0"/>
          <w:numId w:val="5"/>
        </w:num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кушетки/столи реабілітаційні для терапії з розрахунку  1 кушетка на 2-3 </w:t>
      </w:r>
      <w:r>
        <w:rPr>
          <w:rFonts w:ascii="Times New Roman" w:hAnsi="Times New Roman" w:eastAsia="Times New Roman" w:cs="Times New Roman"/>
          <w:sz w:val="28"/>
          <w:szCs w:val="28"/>
        </w:rPr>
        <w:br w:type="textWrapping"/>
      </w:r>
      <w:r>
        <w:rPr>
          <w:rFonts w:ascii="Times New Roman" w:hAnsi="Times New Roman" w:eastAsia="Times New Roman" w:cs="Times New Roman"/>
          <w:sz w:val="28"/>
          <w:szCs w:val="28"/>
        </w:rPr>
        <w:t>студентів в групі;</w:t>
      </w:r>
    </w:p>
    <w:p>
      <w:pPr>
        <w:numPr>
          <w:ilvl w:val="0"/>
          <w:numId w:val="5"/>
        </w:numPr>
        <w:kinsoku/>
        <w:wordWrap/>
        <w:overflowPunct/>
        <w:topLinePunct w:val="0"/>
        <w:autoSpaceDE/>
        <w:autoSpaceDN/>
        <w:bidi w:val="0"/>
        <w:adjustRightInd/>
        <w:snapToGrid/>
        <w:spacing w:after="0" w:line="240" w:lineRule="auto"/>
        <w:ind w:left="0" w:leftChars="0" w:right="0" w:firstLine="709"/>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динамометри; пульсоксіметри; апарати для вимірювання тиску; пульсометри; каліпери; спірометри портативні – 2-3 примірники; </w:t>
      </w:r>
    </w:p>
    <w:p>
      <w:pPr>
        <w:numPr>
          <w:ilvl w:val="0"/>
          <w:numId w:val="5"/>
        </w:numPr>
        <w:kinsoku/>
        <w:wordWrap/>
        <w:overflowPunct/>
        <w:topLinePunct w:val="0"/>
        <w:autoSpaceDE/>
        <w:autoSpaceDN/>
        <w:bidi w:val="0"/>
        <w:adjustRightInd/>
        <w:snapToGrid/>
        <w:spacing w:after="0" w:line="240" w:lineRule="auto"/>
        <w:ind w:left="0" w:leftChars="0" w:right="0" w:firstLine="709"/>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гоніометри різних форм та розмірів; вимірювальні сантиметрові стрічки – з розрахунку один примірник на 2-3 студентів в групі; </w:t>
      </w:r>
    </w:p>
    <w:p>
      <w:pPr>
        <w:numPr>
          <w:ilvl w:val="0"/>
          <w:numId w:val="5"/>
        </w:numPr>
        <w:kinsoku/>
        <w:wordWrap/>
        <w:overflowPunct/>
        <w:topLinePunct w:val="0"/>
        <w:autoSpaceDE/>
        <w:autoSpaceDN/>
        <w:bidi w:val="0"/>
        <w:adjustRightInd/>
        <w:snapToGrid/>
        <w:spacing w:after="0" w:line="240" w:lineRule="auto"/>
        <w:ind w:left="0" w:leftChars="0" w:right="0" w:firstLine="709"/>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10-метрова вимірювальна стрічка; ваги;  ростомір – один примірник. </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p>
    <w:p>
      <w:pPr>
        <w:pageBreakBefore/>
        <w:kinsoku/>
        <w:wordWrap/>
        <w:overflowPunct/>
        <w:topLinePunct w:val="0"/>
        <w:autoSpaceDE/>
        <w:autoSpaceDN/>
        <w:bidi w:val="0"/>
        <w:adjustRightInd/>
        <w:snapToGrid/>
        <w:spacing w:after="0" w:line="240" w:lineRule="auto"/>
        <w:ind w:left="0" w:leftChars="0" w:right="0" w:firstLine="440"/>
        <w:jc w:val="right"/>
        <w:textAlignment w:val="auto"/>
        <w:rPr>
          <w:rFonts w:ascii="Times New Roman" w:hAnsi="Times New Roman" w:eastAsia="Times New Roman" w:cs="Times New Roman"/>
          <w:b/>
          <w:sz w:val="28"/>
          <w:szCs w:val="28"/>
        </w:rPr>
      </w:pPr>
      <w:r>
        <w:rPr>
          <w:rFonts w:ascii="Times New Roman" w:hAnsi="Times New Roman" w:eastAsia="Times New Roman" w:cs="Times New Roman"/>
          <w:i/>
          <w:sz w:val="28"/>
          <w:szCs w:val="28"/>
        </w:rPr>
        <w:t>Додаток 3</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Результати клінічного навчання базового рівня підготовки фізичного терапевта</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18 результатів клінічного навчання згруповані у два розділи: професійна практика і менеджмент пацієнта/клієнта. </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Професійна практика:</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i/>
          <w:sz w:val="28"/>
          <w:szCs w:val="28"/>
        </w:rPr>
      </w:pPr>
      <w:r>
        <w:rPr>
          <w:rFonts w:ascii="Times New Roman" w:hAnsi="Times New Roman" w:eastAsia="Times New Roman" w:cs="Times New Roman"/>
          <w:sz w:val="28"/>
          <w:szCs w:val="28"/>
        </w:rPr>
        <w:t xml:space="preserve">1. Безпека </w:t>
      </w:r>
      <w:r>
        <w:rPr>
          <w:rFonts w:ascii="Times New Roman" w:hAnsi="Times New Roman" w:eastAsia="Times New Roman" w:cs="Times New Roman"/>
          <w:i/>
          <w:sz w:val="28"/>
          <w:szCs w:val="28"/>
        </w:rPr>
        <w:t>(Фундаментальний результат)*</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Створює та підтримує безпечне робоче середовище. Визнає фізіологічні та психологічні зміни у пацієнтів/клієнтів і відповідним чином коригує втручання. Розуміє протипокази та застереження щодо фізичної терапії, розуміє як повести себе в разі виникнення ускладнень та погіршення стану пацієнта/клієнта під час занять, за потреби вміє надати першу допомогу.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Безпечно працює без ризику для пацієнта/клієнта, себе та інших (використовує належну біомеханіку, рівень відповідної допомоги під час втручання та активності). За необхідності звертається за допомогою.</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Дотримується політик та процедур охорони праці, включаючи порядок запобігання появи та поширенню інфекцій та інфекційного контролю (використовує засоби індивідуального захисту, спеціальне обладнання, дотримується правил гігієни).</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2. Професійна поведінка</w:t>
      </w:r>
      <w:r>
        <w:rPr>
          <w:rFonts w:ascii="Times New Roman" w:hAnsi="Times New Roman" w:eastAsia="Times New Roman" w:cs="Times New Roman"/>
          <w:i/>
          <w:sz w:val="28"/>
          <w:szCs w:val="28"/>
        </w:rPr>
        <w:t>(Фундаментальний результат)*</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bookmarkStart w:id="8" w:name="_heading=h.z337ya" w:colFirst="0" w:colLast="0"/>
      <w:bookmarkEnd w:id="8"/>
      <w:r>
        <w:rPr>
          <w:rFonts w:ascii="Times New Roman" w:hAnsi="Times New Roman" w:eastAsia="Times New Roman" w:cs="Times New Roman"/>
          <w:sz w:val="28"/>
          <w:szCs w:val="28"/>
        </w:rPr>
        <w:t>Виявляє  ініціативу (наприклад, приходить добре підготовлений, пропонує допомогу, шукає можливості для навчання). Демонструє професійну поведінку у будь-яких ситуаціях відповідно до законодавчих, етичних та практичних професійних настанов.. Дотримується політики та процедур закладу, включаючи години роботи та відповідний одяг.</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Ставить потреби пацієнта/клієнта вище власних інтересів. Підтримує конфіденційність пацієнта/клієнта відповідно до кращих практик та нормативно-правових стандартів. Цінує гідність пацієнта/клієнта як особи.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3. Комунікація </w:t>
      </w:r>
      <w:r>
        <w:rPr>
          <w:rFonts w:ascii="Times New Roman" w:hAnsi="Times New Roman" w:eastAsia="Times New Roman" w:cs="Times New Roman"/>
          <w:i/>
          <w:sz w:val="28"/>
          <w:szCs w:val="28"/>
        </w:rPr>
        <w:t>(Фундаментальний результат)*</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Комунікує вербально та невербально, професійно та своєчасно з членами мультидисциплінарної реабілітаційної команди, пацієнтом/клієнтом, родиною, доглядачами. Робить чіткі, точні і своєчасні записи щодо всіх аспектів послуг фізичної терапії.</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Комунікує  відповідно ситуаційним потребам, вибирає відповідний час, місце, тему та аудиторію для спілкування. Ініціює комунікацію у складних ситуаціях, конструктивно вирішує конфліктні ситуації.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i/>
          <w:sz w:val="28"/>
          <w:szCs w:val="28"/>
        </w:rPr>
      </w:pPr>
      <w:r>
        <w:rPr>
          <w:rFonts w:ascii="Times New Roman" w:hAnsi="Times New Roman" w:eastAsia="Times New Roman" w:cs="Times New Roman"/>
          <w:sz w:val="28"/>
          <w:szCs w:val="28"/>
        </w:rPr>
        <w:t>4. Професійний розвиток</w:t>
      </w:r>
      <w:r>
        <w:rPr>
          <w:rFonts w:ascii="Times New Roman" w:hAnsi="Times New Roman" w:eastAsia="Times New Roman" w:cs="Times New Roman"/>
          <w:i/>
          <w:sz w:val="28"/>
          <w:szCs w:val="28"/>
        </w:rPr>
        <w:t>(Фундаментальний результат)*</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Визначає сильні сторони та обмеження продуктивності під час клінічного навчання. За необхідності звертається за допомогою щодо подолання обмежень. Дотримується сфери діяльності та при необхідності, скеровує пацієнтів/клієнтів до інших фахівців. Шукає та приймає досвід навчання для підвищення клінічної та професійної ефективності.</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Бере участь у самооцінці для покращення клінічної та професійної продуктивності. Шукає зворотного зв’язку від інших для покращення клінічної практики. Демонструє позитивне ставлення до зворотного зв’язку. Включає зворотний зв'язок у майбутній досвід. Надає зворотній зв'язок іншим, модифікуючи відповідно до потреб одержувача.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5. Відповідальність</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Здійснює менеджмент ризиків та небезпек. Визначає, визнає та приймає відповідальність за свої дії та повідомляє про помилки. Несе відповідальність за навчання, організацію і виконання переміщення пацієнта/клієнта, стахування пацієнта/клієнта під час переміщення, включаючи підбір обладнання та безпечних методів переміщення. Дотримується політик і процедур використання реабілітаційного обладнання та витратних матеріалів.</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Працює в межах сфери діяльності та компетенцій. Звітує відповідно ієрархії підзвітності, що відповідає контексту проведення клінічної практики. Дотримується відповідного етикету під час нарад та зборів реабілітаційної команди,  принципів та правових рамок, що стосуються навчання в клінічних умовах, включаючи, конфіденційність пацієнта, етику та отримання інформованої згоди на реабілітацію. Дотримується принципів та практики самостійного навчання упродовж усього клінічного навчання.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Дотримується пацієнто/клієнто-центрованої моделі надання реабілітаційних послуг. Своєчасно і в доступній формі інформує пацієнта/клієнта, родину, доглядачів про планування проведення обстеження і втручання (час, місце, одяг тощо). Своєчасно і відповідно вимог клінічного навчання несе відповідальність за інформування клінічного супервізора щодо запиту, побажань чи скарг пацієнта/клієнта, сім’ї, доглядачів, ведення відповідної документації.</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6. Культурна компетентність</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Розуміє  індивідуальні і культурні відмінності і відповідно адаптує свою поведінку у всіх аспектах послуг фізичної терапії. Спілкується, враховуючи різницю за расовою / етнічною приналежністю, віросповіданням, статтю, віком, національним походженням, сексуальною орієнтацією, інвалідністю, станом здоров'я. Пристосовує надання послуг з фізичної терапії з урахуванням відмінностей, цінностей, уподобань та потреб пацієнтів/клієнтів.</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Менеджмент пацієнта/клієнта:</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i/>
          <w:sz w:val="28"/>
          <w:szCs w:val="28"/>
        </w:rPr>
      </w:pPr>
      <w:r>
        <w:rPr>
          <w:rFonts w:ascii="Times New Roman" w:hAnsi="Times New Roman" w:eastAsia="Times New Roman" w:cs="Times New Roman"/>
          <w:sz w:val="28"/>
          <w:szCs w:val="28"/>
        </w:rPr>
        <w:t xml:space="preserve">7. Клінічне мислення </w:t>
      </w:r>
      <w:r>
        <w:rPr>
          <w:rFonts w:ascii="Times New Roman" w:hAnsi="Times New Roman" w:eastAsia="Times New Roman" w:cs="Times New Roman"/>
          <w:i/>
          <w:sz w:val="28"/>
          <w:szCs w:val="28"/>
        </w:rPr>
        <w:t>(Фундаментальний результат)*</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Чітко визначає проблеми. Визначає пріоритети в контексті потреб пацієнта/клієнта та загального плану надання послуг. Розглядає сильні сторони, обмеження та ресурси. Визначає можливі рішення та виразно формулює ймовірні результати. Визнає, коли план реабілітації та втручання неефективні, визначає проблеми, які потребують модифікації, та впроваджує відповідні зміни. Представляє логічне обґрунтування (переконливі та стислі аргументи) для клінічних рішень, синтезуючи усю наявну інформацію.</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Застосовує клінічне мислення базуючись на науково-обґрунтованих знаннях, прикладах кращих практик, цінностях та цілях пацієнта/клієнта в менеджменті пацієнта/клієнта. Приймає клінічні рішення в контексті етичної практики.</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8. Скринінг</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Використовує швидкі тести та методи вимірювання, які чутливі до визначення потреби втручання з фізичної терапії. Обговорює з практикуючим лікарем покази та протипокази до втручання.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Використовує дані скринінгу для планування проведення обстеження (вибір шкал, тестів, опитувальників тощо).</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9. Обстеження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Отримує інформацію від пацієнта/клієнта (інтерв’ювання пацієнта/клієнта) та з  інших джерел, використовуючи категорії МКФ для опису порушень структури та функції тіла, діяльності та участі, з’ясовує запит пацієнта/клієнта в категоріях МКФ. Використовує інші ресурси за необхідності (наприклад, медичну карту, сім'ю, доглядачів, інших працівників у сфері охорони здоров’я). Збирає інформацію, яка свідчить про протипокази до фізичної терапії чи потребу в невідкладній медичній допомозі.</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Використовує інформацію з історії пацієнта/клієнта та інших даних (наприклад, лабораторні, діагностичні тести та фармакологічну інформацію) для формування початкової гіпотези та  планування обстеження (наприклад, визначення пріоритетності вибору тесту, проведення тестів, які можуть не входити до стандартного обстеження, але запропоновані на основі історії пацієнта/клієнта).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Проводить обстеження з фізичної терапії, використовуючи специфічні для конкретної нозології міжнародні стандартизовані інструменти обстеження та оцінки (шкали/тести/опитувальники). Організовує обладнання, необхідне приладдя та оточення під час підготовки до проведення обстеження, проводить обстеження в межах очікуваних часових рамок. Тести та методи вимірювання розподіляє логічно для оптимізації продуктивності та врахування стану пацієнта/клієнта (біль, рівень мобільності). Модифікує тести на основі реакції пацієнта/клієнта або результатів, щоб підвищити ефективність.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10. Оцінка результатів обстеження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Аналізує та синтезує дані обстеження та визначає відповідні порушення, функціональні обмеження та якість життя в категоріях МКФ. [ВООЗ - модель МКФ]. Робить клінічні судження на основі даних обстеження ( історія, системний огляд, тести та вимірювання).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Проводить оцінку обстеження пацієнта/клієнта (історія, системний огляд, тести та методи вимірювання) для формування прогнозу і планування втручання.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11. Розуміння реабілітаційного діагнозу та встановлення реабілітаційного прогнозу</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Розуміє діагноз для втручання фізичної терапії та даних диференційної діагностики. Розуміє діагноз, який відповідає патології, порушенням, функціональним обмеженням та інвалідності.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Визначає перспективу змін функціонування особи за результатами реабілітаційного обстеження. Встановлює реабілітаційний прогноз, який скеровує майбутній менеджмент пацієнта/клієнта.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12. Планування  надання послуг (створення програми фізичної терапії в межах індивідуального реабілітаційного плану)</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Встановлює цілі, які повинні бути специфічні, вимірювані, досяжні, реалістичні та визначені в часі. Створює план фізичної терапії у співпраці з пацієнтом/клієнтом, родиною, доглядачами, членами реабілітаційної команди та іншими особами, які беруть участь у наданні реабілітаційних послуг.</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Створює програму фізичної терапії, безпечною, ефективною, орієнтованою на пацієнта/клієнта та базується на наукових доказах, яка є частиною командного індивідуального реабілітаційного плану</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Інтегрує дані первинного обстеження та здійснює клінічне мислення для планування надання послуг. Дотримується настанов (клінічних протоколів та маршрутів пацієнта/клієнта) при складанні програми терапії. Визначає ресурси  необхідні для досягнення цілей. Підбирає і планує втручання з урахуванням сімейної ситуації та ресурсів пацієнтів/клієнтів. Визначає критерії виписки, переведення та здійснює планування виписки у співпраці з пацієнтом/клієнтом, родиною, доглядачами та іншими членами реабілітаційної команди.</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13. Проведення втручання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Оцінює реакцію пацієнта/клієнта і працює відповідним чином при потребі змінюючи програму надання послуг та виписки. Моніторить, коригує та періодично переоцінює програму надання послуг та виписки. Обговорює з пацієнтом/клієнтом ризики та переваги використання альтернативних втручань. Здійснює втручання безпечно, ефективно, узгоджено та з відповідним технічним виконанням, під час занять відслідковує реакцію пацієнта/клієнта на втручання, стан пацієнта/клієнта та корегує втручання за потреби. Виконує втручання відповідно до індивідуального реабілітаційного плану, здійснює поточний контроль за виконанням завдань та коригує програми фізичної терапії за потреби, оцінює прогрес в досягненні цілей та завдань.</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Вибирає відповідне обладнання, яке відповідає цілям пацієнта/клієнта та плану надання послуг. Рекомендує обладнання з урахуванням побажань пацієнта/клієнта та наявних ресурсів. Дотримується настанов закладу щодо замовлення або рекомендації пристроїв чи обладнання. Забезпечує належне розміщення обладнання. Оцінює використання пацієнтами/клієнтами обладнання та реакцію пацієнта/клієнта на нього і коригує вибір та підлаштування обладнання відповідним чином.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14. Навчання пацієнтів/клієнтів, родини, доглядачів</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У співпраці з пацієнтом/клієнтом визначає та встановлює пріоритети для освітніх потреб пацієнта/клієнта. Визначає потреби, здібності та найкращий метод навчання пацієнта/клієнта (наприклад, демонстрація, словесна форма, письмова форма) разом з пацієнтом/клієнтом, родиною, доглядачами за допомогою оцінювання, минулого досвіду,  опитування. Інформує пацієнта/клієнта, члена сім'ї чи доглядача про результати обстеження, цілі,  програму фізичної терапії, визначає участь пацієнта/клієнта (роль вдома, на роботі, у школі чи громаді). Забезпечує пацієнта/клієнта, родину, доглядачів необхідними інструментами та навчанням  для менеджменту його проблем. Ефективно застосовує інструктаж, пояснюючи мету заняття, надаючи пацієнтам/клієнтам можливість вибору завдання, практикування завдання, даючи зворотній зв’язок, при потребі змінюючи інструкції, оцінюючи знання чи виконання завдання.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Організовує і проводить навчання пацієнтів/ клієнтів, родини, доглядачів щодо догляду, запобіганню можливих ускладнень та дотриманню рекомендацій на всіх етапах надання допомоги. Навчає пацієнта/клієнта щодо належного використання обладнання та самоконтролю під час використання обладнання (проблеми зі шкірою тощо).</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15. Ведення документації</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bookmarkStart w:id="9" w:name="_heading=h.3j2qqm3" w:colFirst="0" w:colLast="0"/>
      <w:bookmarkEnd w:id="9"/>
      <w:r>
        <w:rPr>
          <w:rFonts w:ascii="Times New Roman" w:hAnsi="Times New Roman" w:eastAsia="Times New Roman" w:cs="Times New Roman"/>
          <w:sz w:val="28"/>
          <w:szCs w:val="28"/>
        </w:rPr>
        <w:t>Вибирає відповідну інформацію для ведення документації щодо фізичної терапії. Документує всі аспекти надання послуг з фізичної терапії, включаючи скринінг, обстеження, оцінку та план надання послуг, втручання, реакцію на втручання, планування виписки, обговорення з сім’єю пацієнта/клієнта та спілкування з іншими особами, які беруть участь у наданні послуг.</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16. Оцінка результатів надання послуг (виконання програми фізичної терапії окремо чи в межах індивідуального реабілітаційного плану)</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Застосовує, інтерпретує та повідомляє результати надання послуг, дані початкового і кінцевого обстеження протягом періоду надання послуг та перед випискою пацієнту/клієнту, родині, доглядачу, а також членам мультидисциплінарної команди. Оцінює та реагує на рівень задоволеності пацієнтів/клієнтів, родини, доглядачів послугами фізичної терапії протягом періоду надання послуг.</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Збирає та аналізує дані результатів наданих послуг з фізичної терапії для звітування та моніторингу якості надання послуг.</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17. Управління ресурсами</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Складає розклад роботи з пацієнтами/клієнтами, використання обладнання та простору, визначає та встановлює пріоритетність завдань, які необхідно виконати. Планує і дотримується реалістичного та відповідного графіку. Ефективно використовує ресурси, включаючи позаплановий час. Планує та надає послуги пацієнтам/клієнтам у межах доступних інституційних ресурсів. Демонструє гнучкість, коли має справу з непередбаченими обставинами. Координує фізичну терапію з іншими послугами для сприяння ефективному виконанню індивідуального реабілітаційного плану пацієнта/клієнта.</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Бере участь у менеджменті фінансів (складання бюджету, виставлення рахунків та відшкодування витрат, час, простір, обладнання, маркетинг, зв'язки з громадськістю) послуг з фізичної терапії, що відповідає нормативним, юридичним та установчим принципам.</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18. Управління персоналом (робота в команді, лідерство)</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Визначає ті послуги з фізичної терапії, які можуть бути спрямовані на інший допоміжний персонал відповідно до юрисдикційного законодавства, практичних настанов, політики, етичних кодексів та правил діяльності закладу. Застосовує принципи управління часом під час супервізії допоміжного персоналу та надання послуг пацієнтам/клієнтам.</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Керує та супервізує допоміжний персонал для досягнення цілей та очікуваних пацієнтом/клієнтом результатів надання послуг відповідно до законодавчих, етичних та практичних професійних настанов.. Бере на себе роль  лідера в межах компетентності.</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i/>
          <w:sz w:val="28"/>
          <w:szCs w:val="28"/>
        </w:rPr>
      </w:pPr>
      <w:r>
        <w:rPr>
          <w:rFonts w:ascii="Times New Roman" w:hAnsi="Times New Roman" w:eastAsia="Times New Roman" w:cs="Times New Roman"/>
          <w:sz w:val="28"/>
          <w:szCs w:val="28"/>
        </w:rPr>
        <w:t>*Ф</w:t>
      </w:r>
      <w:r>
        <w:rPr>
          <w:rFonts w:ascii="Times New Roman" w:hAnsi="Times New Roman" w:eastAsia="Times New Roman" w:cs="Times New Roman"/>
          <w:i/>
          <w:sz w:val="28"/>
          <w:szCs w:val="28"/>
        </w:rPr>
        <w:t>ундаментальним результатом вважається результат клінічного навчання, який потрібно досягнути на четвертому рівні на момент закінчення практики.</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i/>
          <w:sz w:val="28"/>
          <w:szCs w:val="28"/>
        </w:rPr>
      </w:pPr>
    </w:p>
    <w:p>
      <w:pPr>
        <w:kinsoku/>
        <w:wordWrap/>
        <w:overflowPunct/>
        <w:topLinePunct w:val="0"/>
        <w:autoSpaceDE/>
        <w:autoSpaceDN/>
        <w:bidi w:val="0"/>
        <w:adjustRightInd/>
        <w:snapToGrid/>
        <w:spacing w:after="0" w:line="240" w:lineRule="auto"/>
        <w:ind w:left="0" w:leftChars="0" w:right="0"/>
        <w:textAlignment w:val="auto"/>
        <w:rPr>
          <w:rFonts w:ascii="Times New Roman" w:hAnsi="Times New Roman" w:eastAsia="Times New Roman" w:cs="Times New Roman"/>
          <w:i/>
          <w:sz w:val="28"/>
          <w:szCs w:val="28"/>
        </w:rPr>
      </w:pPr>
      <w:r>
        <w:br w:type="page"/>
      </w:r>
    </w:p>
    <w:p>
      <w:pPr>
        <w:kinsoku/>
        <w:wordWrap/>
        <w:overflowPunct/>
        <w:topLinePunct w:val="0"/>
        <w:autoSpaceDE/>
        <w:autoSpaceDN/>
        <w:bidi w:val="0"/>
        <w:adjustRightInd/>
        <w:snapToGrid/>
        <w:spacing w:after="0" w:line="240" w:lineRule="auto"/>
        <w:ind w:left="0" w:leftChars="0" w:right="0" w:firstLine="440"/>
        <w:jc w:val="right"/>
        <w:textAlignment w:val="auto"/>
        <w:rPr>
          <w:rFonts w:ascii="Times New Roman" w:hAnsi="Times New Roman" w:eastAsia="Times New Roman" w:cs="Times New Roman"/>
          <w:i/>
          <w:sz w:val="28"/>
          <w:szCs w:val="28"/>
        </w:rPr>
      </w:pPr>
      <w:r>
        <w:rPr>
          <w:rFonts w:ascii="Times New Roman" w:hAnsi="Times New Roman" w:eastAsia="Times New Roman" w:cs="Times New Roman"/>
          <w:i/>
          <w:sz w:val="28"/>
          <w:szCs w:val="28"/>
        </w:rPr>
        <w:t>Додаток 6</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Рівні досягнутих результатів клінічного навчання за спеціальністю </w:t>
      </w:r>
    </w:p>
    <w:p>
      <w:pPr>
        <w:kinsoku/>
        <w:wordWrap/>
        <w:overflowPunct/>
        <w:topLinePunct w:val="0"/>
        <w:autoSpaceDE/>
        <w:autoSpaceDN/>
        <w:bidi w:val="0"/>
        <w:adjustRightInd/>
        <w:snapToGrid/>
        <w:spacing w:after="0" w:line="240" w:lineRule="auto"/>
        <w:ind w:left="0" w:leftChars="0" w:right="0" w:firstLine="441"/>
        <w:jc w:val="both"/>
        <w:textAlignment w:val="auto"/>
        <w:rPr>
          <w:rFonts w:ascii="Times New Roman" w:hAnsi="Times New Roman" w:eastAsia="Times New Roman" w:cs="Times New Roman"/>
          <w:b/>
          <w:sz w:val="28"/>
          <w:szCs w:val="28"/>
        </w:rPr>
      </w:pP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Перший рівень </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bookmarkStart w:id="10" w:name="_heading=h.1y810tw" w:colFirst="0" w:colLast="0"/>
      <w:bookmarkEnd w:id="10"/>
      <w:r>
        <w:rPr>
          <w:rFonts w:ascii="Times New Roman" w:hAnsi="Times New Roman" w:eastAsia="Times New Roman" w:cs="Times New Roman"/>
          <w:color w:val="000000"/>
          <w:sz w:val="28"/>
          <w:szCs w:val="28"/>
        </w:rPr>
        <w:t>Студент, який потребує 100% - 75% супервізії під час роботи з пацієнтами/клієнтами, навіть із пацієнтами/клієнтами з простими порушеннями стану здоров’я. Потребує частого зворотного  зв'язку для досягнення відповідних цілей та дотримання протоколів.</w:t>
      </w:r>
    </w:p>
    <w:p>
      <w:pPr>
        <w:numPr>
          <w:ilvl w:val="0"/>
          <w:numId w:val="6"/>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bookmarkStart w:id="11" w:name="_heading=h.4i7ojhp" w:colFirst="0" w:colLast="0"/>
      <w:bookmarkEnd w:id="11"/>
      <w:r>
        <w:rPr>
          <w:rFonts w:ascii="Times New Roman" w:hAnsi="Times New Roman" w:eastAsia="Times New Roman" w:cs="Times New Roman"/>
          <w:color w:val="000000"/>
          <w:sz w:val="28"/>
          <w:szCs w:val="28"/>
        </w:rPr>
        <w:t>На низькому рівні застосовує відповідні знання та навички під час роботи з пацієнтами/клієнтами з незначними порушеннями функціонування.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Другий рівень</w:t>
      </w:r>
    </w:p>
    <w:p>
      <w:pPr>
        <w:numPr>
          <w:ilvl w:val="0"/>
          <w:numId w:val="7"/>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bookmarkStart w:id="12" w:name="_heading=h.2xcytpi" w:colFirst="0" w:colLast="0"/>
      <w:bookmarkEnd w:id="12"/>
      <w:r>
        <w:rPr>
          <w:rFonts w:ascii="Times New Roman" w:hAnsi="Times New Roman" w:eastAsia="Times New Roman" w:cs="Times New Roman"/>
          <w:color w:val="000000"/>
          <w:sz w:val="28"/>
          <w:szCs w:val="28"/>
        </w:rPr>
        <w:t xml:space="preserve">Студент, який потребує 75%-50% супервізії під час роботи з пацієнтами/клієнтами з простими порушеннями стану здоров’я та 100% часу з пацієнтами/клієнтами із складними порушеннями стану здоров’я. Приймає самостійно прості рішення щодо плану реабілітації,  демонструє послідовність у розвитку професійних компетентностей з простими завданнями (наприклад, опрацювання медичної документації, проведення тестуванням сили м’язів та амплітуди рухів, а також виконувати просте втручання), але не може самостійно оцінити результати обстеження, втручання та застосувати навички клінічного мислення. </w:t>
      </w:r>
    </w:p>
    <w:p>
      <w:pPr>
        <w:numPr>
          <w:ilvl w:val="0"/>
          <w:numId w:val="7"/>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bookmarkStart w:id="13" w:name="_heading=h.1ci93xb" w:colFirst="0" w:colLast="0"/>
      <w:bookmarkEnd w:id="13"/>
      <w:r>
        <w:rPr>
          <w:rFonts w:ascii="Times New Roman" w:hAnsi="Times New Roman" w:eastAsia="Times New Roman" w:cs="Times New Roman"/>
          <w:color w:val="000000"/>
          <w:sz w:val="28"/>
          <w:szCs w:val="28"/>
        </w:rPr>
        <w:t>На середньому рівні застосовує відповідні знання та навички під час роботи з пацієнтами/клієнтами з помірними порушеннями функціонування.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Третій рівень</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bookmarkStart w:id="14" w:name="_heading=h.3whwml4" w:colFirst="0" w:colLast="0"/>
      <w:bookmarkEnd w:id="14"/>
      <w:r>
        <w:rPr>
          <w:rFonts w:ascii="Times New Roman" w:hAnsi="Times New Roman" w:eastAsia="Times New Roman" w:cs="Times New Roman"/>
          <w:color w:val="000000"/>
          <w:sz w:val="28"/>
          <w:szCs w:val="28"/>
        </w:rPr>
        <w:t>Студент, який потребує менше 50% супервізії під час роботи з пацієнтами/клієнтами з простими порушеннями стану здоров’я та 75% часу з пацієнтами/клієнтами із складними порушеннями стану здоров’я. Призначає реабілітаційне втручання, приймає рішення щодо програми фізичної терапії, розвиває здатність послідовно виконувати кваліфіковане обстеження, втручання та клінічне мислення.</w:t>
      </w:r>
    </w:p>
    <w:p>
      <w:pPr>
        <w:numPr>
          <w:ilvl w:val="0"/>
          <w:numId w:val="8"/>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bookmarkStart w:id="15" w:name="_heading=h.2bn6wsx" w:colFirst="0" w:colLast="0"/>
      <w:bookmarkEnd w:id="15"/>
      <w:r>
        <w:rPr>
          <w:rFonts w:ascii="Times New Roman" w:hAnsi="Times New Roman" w:eastAsia="Times New Roman" w:cs="Times New Roman"/>
          <w:color w:val="000000"/>
          <w:sz w:val="28"/>
          <w:szCs w:val="28"/>
        </w:rPr>
        <w:t>На високому рівні застосовує відповідні знання та навички під час роботи з пацієнтами/клієнтами з складними порушеннями функціонування.</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Четвертий рівень (базовий рівень)</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bookmarkStart w:id="16" w:name="_heading=h.qsh70q" w:colFirst="0" w:colLast="0"/>
      <w:bookmarkEnd w:id="16"/>
      <w:r>
        <w:rPr>
          <w:rFonts w:ascii="Times New Roman" w:hAnsi="Times New Roman" w:eastAsia="Times New Roman" w:cs="Times New Roman"/>
          <w:color w:val="000000"/>
          <w:sz w:val="28"/>
          <w:szCs w:val="28"/>
        </w:rPr>
        <w:t>Студент, який потребує менше 25% супервізії під час роботи з новими пацієнтами/клієнтами або пацієнтами/клієнтами зі складними порушеннями стану здоров’я чи дуже складними порушеннями стану здоров’я, але працює автономно з пацієнтами/клієнтами з простими порушеннями стану здоров’я. Призначає реабілітаційне втручання, приймає рішення щодо програми фізичної терапії, має навички виконання простих та складних завдань для проведення кваліфікованого обстеження, втручання та клінічного мислення.</w:t>
      </w:r>
    </w:p>
    <w:p>
      <w:pPr>
        <w:numPr>
          <w:ilvl w:val="0"/>
          <w:numId w:val="9"/>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На рівні фахівця застосовує відповідні знання та навички під час роботи з пацієнтами/клієнтами з простими  та складними порушеннями стану здоров’я.  Студент охоче бере на себе роль  лідера щодо ведення пацієнтів/клієнтів із складними та дуже складними порушеннями функціонування.  Консультується з іншими фахівцями за потреби та вирішує незнайомі чи неоднозначні ситуації. </w:t>
      </w:r>
    </w:p>
    <w:p>
      <w:pP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sz w:val="28"/>
          <w:szCs w:val="28"/>
        </w:rPr>
      </w:pPr>
      <w:r>
        <w:rPr>
          <w:rFonts w:ascii="Times New Roman" w:hAnsi="Times New Roman" w:eastAsia="Times New Roman" w:cs="Times New Roman"/>
          <w:sz w:val="28"/>
          <w:szCs w:val="28"/>
        </w:rPr>
        <w:t>П’ятий рівень (вище базового рівня)</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Студент, який здатний функціонувати без клінічної супервізії при веденні пацієнтів/клієнтів з складними або дуже складними станами здоров’я, здатний функціонувати в незнайомих або неоднозначних ситуаціях.</w:t>
      </w:r>
    </w:p>
    <w:p>
      <w:pPr>
        <w:numPr>
          <w:ilvl w:val="0"/>
          <w:numId w:val="10"/>
        </w:num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На цьому рівні студент постійно демонструє навички проведення висококваліфікованого обстеження, втручання та клінічного мислення, може виконувати роль супервізора для інших студентів. Студент охоче бере на себе роль  лідера щодо ведення пацієнтів/клієнтів із складними або дуже складними порушеннями функціонування.</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Неприйнятно. Студент, працюючи з пацієнтом, демонструє непрофесійну, небезпечну, незаконну чи неетичну поведінку (небезпечно та / або неефективно проводить обстеження чи втручання, незважаючи на неодноразові вказівки, включаючи письмові документи про інцидент(и) або проблему(и) та надані консультації.</w:t>
      </w: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color w:val="000000"/>
          <w:sz w:val="28"/>
          <w:szCs w:val="28"/>
        </w:rPr>
      </w:pPr>
    </w:p>
    <w:p>
      <w:pPr>
        <w:pBdr>
          <w:top w:val="none" w:color="auto" w:sz="0" w:space="0"/>
          <w:left w:val="none" w:color="auto" w:sz="0" w:space="0"/>
          <w:bottom w:val="none" w:color="auto" w:sz="0" w:space="0"/>
          <w:right w:val="none" w:color="auto" w:sz="0" w:space="0"/>
          <w:between w:val="none" w:color="auto" w:sz="0" w:space="0"/>
        </w:pBdr>
        <w:kinsoku/>
        <w:wordWrap/>
        <w:overflowPunct/>
        <w:topLinePunct w:val="0"/>
        <w:autoSpaceDE/>
        <w:autoSpaceDN/>
        <w:bidi w:val="0"/>
        <w:adjustRightInd/>
        <w:snapToGrid/>
        <w:spacing w:after="0" w:line="240" w:lineRule="auto"/>
        <w:ind w:left="0" w:leftChars="0" w:right="0" w:firstLine="440"/>
        <w:jc w:val="both"/>
        <w:textAlignment w:val="auto"/>
        <w:rPr>
          <w:rFonts w:ascii="Times New Roman" w:hAnsi="Times New Roman" w:eastAsia="Times New Roman" w:cs="Times New Roman"/>
        </w:rPr>
      </w:pPr>
      <w:r>
        <w:rPr>
          <w:rFonts w:ascii="Times New Roman" w:hAnsi="Times New Roman" w:eastAsia="Times New Roman" w:cs="Times New Roman"/>
          <w:color w:val="000000"/>
          <w:sz w:val="28"/>
          <w:szCs w:val="28"/>
        </w:rPr>
        <w:t>Не застосовується. Студент не мав достатньої можливості для досягнення відповідних цілей, щоб можна було оцінити ефективність його роботи.</w:t>
      </w:r>
    </w:p>
    <w:sectPr>
      <w:pgSz w:w="11906" w:h="16838"/>
      <w:pgMar w:top="694" w:right="680" w:bottom="757" w:left="1041" w:header="567" w:footer="34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97A1FDB1-A6A9-40EE-8DAA-40B40A0FD06E}"/>
  </w:font>
  <w:font w:name="Courier New">
    <w:panose1 w:val="02070309020205020404"/>
    <w:charset w:val="00"/>
    <w:family w:val="modern"/>
    <w:pitch w:val="default"/>
    <w:sig w:usb0="E0002EFF" w:usb1="C0007843" w:usb2="00000009" w:usb3="00000000" w:csb0="400001FF" w:csb1="FFFF0000"/>
    <w:embedRegular r:id="rId2" w:fontKey="{C198FBCB-7FC9-43C3-B6C9-BA7AA420AEC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DDB9891C-D918-437E-8DF2-4079E81C6927}"/>
  </w:font>
  <w:font w:name="Calibri">
    <w:panose1 w:val="020F0502020204030204"/>
    <w:charset w:val="00"/>
    <w:family w:val="swiss"/>
    <w:pitch w:val="default"/>
    <w:sig w:usb0="E4002EFF" w:usb1="C000247B" w:usb2="00000009" w:usb3="00000000" w:csb0="200001FF" w:csb1="00000000"/>
    <w:embedRegular r:id="rId4" w:fontKey="{5974DC8C-5DE3-40FD-A0DC-2300D4F4B171}"/>
  </w:font>
  <w:font w:name="Calibri">
    <w:panose1 w:val="020F0502020204030204"/>
    <w:charset w:val="86"/>
    <w:family w:val="swiss"/>
    <w:pitch w:val="default"/>
    <w:sig w:usb0="E4002EFF" w:usb1="C000247B" w:usb2="00000009" w:usb3="00000000" w:csb0="200001FF" w:csb1="00000000"/>
    <w:embedRegular r:id="rId5" w:fontKey="{AB721F7B-8B91-4F1B-B80D-BB8093CEBA81}"/>
  </w:font>
  <w:font w:name="Segoe UI">
    <w:panose1 w:val="020B0502040204020203"/>
    <w:charset w:val="CC"/>
    <w:family w:val="swiss"/>
    <w:pitch w:val="default"/>
    <w:sig w:usb0="E4002EFF" w:usb1="C000E47F" w:usb2="00000009" w:usb3="00000000" w:csb0="200001FF" w:csb1="00000000"/>
    <w:embedRegular r:id="rId6" w:fontKey="{05AE76CE-BC88-4D6E-BBEF-0BE5B94C5B70}"/>
  </w:font>
  <w:font w:name="1251 Times">
    <w:altName w:val="Courier New"/>
    <w:panose1 w:val="00000000000000000000"/>
    <w:charset w:val="00"/>
    <w:family w:val="swiss"/>
    <w:pitch w:val="default"/>
    <w:sig w:usb0="00000000" w:usb1="00000000" w:usb2="00000000" w:usb3="00000000" w:csb0="00000001" w:csb1="00000000"/>
  </w:font>
  <w:font w:name="Noto Sans Symbols">
    <w:altName w:val="Calibri"/>
    <w:panose1 w:val="00000000000000000000"/>
    <w:charset w:val="00"/>
    <w:family w:val="auto"/>
    <w:pitch w:val="default"/>
    <w:sig w:usb0="00000000" w:usb1="00000000" w:usb2="00000000" w:usb3="00000000" w:csb0="00000000" w:csb1="00000000"/>
    <w:embedRegular r:id="rId7" w:fontKey="{604425B4-3390-4B8C-A0CD-773CD68E7010}"/>
  </w:font>
  <w:font w:name="Georgia">
    <w:panose1 w:val="02040502050405020303"/>
    <w:charset w:val="CC"/>
    <w:family w:val="roman"/>
    <w:pitch w:val="default"/>
    <w:sig w:usb0="00000287" w:usb1="00000000" w:usb2="00000000" w:usb3="00000000" w:csb0="2000009F" w:csb1="00000000"/>
    <w:embedRegular r:id="rId8" w:fontKey="{979F9C8E-785B-4BF9-934E-110E40C1C807}"/>
  </w:font>
  <w:font w:name="Helvetica">
    <w:altName w:val="Arial"/>
    <w:panose1 w:val="020B0604020202020204"/>
    <w:charset w:val="00"/>
    <w:family w:val="auto"/>
    <w:pitch w:val="default"/>
    <w:sig w:usb0="00000000" w:usb1="00000000" w:usb2="00000000" w:usb3="00000000" w:csb0="0000019F" w:csb1="00000000"/>
    <w:embedRegular r:id="rId9" w:fontKey="{C2291429-ED5F-43A6-B0CE-42C82ACC020A}"/>
  </w:font>
  <w:font w:name="Arial Unicode MS">
    <w:panose1 w:val="020B0604020202020204"/>
    <w:charset w:val="80"/>
    <w:family w:val="swiss"/>
    <w:pitch w:val="default"/>
    <w:sig w:usb0="FFFFFFFF" w:usb1="E9FFFFFF" w:usb2="0000003F" w:usb3="00000000" w:csb0="603F01FF" w:csb1="FFFF0000"/>
  </w:font>
  <w:font w:name="Times">
    <w:altName w:val="Times New Roman"/>
    <w:panose1 w:val="02020603050405020304"/>
    <w:charset w:val="00"/>
    <w:family w:val="auto"/>
    <w:pitch w:val="default"/>
    <w:sig w:usb0="00000000" w:usb1="00000000" w:usb2="00000000" w:usb3="00000000" w:csb0="00000000" w:csb1="00000000"/>
    <w:embedRegular r:id="rId10" w:fontKey="{ACB06A9F-0D2D-4E1E-92A7-F1FB59B7960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819"/>
        <w:tab w:val="right" w:pos="9639"/>
      </w:tabs>
      <w:spacing w:after="0" w:line="240" w:lineRule="auto"/>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819"/>
        <w:tab w:val="right" w:pos="9639"/>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pacing w:after="0" w:line="240" w:lineRule="auto"/>
      <w:jc w:val="both"/>
      <w:rPr>
        <w:color w:val="000000"/>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Текстовое поле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s0lY7tAAAAAFAQAADwAAAAAAAAABACAAAAAiAAAAZHJzL2Rv&#10;d25yZXYueG1sUEsBAhQAFAAAAAgAh07iQEyRxmtCAgAAcwQAAA4AAAAAAAAAAQAgAAAAHwEAAGRy&#10;cy9lMm9Eb2MueG1sUEsFBgAAAAAGAAYAWQEAANMFA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3</w:t>
                    </w:r>
                    <w:r>
                      <w:fldChar w:fldCharType="end"/>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2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Текстовое поле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zSVju0AAAAAUBAAAPAAAAAAAAAAEAIAAAACIAAABkcnMvZG93&#10;bnJldi54bWxQSwECFAAUAAAACACHTuJAri8PGUECAAB1BAAADgAAAAAAAAABACAAAAAfAQAAZHJz&#10;L2Uyb0RvYy54bWxQSwUGAAAAAAYABgBZAQAA0gU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w:t>
                    </w:r>
                    <w:r>
                      <w:fldChar w:fldCharType="end"/>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spacing w:after="0" w:line="240" w:lineRule="auto"/>
      <w:ind w:firstLine="720"/>
      <w:jc w:val="center"/>
      <w:rPr>
        <w:rFonts w:ascii="Times" w:hAnsi="Times" w:eastAsia="Times" w:cs="Times"/>
        <w:color w:val="000000"/>
        <w:sz w:val="28"/>
        <w:szCs w:val="28"/>
      </w:rPr>
    </w:pPr>
    <w:r>
      <w:rPr>
        <w:sz w:val="2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Текстовое поле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s0lY7tAAAAAFAQAADwAAAAAAAAABACAAAAAiAAAAZHJzL2Rvd25y&#10;ZXYueG1sUEsBAhQAFAAAAAgAh07iQPy+BZM/AgAAdQQAAA4AAAAAAAAAAQAgAAAAHwEAAGRycy9l&#10;Mm9Eb2MueG1sUEsFBgAAAAAGAAYAWQEAANAFA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w:t>
                    </w:r>
                    <w:r>
                      <w:fldChar w:fldCharType="end"/>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2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Текстовое поле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NJWO7QAAAABQEAAA8AAAAAAAAAAQAgAAAAIgAAAGRycy9kb3du&#10;cmV2LnhtbFBLAQIUABQAAAAIAIdO4kBLC2vWQAIAAHUEAAAOAAAAAAAAAAEAIAAAAB8BAABkcnMv&#10;ZTJvRG9jLnhtbFBLBQYAAAAABgAGAFkBAADRBQ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12</w:t>
                    </w:r>
                    <w:r>
                      <w:fldChar w:fldCharType="end"/>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2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Текстовое поле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NJWO7QAAAABQEAAA8AAAAAAAAAAQAgAAAAIgAAAGRycy9kb3du&#10;cmV2LnhtbFBLAQIUABQAAAAIAIdO4kDARNKTQAIAAHUEAAAOAAAAAAAAAAEAIAAAAB8BAABkcnMv&#10;ZTJvRG9jLnhtbFBLBQYAAAAABgAGAFkBAADRBQ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w:t>
                    </w:r>
                    <w:r>
                      <w:fldChar w:fldCharType="end"/>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Текстовое поле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zSVju0AAAAAUBAAAPAAAAAAAAAAEAIAAAACIAAABkcnMvZG93&#10;bnJldi54bWxQSwECFAAUAAAACACHTuJAdxohtEECAABzBAAADgAAAAAAAAABACAAAAAfAQAAZHJz&#10;L2Uyb0RvYy54bWxQSwUGAAAAAAYABgBZAQAA0gU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w:t>
                    </w:r>
                    <w:r>
                      <w:fldChar w:fldCharType="end"/>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2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Текстовое поле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s0lY7tAAAAAFAQAADwAAAAAAAAABACAAAAAiAAAAZHJzL2Rvd25y&#10;ZXYueG1sUEsBAhQAFAAAAAgAh07iQLiwfZI/AgAAdQQAAA4AAAAAAAAAAQAgAAAAHwEAAGRycy9l&#10;Mm9Eb2MueG1sUEsFBgAAAAAGAAYAWQEAANAFA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15</w:t>
                    </w:r>
                    <w: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7E7D10"/>
    <w:multiLevelType w:val="multilevel"/>
    <w:tmpl w:val="007E7D10"/>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0AE344D8"/>
    <w:multiLevelType w:val="multilevel"/>
    <w:tmpl w:val="0AE344D8"/>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138D316F"/>
    <w:multiLevelType w:val="multilevel"/>
    <w:tmpl w:val="138D316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13DB7EB9"/>
    <w:multiLevelType w:val="multilevel"/>
    <w:tmpl w:val="13DB7EB9"/>
    <w:lvl w:ilvl="0" w:tentative="0">
      <w:start w:val="1"/>
      <w:numFmt w:val="bullet"/>
      <w:pStyle w:val="20"/>
      <w:lvlText w:val="−"/>
      <w:lvlJc w:val="left"/>
      <w:pPr>
        <w:ind w:left="720" w:hanging="360"/>
      </w:pPr>
      <w:rPr>
        <w:rFonts w:ascii="Noto Sans Symbols" w:hAnsi="Noto Sans Symbols" w:eastAsia="Noto Sans Symbols" w:cs="Noto Sans Symbols"/>
      </w:rPr>
    </w:lvl>
    <w:lvl w:ilvl="1" w:tentative="0">
      <w:start w:val="1"/>
      <w:numFmt w:val="decimal"/>
      <w:lvlText w:val="%2."/>
      <w:lvlJc w:val="left"/>
      <w:pPr>
        <w:ind w:left="1440" w:hanging="360"/>
      </w:pPr>
    </w:lvl>
    <w:lvl w:ilvl="2" w:tentative="0">
      <w:start w:val="1"/>
      <w:numFmt w:val="decimal"/>
      <w:lvlText w:val="%3."/>
      <w:lvlJc w:val="left"/>
      <w:pPr>
        <w:ind w:left="2160" w:hanging="360"/>
      </w:pPr>
    </w:lvl>
    <w:lvl w:ilvl="3" w:tentative="0">
      <w:start w:val="1"/>
      <w:numFmt w:val="decimal"/>
      <w:lvlText w:val="%4."/>
      <w:lvlJc w:val="left"/>
      <w:pPr>
        <w:ind w:left="2880" w:hanging="360"/>
      </w:pPr>
    </w:lvl>
    <w:lvl w:ilvl="4" w:tentative="0">
      <w:start w:val="1"/>
      <w:numFmt w:val="decimal"/>
      <w:lvlText w:val="%5."/>
      <w:lvlJc w:val="left"/>
      <w:pPr>
        <w:ind w:left="3600" w:hanging="360"/>
      </w:pPr>
    </w:lvl>
    <w:lvl w:ilvl="5" w:tentative="0">
      <w:start w:val="1"/>
      <w:numFmt w:val="decimal"/>
      <w:lvlText w:val="%6."/>
      <w:lvlJc w:val="left"/>
      <w:pPr>
        <w:ind w:left="4320" w:hanging="360"/>
      </w:pPr>
    </w:lvl>
    <w:lvl w:ilvl="6" w:tentative="0">
      <w:start w:val="1"/>
      <w:numFmt w:val="decimal"/>
      <w:lvlText w:val="%7."/>
      <w:lvlJc w:val="left"/>
      <w:pPr>
        <w:ind w:left="5040" w:hanging="360"/>
      </w:pPr>
    </w:lvl>
    <w:lvl w:ilvl="7" w:tentative="0">
      <w:start w:val="1"/>
      <w:numFmt w:val="decimal"/>
      <w:lvlText w:val="%8."/>
      <w:lvlJc w:val="left"/>
      <w:pPr>
        <w:ind w:left="5760" w:hanging="360"/>
      </w:pPr>
    </w:lvl>
    <w:lvl w:ilvl="8" w:tentative="0">
      <w:start w:val="1"/>
      <w:numFmt w:val="decimal"/>
      <w:lvlText w:val="%9."/>
      <w:lvlJc w:val="left"/>
      <w:pPr>
        <w:ind w:left="6480" w:hanging="360"/>
      </w:pPr>
    </w:lvl>
  </w:abstractNum>
  <w:abstractNum w:abstractNumId="4">
    <w:nsid w:val="17152C5D"/>
    <w:multiLevelType w:val="multilevel"/>
    <w:tmpl w:val="17152C5D"/>
    <w:lvl w:ilvl="0" w:tentative="0">
      <w:start w:val="1"/>
      <w:numFmt w:val="decimal"/>
      <w:lvlText w:val="%1."/>
      <w:lvlJc w:val="left"/>
      <w:pPr>
        <w:ind w:left="720" w:hanging="360"/>
      </w:pPr>
      <w:rPr>
        <w:rFonts w:ascii="Calibri" w:hAnsi="Calibri" w:eastAsia="Calibri" w:cs="Calibri"/>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5">
    <w:nsid w:val="350E06D2"/>
    <w:multiLevelType w:val="multilevel"/>
    <w:tmpl w:val="350E06D2"/>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4EFB4B2D"/>
    <w:multiLevelType w:val="multilevel"/>
    <w:tmpl w:val="4EFB4B2D"/>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5D217A73"/>
    <w:multiLevelType w:val="multilevel"/>
    <w:tmpl w:val="5D217A73"/>
    <w:lvl w:ilvl="0" w:tentative="0">
      <w:start w:val="1"/>
      <w:numFmt w:val="decimal"/>
      <w:lvlText w:val="%1."/>
      <w:lvlJc w:val="left"/>
      <w:pPr>
        <w:ind w:left="1080" w:hanging="360"/>
      </w:pPr>
      <w:rPr>
        <w:b w:val="0"/>
        <w:bCs/>
        <w:sz w:val="28"/>
        <w:szCs w:val="28"/>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8">
    <w:nsid w:val="669D5F30"/>
    <w:multiLevelType w:val="multilevel"/>
    <w:tmpl w:val="669D5F30"/>
    <w:lvl w:ilvl="0" w:tentative="0">
      <w:start w:val="1"/>
      <w:numFmt w:val="bullet"/>
      <w:lvlText w:val="●"/>
      <w:lvlJc w:val="left"/>
      <w:pPr>
        <w:ind w:left="360" w:hanging="360"/>
      </w:pPr>
      <w:rPr>
        <w:rFonts w:ascii="Noto Sans Symbols" w:hAnsi="Noto Sans Symbols" w:eastAsia="Noto Sans Symbols" w:cs="Noto Sans Symbols"/>
      </w:rPr>
    </w:lvl>
    <w:lvl w:ilvl="1" w:tentative="0">
      <w:start w:val="1"/>
      <w:numFmt w:val="bullet"/>
      <w:lvlText w:val="o"/>
      <w:lvlJc w:val="left"/>
      <w:pPr>
        <w:ind w:left="1080" w:hanging="360"/>
      </w:pPr>
      <w:rPr>
        <w:rFonts w:ascii="Courier New" w:hAnsi="Courier New" w:eastAsia="Courier New" w:cs="Courier New"/>
      </w:rPr>
    </w:lvl>
    <w:lvl w:ilvl="2" w:tentative="0">
      <w:start w:val="1"/>
      <w:numFmt w:val="bullet"/>
      <w:lvlText w:val="▪"/>
      <w:lvlJc w:val="left"/>
      <w:pPr>
        <w:ind w:left="1800" w:hanging="360"/>
      </w:pPr>
      <w:rPr>
        <w:rFonts w:ascii="Noto Sans Symbols" w:hAnsi="Noto Sans Symbols" w:eastAsia="Noto Sans Symbols" w:cs="Noto Sans Symbols"/>
      </w:rPr>
    </w:lvl>
    <w:lvl w:ilvl="3" w:tentative="0">
      <w:start w:val="1"/>
      <w:numFmt w:val="bullet"/>
      <w:lvlText w:val="●"/>
      <w:lvlJc w:val="left"/>
      <w:pPr>
        <w:ind w:left="2520" w:hanging="360"/>
      </w:pPr>
      <w:rPr>
        <w:rFonts w:ascii="Noto Sans Symbols" w:hAnsi="Noto Sans Symbols" w:eastAsia="Noto Sans Symbols" w:cs="Noto Sans Symbols"/>
      </w:rPr>
    </w:lvl>
    <w:lvl w:ilvl="4" w:tentative="0">
      <w:start w:val="1"/>
      <w:numFmt w:val="bullet"/>
      <w:lvlText w:val="o"/>
      <w:lvlJc w:val="left"/>
      <w:pPr>
        <w:ind w:left="3240" w:hanging="360"/>
      </w:pPr>
      <w:rPr>
        <w:rFonts w:ascii="Courier New" w:hAnsi="Courier New" w:eastAsia="Courier New" w:cs="Courier New"/>
      </w:rPr>
    </w:lvl>
    <w:lvl w:ilvl="5" w:tentative="0">
      <w:start w:val="1"/>
      <w:numFmt w:val="bullet"/>
      <w:lvlText w:val="▪"/>
      <w:lvlJc w:val="left"/>
      <w:pPr>
        <w:ind w:left="3960" w:hanging="360"/>
      </w:pPr>
      <w:rPr>
        <w:rFonts w:ascii="Noto Sans Symbols" w:hAnsi="Noto Sans Symbols" w:eastAsia="Noto Sans Symbols" w:cs="Noto Sans Symbols"/>
      </w:rPr>
    </w:lvl>
    <w:lvl w:ilvl="6" w:tentative="0">
      <w:start w:val="1"/>
      <w:numFmt w:val="bullet"/>
      <w:lvlText w:val="●"/>
      <w:lvlJc w:val="left"/>
      <w:pPr>
        <w:ind w:left="4680" w:hanging="360"/>
      </w:pPr>
      <w:rPr>
        <w:rFonts w:ascii="Noto Sans Symbols" w:hAnsi="Noto Sans Symbols" w:eastAsia="Noto Sans Symbols" w:cs="Noto Sans Symbols"/>
      </w:rPr>
    </w:lvl>
    <w:lvl w:ilvl="7" w:tentative="0">
      <w:start w:val="1"/>
      <w:numFmt w:val="bullet"/>
      <w:lvlText w:val="o"/>
      <w:lvlJc w:val="left"/>
      <w:pPr>
        <w:ind w:left="5400" w:hanging="360"/>
      </w:pPr>
      <w:rPr>
        <w:rFonts w:ascii="Courier New" w:hAnsi="Courier New" w:eastAsia="Courier New" w:cs="Courier New"/>
      </w:rPr>
    </w:lvl>
    <w:lvl w:ilvl="8" w:tentative="0">
      <w:start w:val="1"/>
      <w:numFmt w:val="bullet"/>
      <w:lvlText w:val="▪"/>
      <w:lvlJc w:val="left"/>
      <w:pPr>
        <w:ind w:left="6120" w:hanging="360"/>
      </w:pPr>
      <w:rPr>
        <w:rFonts w:ascii="Noto Sans Symbols" w:hAnsi="Noto Sans Symbols" w:eastAsia="Noto Sans Symbols" w:cs="Noto Sans Symbols"/>
      </w:rPr>
    </w:lvl>
  </w:abstractNum>
  <w:abstractNum w:abstractNumId="9">
    <w:nsid w:val="6B3D4FDF"/>
    <w:multiLevelType w:val="multilevel"/>
    <w:tmpl w:val="6B3D4FD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3"/>
  </w:num>
  <w:num w:numId="2">
    <w:abstractNumId w:val="5"/>
  </w:num>
  <w:num w:numId="3">
    <w:abstractNumId w:val="6"/>
  </w:num>
  <w:num w:numId="4">
    <w:abstractNumId w:val="7"/>
  </w:num>
  <w:num w:numId="5">
    <w:abstractNumId w:val="8"/>
  </w:num>
  <w:num w:numId="6">
    <w:abstractNumId w:val="4"/>
  </w:num>
  <w:num w:numId="7">
    <w:abstractNumId w:val="9"/>
  </w:num>
  <w:num w:numId="8">
    <w:abstractNumId w:val="1"/>
  </w:num>
  <w:num w:numId="9">
    <w:abstractNumId w:val="2"/>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1F44"/>
    <w:rsid w:val="000829CD"/>
    <w:rsid w:val="00196CD7"/>
    <w:rsid w:val="002408F9"/>
    <w:rsid w:val="00467689"/>
    <w:rsid w:val="00542787"/>
    <w:rsid w:val="0066315D"/>
    <w:rsid w:val="00E35E16"/>
    <w:rsid w:val="00E85B04"/>
    <w:rsid w:val="00FD1F44"/>
    <w:rsid w:val="395F71B3"/>
    <w:rsid w:val="64C23B3A"/>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iPriority="99" w:semiHidden="0"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nhideWhenUsed="0"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qFormat="1" w:unhideWhenUsed="0" w:uiPriority="99" w:semiHidden="0" w:name="List Paragraph"/>
  </w:latentStyles>
  <w:style w:type="paragraph" w:default="1" w:styleId="1">
    <w:name w:val="Normal"/>
    <w:qFormat/>
    <w:uiPriority w:val="0"/>
    <w:pPr>
      <w:spacing w:after="200" w:line="276" w:lineRule="auto"/>
    </w:pPr>
    <w:rPr>
      <w:rFonts w:ascii="Calibri" w:hAnsi="Calibri" w:eastAsia="Calibri" w:cs="Calibri"/>
      <w:sz w:val="22"/>
      <w:szCs w:val="22"/>
      <w:lang w:val="uk-UA" w:eastAsia="ru-RU" w:bidi="ar-SA"/>
    </w:rPr>
  </w:style>
  <w:style w:type="paragraph" w:styleId="2">
    <w:name w:val="heading 1"/>
    <w:basedOn w:val="1"/>
    <w:next w:val="1"/>
    <w:link w:val="29"/>
    <w:qFormat/>
    <w:uiPriority w:val="9"/>
    <w:pPr>
      <w:keepNext/>
      <w:spacing w:after="0" w:line="240" w:lineRule="auto"/>
      <w:outlineLvl w:val="0"/>
    </w:pPr>
    <w:rPr>
      <w:rFonts w:ascii="Times New Roman" w:hAnsi="Times New Roman" w:eastAsia="Times New Roman" w:cs="Times New Roman"/>
      <w:b/>
      <w:sz w:val="32"/>
      <w:szCs w:val="20"/>
      <w:lang w:val="en-US"/>
    </w:rPr>
  </w:style>
  <w:style w:type="paragraph" w:styleId="3">
    <w:name w:val="heading 2"/>
    <w:basedOn w:val="1"/>
    <w:next w:val="1"/>
    <w:link w:val="30"/>
    <w:semiHidden/>
    <w:unhideWhenUsed/>
    <w:qFormat/>
    <w:uiPriority w:val="9"/>
    <w:pPr>
      <w:keepNext/>
      <w:spacing w:after="0" w:line="240" w:lineRule="auto"/>
      <w:jc w:val="both"/>
      <w:outlineLvl w:val="1"/>
    </w:pPr>
    <w:rPr>
      <w:rFonts w:ascii="Times New Roman" w:hAnsi="Times New Roman" w:eastAsia="Times New Roman" w:cs="Times New Roman"/>
      <w:sz w:val="24"/>
      <w:szCs w:val="20"/>
    </w:rPr>
  </w:style>
  <w:style w:type="paragraph" w:styleId="4">
    <w:name w:val="heading 3"/>
    <w:basedOn w:val="1"/>
    <w:next w:val="1"/>
    <w:link w:val="31"/>
    <w:semiHidden/>
    <w:unhideWhenUsed/>
    <w:qFormat/>
    <w:uiPriority w:val="9"/>
    <w:pPr>
      <w:keepNext/>
      <w:spacing w:before="240" w:after="120" w:line="240" w:lineRule="auto"/>
      <w:ind w:firstLine="720"/>
      <w:jc w:val="both"/>
      <w:outlineLvl w:val="2"/>
    </w:pPr>
    <w:rPr>
      <w:rFonts w:ascii="Arial" w:hAnsi="Arial" w:eastAsia="Times New Roman" w:cs="Times New Roman"/>
      <w:b/>
      <w:i/>
      <w:sz w:val="28"/>
      <w:szCs w:val="28"/>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character" w:styleId="10">
    <w:name w:val="FollowedHyperlink"/>
    <w:basedOn w:val="8"/>
    <w:semiHidden/>
    <w:qFormat/>
    <w:uiPriority w:val="99"/>
    <w:rPr>
      <w:color w:val="auto"/>
      <w:u w:val="single"/>
    </w:rPr>
  </w:style>
  <w:style w:type="character" w:styleId="11">
    <w:name w:val="annotation reference"/>
    <w:basedOn w:val="8"/>
    <w:unhideWhenUsed/>
    <w:qFormat/>
    <w:uiPriority w:val="0"/>
    <w:rPr>
      <w:sz w:val="16"/>
      <w:szCs w:val="16"/>
    </w:rPr>
  </w:style>
  <w:style w:type="character" w:styleId="12">
    <w:name w:val="Emphasis"/>
    <w:basedOn w:val="8"/>
    <w:qFormat/>
    <w:uiPriority w:val="20"/>
    <w:rPr>
      <w:rFonts w:cs="Times New Roman"/>
      <w:i/>
    </w:rPr>
  </w:style>
  <w:style w:type="character" w:styleId="13">
    <w:name w:val="Hyperlink"/>
    <w:basedOn w:val="8"/>
    <w:qFormat/>
    <w:uiPriority w:val="99"/>
    <w:rPr>
      <w:rFonts w:cs="Times New Roman"/>
      <w:color w:val="0000FF"/>
      <w:u w:val="single"/>
    </w:rPr>
  </w:style>
  <w:style w:type="paragraph" w:styleId="14">
    <w:name w:val="Balloon Text"/>
    <w:basedOn w:val="1"/>
    <w:link w:val="41"/>
    <w:semiHidden/>
    <w:unhideWhenUsed/>
    <w:qFormat/>
    <w:uiPriority w:val="99"/>
    <w:pPr>
      <w:spacing w:after="0" w:line="240" w:lineRule="auto"/>
    </w:pPr>
    <w:rPr>
      <w:rFonts w:ascii="Segoe UI" w:hAnsi="Segoe UI" w:cs="Segoe UI"/>
      <w:sz w:val="18"/>
      <w:szCs w:val="18"/>
    </w:rPr>
  </w:style>
  <w:style w:type="paragraph" w:styleId="15">
    <w:name w:val="annotation text"/>
    <w:basedOn w:val="1"/>
    <w:link w:val="67"/>
    <w:qFormat/>
    <w:uiPriority w:val="99"/>
    <w:rPr>
      <w:rFonts w:eastAsia="Times New Roman" w:cs="Times New Roman"/>
      <w:sz w:val="20"/>
      <w:szCs w:val="20"/>
      <w:lang w:eastAsia="en-US"/>
    </w:rPr>
  </w:style>
  <w:style w:type="paragraph" w:styleId="16">
    <w:name w:val="annotation subject"/>
    <w:basedOn w:val="15"/>
    <w:next w:val="15"/>
    <w:link w:val="68"/>
    <w:semiHidden/>
    <w:qFormat/>
    <w:uiPriority w:val="99"/>
    <w:rPr>
      <w:b/>
      <w:bCs/>
    </w:rPr>
  </w:style>
  <w:style w:type="paragraph" w:styleId="17">
    <w:name w:val="footnote text"/>
    <w:basedOn w:val="1"/>
    <w:link w:val="46"/>
    <w:semiHidden/>
    <w:qFormat/>
    <w:uiPriority w:val="0"/>
    <w:rPr>
      <w:rFonts w:eastAsia="Times New Roman" w:cs="Times New Roman"/>
      <w:sz w:val="20"/>
      <w:szCs w:val="20"/>
      <w:lang w:eastAsia="en-US"/>
    </w:rPr>
  </w:style>
  <w:style w:type="paragraph" w:styleId="18">
    <w:name w:val="header"/>
    <w:basedOn w:val="1"/>
    <w:link w:val="38"/>
    <w:qFormat/>
    <w:uiPriority w:val="99"/>
    <w:pPr>
      <w:tabs>
        <w:tab w:val="center" w:pos="4153"/>
        <w:tab w:val="right" w:pos="8306"/>
      </w:tabs>
      <w:spacing w:after="0" w:line="240" w:lineRule="auto"/>
      <w:ind w:firstLine="720"/>
      <w:jc w:val="both"/>
    </w:pPr>
    <w:rPr>
      <w:rFonts w:ascii="1251 Times" w:hAnsi="1251 Times" w:eastAsia="Times New Roman" w:cs="Times New Roman"/>
      <w:sz w:val="28"/>
      <w:szCs w:val="28"/>
      <w:lang w:val="en-US"/>
    </w:rPr>
  </w:style>
  <w:style w:type="paragraph" w:styleId="19">
    <w:name w:val="Body Text"/>
    <w:basedOn w:val="1"/>
    <w:link w:val="34"/>
    <w:qFormat/>
    <w:uiPriority w:val="99"/>
    <w:pPr>
      <w:shd w:val="clear" w:color="auto" w:fill="FFFFFF"/>
      <w:spacing w:after="0" w:line="235" w:lineRule="exact"/>
      <w:ind w:hanging="200"/>
    </w:pPr>
    <w:rPr>
      <w:rFonts w:ascii="Times New Roman" w:hAnsi="Times New Roman" w:cs="Times New Roman"/>
      <w:sz w:val="18"/>
      <w:szCs w:val="18"/>
      <w:lang w:eastAsia="en-US"/>
    </w:rPr>
  </w:style>
  <w:style w:type="paragraph" w:styleId="20">
    <w:name w:val="List Bullet"/>
    <w:basedOn w:val="1"/>
    <w:unhideWhenUsed/>
    <w:qFormat/>
    <w:uiPriority w:val="99"/>
    <w:pPr>
      <w:numPr>
        <w:ilvl w:val="0"/>
        <w:numId w:val="1"/>
      </w:numPr>
      <w:contextualSpacing/>
    </w:pPr>
  </w:style>
  <w:style w:type="paragraph" w:styleId="21">
    <w:name w:val="Title"/>
    <w:basedOn w:val="1"/>
    <w:next w:val="1"/>
    <w:qFormat/>
    <w:uiPriority w:val="10"/>
    <w:pPr>
      <w:keepNext/>
      <w:keepLines/>
      <w:spacing w:before="480" w:after="120"/>
    </w:pPr>
    <w:rPr>
      <w:b/>
      <w:sz w:val="72"/>
      <w:szCs w:val="72"/>
    </w:rPr>
  </w:style>
  <w:style w:type="paragraph" w:styleId="22">
    <w:name w:val="footer"/>
    <w:basedOn w:val="1"/>
    <w:link w:val="39"/>
    <w:qFormat/>
    <w:uiPriority w:val="99"/>
    <w:pPr>
      <w:tabs>
        <w:tab w:val="center" w:pos="4819"/>
        <w:tab w:val="right" w:pos="9639"/>
      </w:tabs>
      <w:spacing w:after="0" w:line="240" w:lineRule="auto"/>
    </w:pPr>
    <w:rPr>
      <w:rFonts w:eastAsia="Times New Roman" w:cs="Times New Roman"/>
      <w:lang w:eastAsia="en-US"/>
    </w:rPr>
  </w:style>
  <w:style w:type="paragraph" w:styleId="23">
    <w:name w:val="Normal (Web)"/>
    <w:basedOn w:val="1"/>
    <w:qFormat/>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styleId="24">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25">
    <w:name w:val="HTML Preformatted"/>
    <w:basedOn w:val="1"/>
    <w:link w:val="69"/>
    <w:semiHidden/>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Times New Roman"/>
      <w:sz w:val="20"/>
      <w:szCs w:val="20"/>
    </w:rPr>
  </w:style>
  <w:style w:type="table" w:styleId="26">
    <w:name w:val="Table Grid"/>
    <w:basedOn w:val="9"/>
    <w:qFormat/>
    <w:uiPriority w:val="39"/>
    <w:rPr>
      <w:rFonts w:eastAsia="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
    <w:name w:val="Table Normal"/>
    <w:qFormat/>
    <w:uiPriority w:val="0"/>
    <w:tblPr>
      <w:tblCellMar>
        <w:top w:w="0" w:type="dxa"/>
        <w:left w:w="0" w:type="dxa"/>
        <w:bottom w:w="0" w:type="dxa"/>
        <w:right w:w="0" w:type="dxa"/>
      </w:tblCellMar>
    </w:tblPr>
  </w:style>
  <w:style w:type="table" w:customStyle="1" w:styleId="28">
    <w:name w:val="Table Normal1"/>
    <w:qFormat/>
    <w:uiPriority w:val="0"/>
    <w:tblPr>
      <w:tblCellMar>
        <w:top w:w="0" w:type="dxa"/>
        <w:left w:w="0" w:type="dxa"/>
        <w:bottom w:w="0" w:type="dxa"/>
        <w:right w:w="0" w:type="dxa"/>
      </w:tblCellMar>
    </w:tblPr>
  </w:style>
  <w:style w:type="character" w:customStyle="1" w:styleId="29">
    <w:name w:val="Заголовок 1 Знак"/>
    <w:basedOn w:val="8"/>
    <w:link w:val="2"/>
    <w:qFormat/>
    <w:uiPriority w:val="99"/>
    <w:rPr>
      <w:rFonts w:ascii="Times New Roman" w:hAnsi="Times New Roman" w:eastAsia="Times New Roman" w:cs="Times New Roman"/>
      <w:b/>
      <w:sz w:val="32"/>
      <w:szCs w:val="20"/>
      <w:lang w:val="en-US"/>
    </w:rPr>
  </w:style>
  <w:style w:type="character" w:customStyle="1" w:styleId="30">
    <w:name w:val="Заголовок 2 Знак"/>
    <w:basedOn w:val="8"/>
    <w:link w:val="3"/>
    <w:qFormat/>
    <w:uiPriority w:val="99"/>
    <w:rPr>
      <w:rFonts w:ascii="Times New Roman" w:hAnsi="Times New Roman" w:eastAsia="Times New Roman" w:cs="Times New Roman"/>
      <w:sz w:val="24"/>
      <w:szCs w:val="20"/>
    </w:rPr>
  </w:style>
  <w:style w:type="character" w:customStyle="1" w:styleId="31">
    <w:name w:val="Заголовок 3 Знак"/>
    <w:basedOn w:val="8"/>
    <w:link w:val="4"/>
    <w:qFormat/>
    <w:uiPriority w:val="99"/>
    <w:rPr>
      <w:rFonts w:ascii="Arial" w:hAnsi="Arial" w:eastAsia="Times New Roman" w:cs="Times New Roman"/>
      <w:b/>
      <w:i/>
      <w:sz w:val="28"/>
      <w:szCs w:val="28"/>
    </w:rPr>
  </w:style>
  <w:style w:type="paragraph" w:styleId="32">
    <w:name w:val="List Paragraph"/>
    <w:basedOn w:val="1"/>
    <w:qFormat/>
    <w:uiPriority w:val="99"/>
    <w:pPr>
      <w:ind w:left="720"/>
      <w:contextualSpacing/>
    </w:pPr>
    <w:rPr>
      <w:rFonts w:eastAsia="Times New Roman" w:cs="Times New Roman"/>
      <w:lang w:eastAsia="en-US"/>
    </w:rPr>
  </w:style>
  <w:style w:type="character" w:customStyle="1" w:styleId="33">
    <w:name w:val="rvts0"/>
    <w:basedOn w:val="8"/>
    <w:qFormat/>
    <w:uiPriority w:val="99"/>
    <w:rPr>
      <w:rFonts w:cs="Times New Roman"/>
    </w:rPr>
  </w:style>
  <w:style w:type="character" w:customStyle="1" w:styleId="34">
    <w:name w:val="Основной текст Знак"/>
    <w:basedOn w:val="8"/>
    <w:link w:val="19"/>
    <w:qFormat/>
    <w:uiPriority w:val="99"/>
    <w:rPr>
      <w:rFonts w:ascii="Times New Roman" w:hAnsi="Times New Roman" w:eastAsia="Calibri" w:cs="Times New Roman"/>
      <w:sz w:val="18"/>
      <w:szCs w:val="18"/>
      <w:shd w:val="clear" w:color="auto" w:fill="FFFFFF"/>
      <w:lang w:val="ru-RU"/>
    </w:rPr>
  </w:style>
  <w:style w:type="paragraph" w:customStyle="1" w:styleId="35">
    <w:name w:val="caaieiaie 1"/>
    <w:basedOn w:val="1"/>
    <w:next w:val="1"/>
    <w:qFormat/>
    <w:uiPriority w:val="99"/>
    <w:pPr>
      <w:keepNext/>
      <w:widowControl w:val="0"/>
      <w:overflowPunct w:val="0"/>
      <w:autoSpaceDE w:val="0"/>
      <w:autoSpaceDN w:val="0"/>
      <w:adjustRightInd w:val="0"/>
      <w:spacing w:after="0" w:line="240" w:lineRule="auto"/>
      <w:jc w:val="right"/>
      <w:textAlignment w:val="baseline"/>
    </w:pPr>
    <w:rPr>
      <w:rFonts w:ascii="Times New Roman" w:hAnsi="Times New Roman" w:cs="Times New Roman"/>
      <w:b/>
      <w:sz w:val="28"/>
      <w:szCs w:val="20"/>
    </w:rPr>
  </w:style>
  <w:style w:type="paragraph" w:customStyle="1" w:styleId="36">
    <w:name w:val="Обычный с отступом"/>
    <w:basedOn w:val="1"/>
    <w:qFormat/>
    <w:uiPriority w:val="99"/>
    <w:pPr>
      <w:spacing w:after="0" w:line="240" w:lineRule="auto"/>
      <w:ind w:left="681" w:hanging="321"/>
      <w:jc w:val="both"/>
    </w:pPr>
    <w:rPr>
      <w:rFonts w:ascii="Times New Roman" w:hAnsi="Times New Roman" w:cs="Times New Roman"/>
      <w:color w:val="00FFFF"/>
      <w:sz w:val="28"/>
      <w:szCs w:val="28"/>
    </w:rPr>
  </w:style>
  <w:style w:type="paragraph" w:customStyle="1" w:styleId="37">
    <w:name w:val="rvps2"/>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38">
    <w:name w:val="Верхний колонтитул Знак"/>
    <w:basedOn w:val="8"/>
    <w:link w:val="18"/>
    <w:qFormat/>
    <w:uiPriority w:val="99"/>
    <w:rPr>
      <w:rFonts w:ascii="1251 Times" w:hAnsi="1251 Times" w:eastAsia="Times New Roman" w:cs="Times New Roman"/>
      <w:sz w:val="28"/>
      <w:szCs w:val="28"/>
      <w:lang w:val="en-US" w:eastAsia="ru-RU"/>
    </w:rPr>
  </w:style>
  <w:style w:type="character" w:customStyle="1" w:styleId="39">
    <w:name w:val="Нижний колонтитул Знак"/>
    <w:basedOn w:val="8"/>
    <w:link w:val="22"/>
    <w:qFormat/>
    <w:uiPriority w:val="99"/>
    <w:rPr>
      <w:rFonts w:ascii="Calibri" w:hAnsi="Calibri" w:eastAsia="Times New Roman" w:cs="Times New Roman"/>
      <w:lang w:val="ru-RU"/>
    </w:rPr>
  </w:style>
  <w:style w:type="paragraph" w:customStyle="1" w:styleId="40">
    <w:name w:val="Абзац списка1"/>
    <w:basedOn w:val="1"/>
    <w:qFormat/>
    <w:uiPriority w:val="99"/>
    <w:pPr>
      <w:ind w:left="720"/>
      <w:contextualSpacing/>
    </w:pPr>
    <w:rPr>
      <w:rFonts w:eastAsia="Times New Roman" w:cs="Times New Roman"/>
      <w:lang w:eastAsia="en-US"/>
    </w:rPr>
  </w:style>
  <w:style w:type="character" w:customStyle="1" w:styleId="41">
    <w:name w:val="Текст выноски Знак"/>
    <w:basedOn w:val="8"/>
    <w:link w:val="14"/>
    <w:semiHidden/>
    <w:uiPriority w:val="99"/>
    <w:rPr>
      <w:rFonts w:ascii="Segoe UI" w:hAnsi="Segoe UI" w:cs="Segoe UI" w:eastAsiaTheme="minorEastAsia"/>
      <w:sz w:val="18"/>
      <w:szCs w:val="18"/>
      <w:lang w:val="ru-RU" w:eastAsia="ru-RU"/>
    </w:rPr>
  </w:style>
  <w:style w:type="paragraph" w:customStyle="1" w:styleId="42">
    <w:name w:val="Рецензия1"/>
    <w:hidden/>
    <w:semiHidden/>
    <w:qFormat/>
    <w:uiPriority w:val="99"/>
    <w:pPr>
      <w:spacing w:after="200" w:line="276" w:lineRule="auto"/>
    </w:pPr>
    <w:rPr>
      <w:rFonts w:ascii="Calibri" w:hAnsi="Calibri" w:eastAsia="Calibri" w:cs="Calibri"/>
      <w:sz w:val="22"/>
      <w:szCs w:val="22"/>
      <w:lang w:val="uk-UA" w:eastAsia="ru-RU" w:bidi="ar-SA"/>
    </w:rPr>
  </w:style>
  <w:style w:type="paragraph" w:customStyle="1" w:styleId="43">
    <w:name w:val="Style88"/>
    <w:basedOn w:val="1"/>
    <w:uiPriority w:val="99"/>
    <w:pPr>
      <w:widowControl w:val="0"/>
      <w:autoSpaceDE w:val="0"/>
      <w:autoSpaceDN w:val="0"/>
      <w:adjustRightInd w:val="0"/>
      <w:spacing w:after="0" w:line="182" w:lineRule="exact"/>
      <w:jc w:val="both"/>
    </w:pPr>
    <w:rPr>
      <w:rFonts w:ascii="Times New Roman" w:hAnsi="Times New Roman" w:cs="Times New Roman"/>
      <w:sz w:val="24"/>
      <w:szCs w:val="24"/>
    </w:rPr>
  </w:style>
  <w:style w:type="character" w:customStyle="1" w:styleId="44">
    <w:name w:val="Font Style152"/>
    <w:basedOn w:val="8"/>
    <w:uiPriority w:val="99"/>
    <w:rPr>
      <w:rFonts w:ascii="Times New Roman" w:hAnsi="Times New Roman" w:cs="Times New Roman"/>
      <w:sz w:val="16"/>
      <w:szCs w:val="16"/>
    </w:rPr>
  </w:style>
  <w:style w:type="character" w:customStyle="1" w:styleId="45">
    <w:name w:val="spelle"/>
    <w:qFormat/>
    <w:uiPriority w:val="99"/>
  </w:style>
  <w:style w:type="character" w:customStyle="1" w:styleId="46">
    <w:name w:val="Текст сноски Знак"/>
    <w:basedOn w:val="8"/>
    <w:link w:val="17"/>
    <w:semiHidden/>
    <w:uiPriority w:val="0"/>
    <w:rPr>
      <w:rFonts w:ascii="Calibri" w:hAnsi="Calibri" w:eastAsia="Times New Roman" w:cs="Times New Roman"/>
      <w:sz w:val="20"/>
      <w:szCs w:val="20"/>
      <w:lang w:val="uk-UA" w:eastAsia="en-US"/>
    </w:rPr>
  </w:style>
  <w:style w:type="character" w:customStyle="1" w:styleId="47">
    <w:name w:val="Сноска_"/>
    <w:link w:val="48"/>
    <w:qFormat/>
    <w:locked/>
    <w:uiPriority w:val="99"/>
    <w:rPr>
      <w:rFonts w:ascii="Arial" w:hAnsi="Arial"/>
      <w:sz w:val="16"/>
      <w:shd w:val="clear" w:color="auto" w:fill="FFFFFF"/>
    </w:rPr>
  </w:style>
  <w:style w:type="paragraph" w:customStyle="1" w:styleId="48">
    <w:name w:val="Сноска1"/>
    <w:basedOn w:val="1"/>
    <w:link w:val="47"/>
    <w:uiPriority w:val="99"/>
    <w:pPr>
      <w:shd w:val="clear" w:color="auto" w:fill="FFFFFF"/>
      <w:spacing w:after="0" w:line="230" w:lineRule="exact"/>
    </w:pPr>
    <w:rPr>
      <w:rFonts w:ascii="Arial" w:hAnsi="Arial"/>
      <w:sz w:val="16"/>
    </w:rPr>
  </w:style>
  <w:style w:type="paragraph" w:customStyle="1" w:styleId="49">
    <w:name w:val="Мой стиль"/>
    <w:basedOn w:val="1"/>
    <w:uiPriority w:val="99"/>
    <w:pPr>
      <w:spacing w:after="0" w:line="240" w:lineRule="auto"/>
      <w:ind w:firstLine="425"/>
      <w:jc w:val="both"/>
    </w:pPr>
    <w:rPr>
      <w:rFonts w:ascii="Times New Roman" w:hAnsi="Times New Roman" w:eastAsia="Times New Roman" w:cs="Times New Roman"/>
      <w:sz w:val="28"/>
      <w:szCs w:val="20"/>
    </w:rPr>
  </w:style>
  <w:style w:type="paragraph" w:customStyle="1" w:styleId="50">
    <w:name w:val="Style6"/>
    <w:basedOn w:val="1"/>
    <w:qFormat/>
    <w:uiPriority w:val="99"/>
    <w:pPr>
      <w:widowControl w:val="0"/>
      <w:autoSpaceDE w:val="0"/>
      <w:autoSpaceDN w:val="0"/>
      <w:adjustRightInd w:val="0"/>
      <w:spacing w:after="0" w:line="230" w:lineRule="exact"/>
      <w:ind w:hanging="182"/>
    </w:pPr>
    <w:rPr>
      <w:rFonts w:ascii="Times New Roman" w:hAnsi="Times New Roman" w:eastAsia="Times New Roman" w:cs="Times New Roman"/>
      <w:sz w:val="24"/>
      <w:szCs w:val="24"/>
    </w:rPr>
  </w:style>
  <w:style w:type="character" w:customStyle="1" w:styleId="51">
    <w:name w:val="Font Style19"/>
    <w:qFormat/>
    <w:uiPriority w:val="99"/>
    <w:rPr>
      <w:rFonts w:ascii="Times New Roman" w:hAnsi="Times New Roman"/>
      <w:sz w:val="18"/>
    </w:rPr>
  </w:style>
  <w:style w:type="character" w:customStyle="1" w:styleId="52">
    <w:name w:val="Font Style25"/>
    <w:uiPriority w:val="99"/>
    <w:rPr>
      <w:rFonts w:ascii="Times New Roman" w:hAnsi="Times New Roman"/>
      <w:sz w:val="26"/>
    </w:rPr>
  </w:style>
  <w:style w:type="paragraph" w:customStyle="1" w:styleId="53">
    <w:name w:val="Style8"/>
    <w:basedOn w:val="1"/>
    <w:uiPriority w:val="99"/>
    <w:pPr>
      <w:widowControl w:val="0"/>
      <w:suppressAutoHyphens/>
      <w:autoSpaceDE w:val="0"/>
      <w:spacing w:after="0" w:line="324" w:lineRule="exact"/>
      <w:ind w:firstLine="706"/>
      <w:jc w:val="both"/>
    </w:pPr>
    <w:rPr>
      <w:rFonts w:ascii="Times New Roman" w:hAnsi="Times New Roman" w:eastAsia="Times New Roman" w:cs="Times New Roman"/>
      <w:sz w:val="24"/>
      <w:szCs w:val="24"/>
      <w:lang w:eastAsia="ar-SA"/>
    </w:rPr>
  </w:style>
  <w:style w:type="paragraph" w:customStyle="1" w:styleId="54">
    <w:name w:val="Style12"/>
    <w:basedOn w:val="1"/>
    <w:qFormat/>
    <w:uiPriority w:val="99"/>
    <w:pPr>
      <w:widowControl w:val="0"/>
      <w:suppressAutoHyphens/>
      <w:autoSpaceDE w:val="0"/>
      <w:spacing w:after="0" w:line="326" w:lineRule="exact"/>
      <w:ind w:firstLine="725"/>
    </w:pPr>
    <w:rPr>
      <w:rFonts w:ascii="Times New Roman" w:hAnsi="Times New Roman" w:eastAsia="Times New Roman" w:cs="Times New Roman"/>
      <w:sz w:val="24"/>
      <w:szCs w:val="24"/>
      <w:lang w:eastAsia="ar-SA"/>
    </w:rPr>
  </w:style>
  <w:style w:type="paragraph" w:customStyle="1" w:styleId="55">
    <w:name w:val="Style16"/>
    <w:basedOn w:val="1"/>
    <w:qFormat/>
    <w:uiPriority w:val="99"/>
    <w:pPr>
      <w:widowControl w:val="0"/>
      <w:suppressAutoHyphens/>
      <w:autoSpaceDE w:val="0"/>
      <w:spacing w:after="0" w:line="322" w:lineRule="exact"/>
      <w:ind w:firstLine="374"/>
      <w:jc w:val="both"/>
    </w:pPr>
    <w:rPr>
      <w:rFonts w:ascii="Times New Roman" w:hAnsi="Times New Roman" w:eastAsia="Times New Roman" w:cs="Times New Roman"/>
      <w:sz w:val="24"/>
      <w:szCs w:val="24"/>
      <w:lang w:eastAsia="ar-SA"/>
    </w:rPr>
  </w:style>
  <w:style w:type="paragraph" w:customStyle="1" w:styleId="56">
    <w:name w:val="Style11"/>
    <w:basedOn w:val="1"/>
    <w:qFormat/>
    <w:uiPriority w:val="99"/>
    <w:pPr>
      <w:widowControl w:val="0"/>
      <w:suppressAutoHyphens/>
      <w:autoSpaceDE w:val="0"/>
      <w:spacing w:after="0" w:line="322" w:lineRule="exact"/>
      <w:jc w:val="both"/>
    </w:pPr>
    <w:rPr>
      <w:rFonts w:ascii="Times New Roman" w:hAnsi="Times New Roman" w:eastAsia="Times New Roman" w:cs="Times New Roman"/>
      <w:sz w:val="24"/>
      <w:szCs w:val="24"/>
      <w:lang w:eastAsia="ar-SA"/>
    </w:rPr>
  </w:style>
  <w:style w:type="character" w:customStyle="1" w:styleId="57">
    <w:name w:val="rvts13"/>
    <w:basedOn w:val="8"/>
    <w:qFormat/>
    <w:uiPriority w:val="99"/>
    <w:rPr>
      <w:rFonts w:cs="Times New Roman"/>
    </w:rPr>
  </w:style>
  <w:style w:type="character" w:customStyle="1" w:styleId="58">
    <w:name w:val="rvts12"/>
    <w:basedOn w:val="8"/>
    <w:qFormat/>
    <w:uiPriority w:val="99"/>
    <w:rPr>
      <w:rFonts w:cs="Times New Roman"/>
    </w:rPr>
  </w:style>
  <w:style w:type="character" w:customStyle="1" w:styleId="59">
    <w:name w:val="rvts9"/>
    <w:basedOn w:val="8"/>
    <w:qFormat/>
    <w:uiPriority w:val="99"/>
    <w:rPr>
      <w:rFonts w:cs="Times New Roman"/>
    </w:rPr>
  </w:style>
  <w:style w:type="character" w:customStyle="1" w:styleId="60">
    <w:name w:val="Знак Знак3"/>
    <w:qFormat/>
    <w:uiPriority w:val="99"/>
    <w:rPr>
      <w:rFonts w:ascii="Times New Roman" w:hAnsi="Times New Roman"/>
      <w:b/>
      <w:sz w:val="20"/>
      <w:lang w:val="en-US" w:eastAsia="ru-RU"/>
    </w:rPr>
  </w:style>
  <w:style w:type="character" w:customStyle="1" w:styleId="61">
    <w:name w:val="Основной текст_"/>
    <w:link w:val="62"/>
    <w:qFormat/>
    <w:locked/>
    <w:uiPriority w:val="99"/>
    <w:rPr>
      <w:spacing w:val="6"/>
      <w:sz w:val="19"/>
      <w:shd w:val="clear" w:color="auto" w:fill="FFFFFF"/>
    </w:rPr>
  </w:style>
  <w:style w:type="paragraph" w:customStyle="1" w:styleId="62">
    <w:name w:val="Основной текст1"/>
    <w:basedOn w:val="1"/>
    <w:link w:val="61"/>
    <w:qFormat/>
    <w:uiPriority w:val="99"/>
    <w:pPr>
      <w:widowControl w:val="0"/>
      <w:shd w:val="clear" w:color="auto" w:fill="FFFFFF"/>
      <w:spacing w:after="180" w:line="240" w:lineRule="atLeast"/>
      <w:ind w:hanging="1000"/>
    </w:pPr>
    <w:rPr>
      <w:spacing w:val="6"/>
      <w:sz w:val="19"/>
      <w:shd w:val="clear" w:color="auto" w:fill="FFFFFF"/>
    </w:rPr>
  </w:style>
  <w:style w:type="character" w:customStyle="1" w:styleId="63">
    <w:name w:val="apple-converted-space"/>
    <w:basedOn w:val="8"/>
    <w:qFormat/>
    <w:uiPriority w:val="0"/>
    <w:rPr>
      <w:rFonts w:cs="Times New Roman"/>
    </w:rPr>
  </w:style>
  <w:style w:type="character" w:customStyle="1" w:styleId="64">
    <w:name w:val="Основной текст (2) Exact"/>
    <w:qFormat/>
    <w:uiPriority w:val="99"/>
    <w:rPr>
      <w:rFonts w:ascii="Times New Roman" w:hAnsi="Times New Roman"/>
      <w:sz w:val="28"/>
      <w:u w:val="none"/>
    </w:rPr>
  </w:style>
  <w:style w:type="character" w:customStyle="1" w:styleId="65">
    <w:name w:val="Основной текст (2)_"/>
    <w:link w:val="66"/>
    <w:qFormat/>
    <w:locked/>
    <w:uiPriority w:val="99"/>
    <w:rPr>
      <w:rFonts w:ascii="Times New Roman" w:hAnsi="Times New Roman"/>
      <w:sz w:val="28"/>
      <w:shd w:val="clear" w:color="auto" w:fill="FFFFFF"/>
    </w:rPr>
  </w:style>
  <w:style w:type="paragraph" w:customStyle="1" w:styleId="66">
    <w:name w:val="Основной текст (2)"/>
    <w:basedOn w:val="1"/>
    <w:link w:val="65"/>
    <w:qFormat/>
    <w:uiPriority w:val="99"/>
    <w:pPr>
      <w:widowControl w:val="0"/>
      <w:shd w:val="clear" w:color="auto" w:fill="FFFFFF"/>
      <w:spacing w:after="240" w:line="317" w:lineRule="exact"/>
      <w:ind w:hanging="3660"/>
      <w:jc w:val="both"/>
    </w:pPr>
    <w:rPr>
      <w:rFonts w:ascii="Times New Roman" w:hAnsi="Times New Roman"/>
      <w:sz w:val="28"/>
    </w:rPr>
  </w:style>
  <w:style w:type="character" w:customStyle="1" w:styleId="67">
    <w:name w:val="Текст примечания Знак"/>
    <w:basedOn w:val="8"/>
    <w:link w:val="15"/>
    <w:qFormat/>
    <w:uiPriority w:val="99"/>
    <w:rPr>
      <w:rFonts w:ascii="Calibri" w:hAnsi="Calibri" w:eastAsia="Times New Roman" w:cs="Times New Roman"/>
      <w:sz w:val="20"/>
      <w:szCs w:val="20"/>
      <w:lang w:eastAsia="en-US"/>
    </w:rPr>
  </w:style>
  <w:style w:type="character" w:customStyle="1" w:styleId="68">
    <w:name w:val="Тема примечания Знак"/>
    <w:basedOn w:val="67"/>
    <w:link w:val="16"/>
    <w:semiHidden/>
    <w:qFormat/>
    <w:uiPriority w:val="99"/>
    <w:rPr>
      <w:rFonts w:ascii="Calibri" w:hAnsi="Calibri" w:eastAsia="Times New Roman" w:cs="Times New Roman"/>
      <w:b/>
      <w:bCs/>
      <w:sz w:val="20"/>
      <w:szCs w:val="20"/>
      <w:lang w:eastAsia="en-US"/>
    </w:rPr>
  </w:style>
  <w:style w:type="character" w:customStyle="1" w:styleId="69">
    <w:name w:val="Стандартный HTML Знак"/>
    <w:basedOn w:val="8"/>
    <w:link w:val="25"/>
    <w:semiHidden/>
    <w:qFormat/>
    <w:uiPriority w:val="99"/>
    <w:rPr>
      <w:rFonts w:ascii="Courier New" w:hAnsi="Courier New" w:eastAsia="Times New Roman" w:cs="Times New Roman"/>
      <w:sz w:val="20"/>
      <w:szCs w:val="20"/>
    </w:rPr>
  </w:style>
  <w:style w:type="paragraph" w:customStyle="1" w:styleId="70">
    <w:name w:val="Default"/>
    <w:qFormat/>
    <w:uiPriority w:val="0"/>
    <w:pPr>
      <w:autoSpaceDE w:val="0"/>
      <w:autoSpaceDN w:val="0"/>
      <w:adjustRightInd w:val="0"/>
      <w:spacing w:after="200" w:line="276" w:lineRule="auto"/>
    </w:pPr>
    <w:rPr>
      <w:rFonts w:ascii="Arial" w:hAnsi="Arial" w:eastAsia="Times New Roman" w:cs="Arial"/>
      <w:color w:val="000000"/>
      <w:sz w:val="24"/>
      <w:szCs w:val="24"/>
      <w:lang w:val="en-GB" w:eastAsia="en-GB" w:bidi="ar-SA"/>
    </w:rPr>
  </w:style>
  <w:style w:type="character" w:customStyle="1" w:styleId="71">
    <w:name w:val="short_text"/>
    <w:basedOn w:val="8"/>
    <w:qFormat/>
    <w:uiPriority w:val="0"/>
    <w:rPr>
      <w:rFonts w:cs="Times New Roman"/>
    </w:rPr>
  </w:style>
  <w:style w:type="character" w:customStyle="1" w:styleId="72">
    <w:name w:val="st"/>
    <w:basedOn w:val="8"/>
    <w:qFormat/>
    <w:uiPriority w:val="0"/>
  </w:style>
  <w:style w:type="paragraph" w:customStyle="1" w:styleId="73">
    <w:name w:val="Абзац списка2"/>
    <w:basedOn w:val="1"/>
    <w:qFormat/>
    <w:uiPriority w:val="0"/>
    <w:pPr>
      <w:ind w:left="720"/>
      <w:contextualSpacing/>
    </w:pPr>
    <w:rPr>
      <w:rFonts w:ascii="Times New Roman" w:hAnsi="Times New Roman" w:cs="Times New Roman"/>
      <w:sz w:val="24"/>
      <w:lang w:eastAsia="en-US"/>
    </w:rPr>
  </w:style>
  <w:style w:type="paragraph" w:customStyle="1" w:styleId="74">
    <w:name w:val="Без интервала1"/>
    <w:qFormat/>
    <w:uiPriority w:val="0"/>
    <w:pPr>
      <w:spacing w:after="200" w:line="276" w:lineRule="auto"/>
    </w:pPr>
    <w:rPr>
      <w:rFonts w:ascii="Calibri" w:hAnsi="Calibri" w:eastAsia="Calibri" w:cs="Times New Roman"/>
      <w:sz w:val="22"/>
      <w:szCs w:val="22"/>
      <w:lang w:val="uk-UA" w:eastAsia="en-US" w:bidi="ar-SA"/>
    </w:rPr>
  </w:style>
  <w:style w:type="paragraph" w:customStyle="1" w:styleId="75">
    <w:name w:val="Стиль таблицы 2"/>
    <w:qFormat/>
    <w:uiPriority w:val="0"/>
    <w:pPr>
      <w:spacing w:after="200" w:line="276" w:lineRule="auto"/>
    </w:pPr>
    <w:rPr>
      <w:rFonts w:ascii="Helvetica" w:hAnsi="Arial Unicode MS" w:eastAsia="Arial Unicode MS" w:cs="Arial Unicode MS"/>
      <w:color w:val="000000"/>
      <w:sz w:val="22"/>
      <w:szCs w:val="22"/>
      <w:lang w:val="en-US" w:eastAsia="en-US" w:bidi="ar-SA"/>
    </w:rPr>
  </w:style>
  <w:style w:type="paragraph" w:styleId="76">
    <w:name w:val="No Spacing"/>
    <w:qFormat/>
    <w:uiPriority w:val="1"/>
    <w:pPr>
      <w:spacing w:after="200" w:line="276" w:lineRule="auto"/>
    </w:pPr>
    <w:rPr>
      <w:rFonts w:ascii="Times New Roman" w:hAnsi="Times New Roman" w:eastAsia="Calibri" w:cs="Calibri"/>
      <w:sz w:val="22"/>
      <w:szCs w:val="22"/>
      <w:lang w:val="uk-UA" w:eastAsia="ru-RU" w:bidi="ar-SA"/>
    </w:rPr>
  </w:style>
  <w:style w:type="character" w:customStyle="1" w:styleId="77">
    <w:name w:val="Font Style31"/>
    <w:qFormat/>
    <w:uiPriority w:val="99"/>
    <w:rPr>
      <w:rFonts w:ascii="Times New Roman" w:hAnsi="Times New Roman" w:cs="Times New Roman"/>
      <w:b/>
      <w:bCs/>
      <w:color w:val="000000"/>
      <w:sz w:val="22"/>
      <w:szCs w:val="22"/>
    </w:rPr>
  </w:style>
  <w:style w:type="table" w:customStyle="1" w:styleId="78">
    <w:name w:val="_Style 75"/>
    <w:basedOn w:val="28"/>
    <w:qFormat/>
    <w:uiPriority w:val="0"/>
    <w:tblPr>
      <w:tblCellMar>
        <w:left w:w="115" w:type="dxa"/>
        <w:right w:w="115" w:type="dxa"/>
      </w:tblCellMar>
    </w:tblPr>
  </w:style>
  <w:style w:type="table" w:customStyle="1" w:styleId="79">
    <w:name w:val="_Style 76"/>
    <w:basedOn w:val="28"/>
    <w:qFormat/>
    <w:uiPriority w:val="0"/>
    <w:tblPr>
      <w:tblCellMar>
        <w:left w:w="115" w:type="dxa"/>
        <w:right w:w="115" w:type="dxa"/>
      </w:tblCellMar>
    </w:tblPr>
  </w:style>
  <w:style w:type="table" w:customStyle="1" w:styleId="80">
    <w:name w:val="_Style 77"/>
    <w:basedOn w:val="28"/>
    <w:qFormat/>
    <w:uiPriority w:val="0"/>
    <w:tblPr>
      <w:tblCellMar>
        <w:left w:w="115" w:type="dxa"/>
        <w:right w:w="115" w:type="dxa"/>
      </w:tblCellMar>
    </w:tblPr>
  </w:style>
  <w:style w:type="table" w:customStyle="1" w:styleId="81">
    <w:name w:val="_Style 78"/>
    <w:basedOn w:val="28"/>
    <w:qFormat/>
    <w:uiPriority w:val="0"/>
    <w:tblPr>
      <w:tblCellMar>
        <w:left w:w="115" w:type="dxa"/>
        <w:right w:w="115" w:type="dxa"/>
      </w:tblCellMar>
    </w:tblPr>
  </w:style>
  <w:style w:type="table" w:customStyle="1" w:styleId="82">
    <w:name w:val="_Style 79"/>
    <w:basedOn w:val="28"/>
    <w:qFormat/>
    <w:uiPriority w:val="0"/>
    <w:tblPr>
      <w:tblCellMar>
        <w:left w:w="115" w:type="dxa"/>
        <w:right w:w="115" w:type="dxa"/>
      </w:tblCellMar>
    </w:tblPr>
  </w:style>
  <w:style w:type="table" w:customStyle="1" w:styleId="83">
    <w:name w:val="_Style 80"/>
    <w:basedOn w:val="28"/>
    <w:qFormat/>
    <w:uiPriority w:val="0"/>
    <w:tblPr>
      <w:tblCellMar>
        <w:left w:w="115" w:type="dxa"/>
        <w:right w:w="115" w:type="dxa"/>
      </w:tblCellMar>
    </w:tblPr>
  </w:style>
  <w:style w:type="table" w:customStyle="1" w:styleId="84">
    <w:name w:val="_Style 81"/>
    <w:basedOn w:val="28"/>
    <w:qFormat/>
    <w:uiPriority w:val="0"/>
    <w:tblPr>
      <w:tblCellMar>
        <w:left w:w="57" w:type="dxa"/>
        <w:right w:w="57" w:type="dxa"/>
      </w:tblCellMar>
    </w:tblPr>
  </w:style>
  <w:style w:type="table" w:customStyle="1" w:styleId="85">
    <w:name w:val="_Style 82"/>
    <w:basedOn w:val="28"/>
    <w:qFormat/>
    <w:uiPriority w:val="0"/>
    <w:tblPr>
      <w:tblCellMar>
        <w:left w:w="115" w:type="dxa"/>
        <w:right w:w="115" w:type="dxa"/>
      </w:tblCellMar>
    </w:tblPr>
  </w:style>
  <w:style w:type="table" w:customStyle="1" w:styleId="86">
    <w:name w:val="_Style 83"/>
    <w:basedOn w:val="28"/>
    <w:qFormat/>
    <w:uiPriority w:val="0"/>
    <w:tblPr>
      <w:tblCellMar>
        <w:left w:w="115" w:type="dxa"/>
        <w:right w:w="115" w:type="dxa"/>
      </w:tblCellMar>
    </w:tblPr>
  </w:style>
  <w:style w:type="table" w:customStyle="1" w:styleId="87">
    <w:name w:val="_Style 84"/>
    <w:basedOn w:val="28"/>
    <w:qFormat/>
    <w:uiPriority w:val="0"/>
    <w:tblPr>
      <w:tblCellMar>
        <w:left w:w="115" w:type="dxa"/>
        <w:right w:w="115" w:type="dxa"/>
      </w:tblCellMar>
    </w:tblPr>
  </w:style>
  <w:style w:type="table" w:customStyle="1" w:styleId="88">
    <w:name w:val="_Style 85"/>
    <w:basedOn w:val="28"/>
    <w:qFormat/>
    <w:uiPriority w:val="0"/>
    <w:tblPr>
      <w:tblCellMar>
        <w:left w:w="115" w:type="dxa"/>
        <w:right w:w="115" w:type="dxa"/>
      </w:tblCellMar>
    </w:tblPr>
  </w:style>
  <w:style w:type="table" w:customStyle="1" w:styleId="89">
    <w:name w:val="_Style 86"/>
    <w:basedOn w:val="28"/>
    <w:qFormat/>
    <w:uiPriority w:val="0"/>
    <w:tblPr>
      <w:tblCellMar>
        <w:left w:w="57" w:type="dxa"/>
        <w:right w:w="57" w:type="dxa"/>
      </w:tblCellMar>
    </w:tblPr>
  </w:style>
  <w:style w:type="table" w:customStyle="1" w:styleId="90">
    <w:name w:val="_Style 87"/>
    <w:basedOn w:val="28"/>
    <w:qFormat/>
    <w:uiPriority w:val="0"/>
    <w:tblPr>
      <w:tblCellMar>
        <w:left w:w="85" w:type="dxa"/>
        <w:bottom w:w="57" w:type="dxa"/>
      </w:tblCellMar>
    </w:tblPr>
  </w:style>
  <w:style w:type="table" w:customStyle="1" w:styleId="91">
    <w:name w:val="_Style 88"/>
    <w:basedOn w:val="28"/>
    <w:qFormat/>
    <w:uiPriority w:val="0"/>
    <w:tblPr>
      <w:tblCellMar>
        <w:left w:w="85" w:type="dxa"/>
        <w:bottom w:w="57" w:type="dxa"/>
      </w:tblCellMar>
    </w:tblPr>
  </w:style>
  <w:style w:type="table" w:customStyle="1" w:styleId="92">
    <w:name w:val="_Style 89"/>
    <w:basedOn w:val="28"/>
    <w:qFormat/>
    <w:uiPriority w:val="0"/>
    <w:tblPr>
      <w:tblCellMar>
        <w:left w:w="28" w:type="dxa"/>
        <w:right w:w="28" w:type="dxa"/>
      </w:tblCellMar>
    </w:tblPr>
  </w:style>
  <w:style w:type="table" w:customStyle="1" w:styleId="93">
    <w:name w:val="_Style 90"/>
    <w:basedOn w:val="28"/>
    <w:qFormat/>
    <w:uiPriority w:val="0"/>
    <w:tblPr>
      <w:tblCellMar>
        <w:left w:w="108" w:type="dxa"/>
        <w:right w:w="108" w:type="dxa"/>
      </w:tblCellMar>
    </w:tblPr>
  </w:style>
  <w:style w:type="character" w:customStyle="1" w:styleId="94">
    <w:name w:val="hgkelc"/>
    <w:basedOn w:val="8"/>
    <w:qFormat/>
    <w:uiPriority w:val="0"/>
  </w:style>
  <w:style w:type="character" w:customStyle="1" w:styleId="95">
    <w:name w:val="Неразрешенное упоминание1"/>
    <w:basedOn w:val="8"/>
    <w:semiHidden/>
    <w:unhideWhenUsed/>
    <w:qFormat/>
    <w:uiPriority w:val="99"/>
    <w:rPr>
      <w:color w:val="605E5C"/>
      <w:shd w:val="clear" w:color="auto" w:fill="E1DFDD"/>
    </w:rPr>
  </w:style>
  <w:style w:type="character" w:customStyle="1" w:styleId="96">
    <w:name w:val="Неразрешенное упоминание11"/>
    <w:basedOn w:val="8"/>
    <w:semiHidden/>
    <w:unhideWhenUsed/>
    <w:qFormat/>
    <w:uiPriority w:val="99"/>
    <w:rPr>
      <w:color w:val="605E5C"/>
      <w:shd w:val="clear" w:color="auto" w:fill="E1DFDD"/>
    </w:rPr>
  </w:style>
  <w:style w:type="paragraph" w:customStyle="1" w:styleId="97">
    <w:name w:val="Рецензия2"/>
    <w:hidden/>
    <w:semiHidden/>
    <w:qFormat/>
    <w:uiPriority w:val="99"/>
    <w:pPr>
      <w:spacing w:after="200" w:line="276" w:lineRule="auto"/>
    </w:pPr>
    <w:rPr>
      <w:rFonts w:ascii="Calibri" w:hAnsi="Calibri" w:eastAsia="Calibri" w:cs="Calibri"/>
      <w:sz w:val="22"/>
      <w:szCs w:val="22"/>
      <w:lang w:val="uk-UA" w:eastAsia="ru-RU" w:bidi="ar-SA"/>
    </w:rPr>
  </w:style>
  <w:style w:type="table" w:customStyle="1" w:styleId="98">
    <w:name w:val="_Style 97"/>
    <w:basedOn w:val="27"/>
    <w:qFormat/>
    <w:uiPriority w:val="0"/>
    <w:tblPr>
      <w:tblCellMar>
        <w:top w:w="0" w:type="dxa"/>
        <w:left w:w="108" w:type="dxa"/>
        <w:bottom w:w="57" w:type="dxa"/>
        <w:right w:w="108" w:type="dxa"/>
      </w:tblCellMar>
    </w:tblPr>
  </w:style>
  <w:style w:type="table" w:customStyle="1" w:styleId="99">
    <w:name w:val="_Style 98"/>
    <w:basedOn w:val="27"/>
    <w:qFormat/>
    <w:uiPriority w:val="0"/>
    <w:rPr>
      <w:sz w:val="20"/>
      <w:szCs w:val="20"/>
    </w:rPr>
    <w:tblPr>
      <w:tblCellMar>
        <w:top w:w="0" w:type="dxa"/>
        <w:left w:w="115" w:type="dxa"/>
        <w:bottom w:w="0" w:type="dxa"/>
        <w:right w:w="115" w:type="dxa"/>
      </w:tblCellMar>
    </w:tblPr>
  </w:style>
  <w:style w:type="table" w:customStyle="1" w:styleId="100">
    <w:name w:val="_Style 99"/>
    <w:basedOn w:val="27"/>
    <w:qFormat/>
    <w:uiPriority w:val="0"/>
    <w:tblPr>
      <w:tblCellMar>
        <w:top w:w="100" w:type="dxa"/>
        <w:left w:w="100" w:type="dxa"/>
        <w:bottom w:w="100" w:type="dxa"/>
        <w:right w:w="100" w:type="dxa"/>
      </w:tblCellMar>
    </w:tblPr>
  </w:style>
  <w:style w:type="table" w:customStyle="1" w:styleId="101">
    <w:name w:val="_Style 100"/>
    <w:basedOn w:val="27"/>
    <w:qFormat/>
    <w:uiPriority w:val="0"/>
    <w:tblPr>
      <w:tblCellMar>
        <w:top w:w="0" w:type="dxa"/>
        <w:left w:w="108" w:type="dxa"/>
        <w:bottom w:w="57" w:type="dxa"/>
        <w:right w:w="108" w:type="dxa"/>
      </w:tblCellMar>
    </w:tblPr>
  </w:style>
  <w:style w:type="table" w:customStyle="1" w:styleId="102">
    <w:name w:val="_Style 101"/>
    <w:basedOn w:val="27"/>
    <w:qFormat/>
    <w:uiPriority w:val="0"/>
    <w:tblPr>
      <w:tblCellMar>
        <w:top w:w="0" w:type="dxa"/>
        <w:left w:w="108" w:type="dxa"/>
        <w:bottom w:w="57" w:type="dxa"/>
        <w:right w:w="108" w:type="dxa"/>
      </w:tblCellMar>
    </w:tblPr>
  </w:style>
  <w:style w:type="table" w:customStyle="1" w:styleId="103">
    <w:name w:val="_Style 102"/>
    <w:basedOn w:val="27"/>
    <w:qFormat/>
    <w:uiPriority w:val="0"/>
    <w:tblPr>
      <w:tblCellMar>
        <w:top w:w="100" w:type="dxa"/>
        <w:left w:w="100" w:type="dxa"/>
        <w:bottom w:w="100" w:type="dxa"/>
        <w:right w:w="100" w:type="dxa"/>
      </w:tblCellMar>
    </w:tblPr>
  </w:style>
  <w:style w:type="table" w:customStyle="1" w:styleId="104">
    <w:name w:val="_Style 103"/>
    <w:basedOn w:val="27"/>
    <w:qFormat/>
    <w:uiPriority w:val="0"/>
    <w:tblPr>
      <w:tblCellMar>
        <w:top w:w="0" w:type="dxa"/>
        <w:left w:w="108" w:type="dxa"/>
        <w:bottom w:w="57" w:type="dxa"/>
        <w:right w:w="108" w:type="dxa"/>
      </w:tblCellMar>
    </w:tblPr>
  </w:style>
  <w:style w:type="table" w:customStyle="1" w:styleId="105">
    <w:name w:val="_Style 104"/>
    <w:basedOn w:val="27"/>
    <w:qFormat/>
    <w:uiPriority w:val="0"/>
    <w:tblPr>
      <w:tblCellMar>
        <w:top w:w="0" w:type="dxa"/>
        <w:left w:w="115" w:type="dxa"/>
        <w:bottom w:w="0" w:type="dxa"/>
        <w:right w:w="115" w:type="dxa"/>
      </w:tblCellMar>
    </w:tblPr>
  </w:style>
  <w:style w:type="table" w:customStyle="1" w:styleId="106">
    <w:name w:val="_Style 105"/>
    <w:basedOn w:val="27"/>
    <w:qFormat/>
    <w:uiPriority w:val="0"/>
    <w:tblPr>
      <w:tblCellMar>
        <w:top w:w="100" w:type="dxa"/>
        <w:left w:w="100" w:type="dxa"/>
        <w:bottom w:w="100" w:type="dxa"/>
        <w:right w:w="100" w:type="dxa"/>
      </w:tblCellMar>
    </w:tblPr>
  </w:style>
  <w:style w:type="table" w:customStyle="1" w:styleId="107">
    <w:name w:val="_Style 106"/>
    <w:basedOn w:val="27"/>
    <w:qFormat/>
    <w:uiPriority w:val="0"/>
    <w:tblPr>
      <w:tblCellMar>
        <w:top w:w="100" w:type="dxa"/>
        <w:left w:w="100" w:type="dxa"/>
        <w:bottom w:w="100" w:type="dxa"/>
        <w:right w:w="100" w:type="dxa"/>
      </w:tblCellMar>
    </w:tblPr>
  </w:style>
  <w:style w:type="table" w:customStyle="1" w:styleId="108">
    <w:name w:val="_Style 71"/>
    <w:basedOn w:val="27"/>
    <w:qFormat/>
    <w:uiPriority w:val="0"/>
    <w:tblPr>
      <w:tblCellMar>
        <w:top w:w="0" w:type="dxa"/>
        <w:left w:w="115" w:type="dxa"/>
        <w:bottom w:w="0" w:type="dxa"/>
        <w:right w:w="115" w:type="dxa"/>
      </w:tblCellMar>
    </w:tblPr>
  </w:style>
  <w:style w:type="table" w:customStyle="1" w:styleId="109">
    <w:name w:val="_Style 72"/>
    <w:basedOn w:val="27"/>
    <w:qFormat/>
    <w:uiPriority w:val="0"/>
    <w:rPr>
      <w:sz w:val="20"/>
      <w:szCs w:val="20"/>
    </w:rPr>
    <w:tblPr>
      <w:tblCellMar>
        <w:top w:w="0" w:type="dxa"/>
        <w:left w:w="115" w:type="dxa"/>
        <w:bottom w:w="0" w:type="dxa"/>
        <w:right w:w="115" w:type="dxa"/>
      </w:tblCellMar>
    </w:tblPr>
  </w:style>
  <w:style w:type="table" w:customStyle="1" w:styleId="110">
    <w:name w:val="_Style 73"/>
    <w:basedOn w:val="27"/>
    <w:qFormat/>
    <w:uiPriority w:val="0"/>
    <w:rPr>
      <w:sz w:val="20"/>
      <w:szCs w:val="20"/>
    </w:rPr>
    <w:tblPr>
      <w:tblCellMar>
        <w:top w:w="0" w:type="dxa"/>
        <w:left w:w="115" w:type="dxa"/>
        <w:bottom w:w="0" w:type="dxa"/>
        <w:right w:w="115" w:type="dxa"/>
      </w:tblCellMar>
    </w:tbl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theme" Target="theme/theme1.xml"/><Relationship Id="rId15" Type="http://schemas.openxmlformats.org/officeDocument/2006/relationships/header" Target="header9.xml"/><Relationship Id="rId14" Type="http://schemas.openxmlformats.org/officeDocument/2006/relationships/header" Target="header8.xml"/><Relationship Id="rId13" Type="http://schemas.openxmlformats.org/officeDocument/2006/relationships/header" Target="header7.xml"/><Relationship Id="rId12" Type="http://schemas.openxmlformats.org/officeDocument/2006/relationships/header" Target="header6.xml"/><Relationship Id="rId11" Type="http://schemas.openxmlformats.org/officeDocument/2006/relationships/header" Target="header5.xml"/><Relationship Id="rId10" Type="http://schemas.openxmlformats.org/officeDocument/2006/relationships/footer" Target="foot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DdTvvx/nGDmwq5Jcu1OTgekALA==">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</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25</Pages>
  <Words>7989</Words>
  <Characters>45541</Characters>
  <Lines>379</Lines>
  <Paragraphs>106</Paragraphs>
  <TotalTime>10</TotalTime>
  <ScaleCrop>false</ScaleCrop>
  <LinksUpToDate>false</LinksUpToDate>
  <CharactersWithSpaces>53424</CharactersWithSpaces>
  <Application>WPS Office_12.2.0.16909_F1E327BC-269C-435d-A152-05C5408002CA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2024-05-15T10:17:00Z</dcterms:created>
  <dc:creator>Stepan</dc:creator>
  <cp:lastModifiedBy>Світлана Дідусе�</cp:lastModifiedBy>
  <dcterms:modified xsi:type="dcterms:W3CDTF">2024-05-16T17:12:21Z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1049-12.2.0.16909</vt:lpwstr>
  </property>
  <property fmtid="{D5CDD505-2E9C-101B-9397-08002B2CF9AE}" pid="3" name="ICV">
    <vt:lpwstr>07BE18FA976848ED8D995C93F09E9BAC_13</vt:lpwstr>
  </property>
</Properties>
</file>