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Arial" w:cs="Times New Roman"/>
          <w:color w:val="000000"/>
        </w:rPr>
      </w:pPr>
    </w:p>
    <w:tbl>
      <w:tblPr>
        <w:tblStyle w:val="72"/>
        <w:tblW w:w="4300" w:type="dxa"/>
        <w:tblInd w:w="5926" w:type="dxa"/>
        <w:tblLayout w:type="fixed"/>
        <w:tblCellMar>
          <w:top w:w="0" w:type="dxa"/>
          <w:left w:w="115" w:type="dxa"/>
          <w:bottom w:w="0" w:type="dxa"/>
          <w:right w:w="115" w:type="dxa"/>
        </w:tblCellMar>
      </w:tblPr>
      <w:tblGrid>
        <w:gridCol w:w="4300"/>
      </w:tblGrid>
      <w:tr>
        <w:tblPrEx>
          <w:tblCellMar>
            <w:top w:w="0" w:type="dxa"/>
            <w:left w:w="115" w:type="dxa"/>
            <w:bottom w:w="0" w:type="dxa"/>
            <w:right w:w="115" w:type="dxa"/>
          </w:tblCellMar>
        </w:tblPrEx>
        <w:trPr>
          <w:trHeight w:val="1056" w:hRule="atLeast"/>
        </w:trPr>
        <w:tc>
          <w:tcPr>
            <w:tcW w:w="4300" w:type="dxa"/>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ЗАТВЕРДЖЕНО</w:t>
            </w:r>
          </w:p>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lang w:val="uk-UA"/>
              </w:rPr>
              <w:t xml:space="preserve">Наказ </w:t>
            </w:r>
            <w:r>
              <w:rPr>
                <w:rFonts w:hint="default" w:ascii="Times New Roman" w:hAnsi="Times New Roman" w:eastAsia="Times New Roman" w:cs="Times New Roman"/>
                <w:sz w:val="28"/>
                <w:szCs w:val="28"/>
              </w:rPr>
              <w:t>Мініст</w:t>
            </w:r>
            <w:r>
              <w:rPr>
                <w:rFonts w:hint="default" w:ascii="Times New Roman" w:hAnsi="Times New Roman" w:eastAsia="Times New Roman" w:cs="Times New Roman"/>
                <w:sz w:val="28"/>
                <w:szCs w:val="28"/>
                <w:lang w:val="uk-UA"/>
              </w:rPr>
              <w:t>ерства</w:t>
            </w:r>
            <w:bookmarkStart w:id="0" w:name="_GoBack"/>
            <w:bookmarkEnd w:id="0"/>
            <w:r>
              <w:rPr>
                <w:rFonts w:hint="default" w:ascii="Times New Roman" w:hAnsi="Times New Roman" w:eastAsia="Times New Roman" w:cs="Times New Roman"/>
                <w:sz w:val="28"/>
                <w:szCs w:val="28"/>
                <w:lang w:val="uk-UA"/>
              </w:rPr>
              <w:t xml:space="preserve"> </w:t>
            </w:r>
            <w:r>
              <w:rPr>
                <w:rFonts w:hint="default" w:ascii="Times New Roman" w:hAnsi="Times New Roman" w:eastAsia="Times New Roman" w:cs="Times New Roman"/>
                <w:sz w:val="28"/>
                <w:szCs w:val="28"/>
              </w:rPr>
              <w:t xml:space="preserve">освіти і </w:t>
            </w:r>
          </w:p>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науки України</w:t>
            </w:r>
          </w:p>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lang w:val="uk-UA"/>
              </w:rPr>
            </w:pPr>
            <w:r>
              <w:rPr>
                <w:rFonts w:hint="default" w:ascii="Times New Roman" w:hAnsi="Times New Roman" w:eastAsia="Times New Roman" w:cs="Times New Roman"/>
                <w:sz w:val="28"/>
                <w:szCs w:val="28"/>
              </w:rPr>
              <w:t>____________20</w:t>
            </w:r>
            <w:r>
              <w:rPr>
                <w:rFonts w:hint="default" w:ascii="Times New Roman" w:hAnsi="Times New Roman" w:eastAsia="Times New Roman" w:cs="Times New Roman"/>
                <w:sz w:val="28"/>
                <w:szCs w:val="28"/>
                <w:lang w:val="uk-UA"/>
              </w:rPr>
              <w:t>24 № ____</w:t>
            </w:r>
          </w:p>
        </w:tc>
      </w:tr>
    </w:tbl>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СТАНДАРТ ВИЩОЇ ОСВІТИ </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tabs>
          <w:tab w:val="left" w:pos="7371"/>
        </w:tabs>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u w:val="single"/>
        </w:rPr>
      </w:pPr>
    </w:p>
    <w:p>
      <w:pPr>
        <w:pBdr>
          <w:top w:val="none" w:color="auto" w:sz="0" w:space="0"/>
          <w:left w:val="none" w:color="auto" w:sz="0" w:space="0"/>
          <w:bottom w:val="none" w:color="auto" w:sz="0" w:space="0"/>
          <w:right w:val="none" w:color="auto" w:sz="0" w:space="0"/>
          <w:between w:val="none" w:color="auto" w:sz="0" w:space="0"/>
        </w:pBdr>
        <w:shd w:val="clear" w:color="auto" w:fill="FFFFFF"/>
        <w:tabs>
          <w:tab w:val="left" w:pos="541"/>
        </w:tabs>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b/>
          <w:color w:val="000000"/>
          <w:sz w:val="28"/>
          <w:szCs w:val="28"/>
        </w:rPr>
        <w:t>РІВЕНЬ ВИЩОЇ ОСВІТИ</w:t>
      </w:r>
      <w:r>
        <w:rPr>
          <w:rFonts w:hint="default" w:ascii="Times New Roman" w:hAnsi="Times New Roman" w:eastAsia="Times New Roman" w:cs="Times New Roman"/>
          <w:color w:val="000000"/>
          <w:sz w:val="28"/>
          <w:szCs w:val="28"/>
        </w:rPr>
        <w:tab/>
      </w:r>
      <w:r>
        <w:rPr>
          <w:rFonts w:hint="default" w:ascii="Times New Roman" w:hAnsi="Times New Roman" w:eastAsia="Times New Roman" w:cs="Times New Roman"/>
          <w:color w:val="000000"/>
          <w:sz w:val="28"/>
          <w:szCs w:val="28"/>
          <w:lang w:val="uk-UA"/>
        </w:rPr>
        <w:tab/>
      </w:r>
      <w:r>
        <w:rPr>
          <w:rFonts w:hint="default" w:ascii="Times New Roman" w:hAnsi="Times New Roman" w:eastAsia="Times New Roman" w:cs="Times New Roman"/>
          <w:color w:val="000000"/>
          <w:sz w:val="28"/>
          <w:szCs w:val="28"/>
          <w:lang w:val="uk-UA"/>
        </w:rPr>
        <w:tab/>
      </w:r>
      <w:r>
        <w:rPr>
          <w:rFonts w:hint="default" w:ascii="Times New Roman" w:hAnsi="Times New Roman" w:eastAsia="Times New Roman" w:cs="Times New Roman"/>
          <w:color w:val="000000"/>
          <w:sz w:val="28"/>
          <w:szCs w:val="28"/>
          <w:lang w:val="uk-UA"/>
        </w:rPr>
        <w:tab/>
      </w:r>
      <w:r>
        <w:rPr>
          <w:rFonts w:hint="default" w:ascii="Times New Roman" w:hAnsi="Times New Roman" w:eastAsia="Times New Roman" w:cs="Times New Roman"/>
          <w:color w:val="000000"/>
          <w:sz w:val="28"/>
          <w:szCs w:val="28"/>
          <w:u w:val="single"/>
        </w:rPr>
        <w:t>Перший (бакалаврський) рівень</w:t>
      </w:r>
    </w:p>
    <w:p>
      <w:pPr>
        <w:kinsoku/>
        <w:wordWrap/>
        <w:overflowPunct/>
        <w:topLinePunct w:val="0"/>
        <w:autoSpaceDE/>
        <w:autoSpaceDN/>
        <w:bidi w:val="0"/>
        <w:adjustRightInd/>
        <w:snapToGrid/>
        <w:spacing w:after="0" w:line="240" w:lineRule="auto"/>
        <w:ind w:left="0" w:right="0" w:firstLine="709"/>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sz w:val="28"/>
          <w:szCs w:val="28"/>
          <w:vertAlign w:val="superscript"/>
          <w:lang w:val="uk-UA"/>
        </w:rPr>
        <w:t xml:space="preserve">                                                                                  </w:t>
      </w:r>
      <w:r>
        <w:rPr>
          <w:rFonts w:hint="default" w:ascii="Times New Roman" w:hAnsi="Times New Roman" w:eastAsia="Times New Roman" w:cs="Times New Roman"/>
          <w:sz w:val="28"/>
          <w:szCs w:val="28"/>
          <w:vertAlign w:val="superscript"/>
        </w:rPr>
        <w:t>(назва рівня вищої освіти)</w:t>
      </w:r>
    </w:p>
    <w:p>
      <w:pPr>
        <w:tabs>
          <w:tab w:val="left" w:pos="7371"/>
        </w:tabs>
        <w:kinsoku/>
        <w:wordWrap/>
        <w:overflowPunct/>
        <w:topLinePunct w:val="0"/>
        <w:autoSpaceDE/>
        <w:autoSpaceDN/>
        <w:bidi w:val="0"/>
        <w:adjustRightInd/>
        <w:snapToGrid/>
        <w:spacing w:after="0" w:line="240" w:lineRule="auto"/>
        <w:ind w:left="0" w:right="0" w:firstLine="709"/>
        <w:jc w:val="center"/>
        <w:textAlignment w:val="auto"/>
        <w:rPr>
          <w:rFonts w:hint="default" w:ascii="Times New Roman" w:hAnsi="Times New Roman" w:eastAsia="Times New Roman" w:cs="Times New Roman"/>
          <w:b/>
          <w:sz w:val="28"/>
          <w:szCs w:val="28"/>
        </w:rPr>
      </w:pPr>
    </w:p>
    <w:p>
      <w:pPr>
        <w:pBdr>
          <w:top w:val="none" w:color="auto" w:sz="0" w:space="0"/>
          <w:left w:val="none" w:color="auto" w:sz="0" w:space="0"/>
          <w:bottom w:val="none" w:color="auto" w:sz="0" w:space="0"/>
          <w:right w:val="none" w:color="auto" w:sz="0" w:space="0"/>
          <w:between w:val="none" w:color="auto" w:sz="0" w:space="0"/>
        </w:pBdr>
        <w:shd w:val="clear" w:color="auto" w:fill="FFFFFF"/>
        <w:tabs>
          <w:tab w:val="left" w:pos="541"/>
          <w:tab w:val="left" w:pos="1142"/>
        </w:tabs>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b/>
          <w:color w:val="000000"/>
          <w:sz w:val="28"/>
          <w:szCs w:val="28"/>
        </w:rPr>
        <w:t xml:space="preserve">СТУПІНЬ ВИЩОЇ ОСВІТИ </w:t>
      </w:r>
      <w:r>
        <w:rPr>
          <w:rFonts w:hint="default" w:ascii="Times New Roman" w:hAnsi="Times New Roman" w:eastAsia="Times New Roman" w:cs="Times New Roman"/>
          <w:b/>
          <w:color w:val="000000"/>
          <w:sz w:val="28"/>
          <w:szCs w:val="28"/>
        </w:rPr>
        <w:tab/>
      </w:r>
      <w:r>
        <w:rPr>
          <w:rFonts w:hint="default" w:ascii="Times New Roman" w:hAnsi="Times New Roman" w:eastAsia="Times New Roman" w:cs="Times New Roman"/>
          <w:b/>
          <w:color w:val="000000"/>
          <w:sz w:val="28"/>
          <w:szCs w:val="28"/>
        </w:rPr>
        <w:tab/>
      </w:r>
      <w:r>
        <w:rPr>
          <w:rFonts w:hint="default" w:ascii="Times New Roman" w:hAnsi="Times New Roman" w:eastAsia="Times New Roman" w:cs="Times New Roman"/>
          <w:b/>
          <w:color w:val="000000"/>
          <w:sz w:val="28"/>
          <w:szCs w:val="28"/>
          <w:lang w:val="uk-UA"/>
        </w:rPr>
        <w:tab/>
      </w:r>
      <w:r>
        <w:rPr>
          <w:rFonts w:hint="default" w:ascii="Times New Roman" w:hAnsi="Times New Roman" w:eastAsia="Times New Roman" w:cs="Times New Roman"/>
          <w:b/>
          <w:color w:val="000000"/>
          <w:sz w:val="28"/>
          <w:szCs w:val="28"/>
          <w:lang w:val="uk-UA"/>
        </w:rPr>
        <w:tab/>
      </w:r>
      <w:r>
        <w:rPr>
          <w:rFonts w:hint="default" w:ascii="Times New Roman" w:hAnsi="Times New Roman" w:eastAsia="Times New Roman" w:cs="Times New Roman"/>
          <w:color w:val="000000"/>
          <w:sz w:val="28"/>
          <w:szCs w:val="28"/>
          <w:u w:val="single"/>
        </w:rPr>
        <w:t>Бакалавр</w:t>
      </w:r>
    </w:p>
    <w:p>
      <w:pPr>
        <w:kinsoku/>
        <w:wordWrap/>
        <w:overflowPunct/>
        <w:topLinePunct w:val="0"/>
        <w:autoSpaceDE/>
        <w:autoSpaceDN/>
        <w:bidi w:val="0"/>
        <w:adjustRightInd/>
        <w:snapToGrid/>
        <w:spacing w:after="0" w:line="240" w:lineRule="auto"/>
        <w:ind w:left="0" w:right="0" w:firstLine="709"/>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sz w:val="28"/>
          <w:szCs w:val="28"/>
          <w:vertAlign w:val="superscript"/>
          <w:lang w:val="uk-UA"/>
        </w:rPr>
        <w:t xml:space="preserve">                                                                           </w:t>
      </w:r>
      <w:r>
        <w:rPr>
          <w:rFonts w:hint="default" w:ascii="Times New Roman" w:hAnsi="Times New Roman" w:eastAsia="Times New Roman" w:cs="Times New Roman"/>
          <w:sz w:val="28"/>
          <w:szCs w:val="28"/>
          <w:vertAlign w:val="superscript"/>
        </w:rPr>
        <w:t xml:space="preserve"> (назва ступеня вищої освіти)</w:t>
      </w:r>
    </w:p>
    <w:p>
      <w:pPr>
        <w:tabs>
          <w:tab w:val="left" w:pos="7371"/>
        </w:tabs>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b/>
          <w:sz w:val="28"/>
          <w:szCs w:val="28"/>
        </w:rPr>
        <w:t>ГАЛУЗЬ ЗНАНЬ</w:t>
      </w:r>
      <w:r>
        <w:rPr>
          <w:rFonts w:hint="default" w:ascii="Times New Roman" w:hAnsi="Times New Roman" w:eastAsia="Times New Roman" w:cs="Times New Roman"/>
          <w:b/>
          <w:sz w:val="28"/>
          <w:szCs w:val="28"/>
        </w:rPr>
        <w:tab/>
      </w:r>
      <w:r>
        <w:rPr>
          <w:rFonts w:hint="default" w:ascii="Times New Roman" w:hAnsi="Times New Roman" w:eastAsia="Times New Roman" w:cs="Times New Roman"/>
          <w:b/>
          <w:sz w:val="28"/>
          <w:szCs w:val="28"/>
        </w:rPr>
        <w:tab/>
      </w:r>
      <w:r>
        <w:rPr>
          <w:rFonts w:hint="default" w:ascii="Times New Roman" w:hAnsi="Times New Roman" w:eastAsia="Times New Roman" w:cs="Times New Roman"/>
          <w:b/>
          <w:sz w:val="28"/>
          <w:szCs w:val="28"/>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sz w:val="28"/>
          <w:szCs w:val="28"/>
          <w:u w:val="single"/>
        </w:rPr>
        <w:t>22 Охорона здоров’я</w:t>
      </w:r>
    </w:p>
    <w:p>
      <w:pPr>
        <w:kinsoku/>
        <w:wordWrap/>
        <w:overflowPunct/>
        <w:topLinePunct w:val="0"/>
        <w:autoSpaceDE/>
        <w:autoSpaceDN/>
        <w:bidi w:val="0"/>
        <w:adjustRightInd/>
        <w:snapToGrid/>
        <w:spacing w:after="0" w:line="240" w:lineRule="auto"/>
        <w:ind w:left="0" w:right="0" w:firstLine="708"/>
        <w:jc w:val="center"/>
        <w:textAlignment w:val="auto"/>
        <w:rPr>
          <w:rFonts w:hint="default" w:ascii="Times New Roman" w:hAnsi="Times New Roman" w:eastAsia="Times New Roman" w:cs="Times New Roman"/>
          <w:sz w:val="28"/>
          <w:szCs w:val="28"/>
          <w:vertAlign w:val="superscript"/>
        </w:rPr>
      </w:pPr>
      <w:r>
        <w:rPr>
          <w:rFonts w:hint="default" w:ascii="Times New Roman" w:hAnsi="Times New Roman" w:eastAsia="Times New Roman" w:cs="Times New Roman"/>
          <w:sz w:val="28"/>
          <w:szCs w:val="28"/>
          <w:vertAlign w:val="superscript"/>
          <w:lang w:val="uk-UA"/>
        </w:rPr>
        <w:t xml:space="preserve">                                                                                              </w:t>
      </w:r>
      <w:r>
        <w:rPr>
          <w:rFonts w:hint="default" w:ascii="Times New Roman" w:hAnsi="Times New Roman" w:eastAsia="Times New Roman" w:cs="Times New Roman"/>
          <w:sz w:val="28"/>
          <w:szCs w:val="28"/>
          <w:vertAlign w:val="superscript"/>
        </w:rPr>
        <w:t>(шифр та назва галузі знань)</w:t>
      </w:r>
    </w:p>
    <w:p>
      <w:pPr>
        <w:tabs>
          <w:tab w:val="left" w:pos="7371"/>
        </w:tabs>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u w:val="single"/>
        </w:rPr>
      </w:pPr>
      <w:r>
        <w:rPr>
          <w:rFonts w:hint="default" w:ascii="Times New Roman" w:hAnsi="Times New Roman" w:eastAsia="Times New Roman" w:cs="Times New Roman"/>
          <w:b/>
          <w:sz w:val="28"/>
          <w:szCs w:val="28"/>
        </w:rPr>
        <w:t>СПЕЦІАЛЬНІСТЬ</w:t>
      </w:r>
      <w:r>
        <w:rPr>
          <w:rFonts w:hint="default" w:ascii="Times New Roman" w:hAnsi="Times New Roman" w:eastAsia="Times New Roman" w:cs="Times New Roman"/>
          <w:b/>
          <w:sz w:val="28"/>
          <w:szCs w:val="28"/>
        </w:rPr>
        <w:tab/>
      </w:r>
      <w:r>
        <w:rPr>
          <w:rFonts w:hint="default" w:ascii="Times New Roman" w:hAnsi="Times New Roman" w:eastAsia="Times New Roman" w:cs="Times New Roman"/>
          <w:b/>
          <w:sz w:val="28"/>
          <w:szCs w:val="28"/>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sz w:val="28"/>
          <w:szCs w:val="28"/>
          <w:u w:val="single"/>
        </w:rPr>
        <w:t>227 Терапія та реабілітація</w:t>
      </w:r>
    </w:p>
    <w:p>
      <w:pPr>
        <w:kinsoku/>
        <w:wordWrap/>
        <w:overflowPunct/>
        <w:topLinePunct w:val="0"/>
        <w:autoSpaceDE/>
        <w:autoSpaceDN/>
        <w:bidi w:val="0"/>
        <w:adjustRightInd/>
        <w:snapToGrid/>
        <w:spacing w:after="0" w:line="240" w:lineRule="auto"/>
        <w:ind w:left="0" w:right="0" w:firstLine="708"/>
        <w:jc w:val="center"/>
        <w:textAlignment w:val="auto"/>
        <w:rPr>
          <w:rFonts w:hint="default" w:ascii="Times New Roman" w:hAnsi="Times New Roman" w:eastAsia="Times New Roman" w:cs="Times New Roman"/>
          <w:sz w:val="28"/>
          <w:szCs w:val="28"/>
          <w:vertAlign w:val="superscript"/>
        </w:rPr>
      </w:pPr>
      <w:r>
        <w:rPr>
          <w:rFonts w:hint="default" w:ascii="Times New Roman" w:hAnsi="Times New Roman" w:eastAsia="Times New Roman" w:cs="Times New Roman"/>
          <w:sz w:val="28"/>
          <w:szCs w:val="28"/>
          <w:vertAlign w:val="superscript"/>
          <w:lang w:val="uk-UA"/>
        </w:rPr>
        <w:t xml:space="preserve">                                                                                           </w:t>
      </w:r>
      <w:r>
        <w:rPr>
          <w:rFonts w:hint="default" w:ascii="Times New Roman" w:hAnsi="Times New Roman" w:eastAsia="Times New Roman" w:cs="Times New Roman"/>
          <w:sz w:val="28"/>
          <w:szCs w:val="28"/>
          <w:vertAlign w:val="superscript"/>
        </w:rPr>
        <w:t>(код та найменування спеціальності)</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b/>
          <w:sz w:val="28"/>
          <w:szCs w:val="28"/>
        </w:rPr>
        <w:t>СПЕЦІАЛІЗАЦІЇ</w:t>
      </w:r>
      <w:r>
        <w:rPr>
          <w:rFonts w:hint="default" w:ascii="Times New Roman" w:hAnsi="Times New Roman" w:eastAsia="Times New Roman" w:cs="Times New Roman"/>
          <w:b/>
          <w:sz w:val="28"/>
          <w:szCs w:val="28"/>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sz w:val="28"/>
          <w:szCs w:val="28"/>
          <w:u w:val="single"/>
        </w:rPr>
        <w:t xml:space="preserve">227.01 Фізична терапія </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i/>
          <w:sz w:val="28"/>
          <w:szCs w:val="28"/>
        </w:rPr>
      </w:pPr>
      <w:r>
        <w:rPr>
          <w:rFonts w:hint="default" w:ascii="Times New Roman" w:hAnsi="Times New Roman" w:eastAsia="Times New Roman" w:cs="Times New Roman"/>
          <w:b/>
          <w:i/>
          <w:sz w:val="28"/>
          <w:szCs w:val="28"/>
        </w:rPr>
        <w:t>Видання офіційне</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МІНІСТЕРСТВО  ОСВІТИ  І  НАУКИ  УКРАЇНИ</w:t>
      </w:r>
    </w:p>
    <w:p>
      <w:pPr>
        <w:tabs>
          <w:tab w:val="left" w:pos="4253"/>
        </w:tabs>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p>
    <w:p>
      <w:pPr>
        <w:tabs>
          <w:tab w:val="left" w:pos="4253"/>
        </w:tabs>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Київ</w:t>
      </w:r>
    </w:p>
    <w:p>
      <w:pPr>
        <w:tabs>
          <w:tab w:val="left" w:pos="4253"/>
        </w:tabs>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tabs>
          <w:tab w:val="left" w:pos="4253"/>
        </w:tabs>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tabs>
          <w:tab w:val="left" w:pos="4253"/>
        </w:tabs>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sectPr>
          <w:pgSz w:w="11906" w:h="16838"/>
          <w:pgMar w:top="993" w:right="566" w:bottom="1134" w:left="1276" w:header="709" w:footer="709" w:gutter="0"/>
          <w:pgNumType w:start="1"/>
          <w:cols w:space="720" w:num="1"/>
        </w:sectPr>
      </w:pPr>
      <w:r>
        <w:rPr>
          <w:rFonts w:hint="default" w:ascii="Times New Roman" w:hAnsi="Times New Roman" w:eastAsia="Times New Roman" w:cs="Times New Roman"/>
          <w:b/>
          <w:sz w:val="28"/>
          <w:szCs w:val="28"/>
        </w:rPr>
        <w:t>2024</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І Преамбула </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p>
    <w:p>
      <w:pPr>
        <w:keepNext/>
        <w:keepLines/>
        <w:shd w:val="clear" w:color="auto" w:fill="FFFFFF"/>
        <w:tabs>
          <w:tab w:val="left" w:pos="709"/>
          <w:tab w:val="left" w:pos="1134"/>
        </w:tabs>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Стандарт вищої освіти першого (бакалаврського) рівня вищої освіти (далі – Стандарт) галузі знань 22 Охорона здоров’я, спеціальності 227 Терапія та реабілітація, спеціалізація 227.01 Фізична терапія.</w:t>
      </w:r>
    </w:p>
    <w:p>
      <w:pPr>
        <w:keepNext/>
        <w:keepLines/>
        <w:shd w:val="clear" w:color="auto" w:fill="FFFFFF"/>
        <w:tabs>
          <w:tab w:val="left" w:pos="709"/>
          <w:tab w:val="left" w:pos="1134"/>
        </w:tabs>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Затверджено та введено в дію наказом Міністерства освіти і науки України від _________ 2024 р. № _______.</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Розробники Стандарту: </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члени науково-методичної підкомісії зі спеціальності 227 Фізична терапія, ерготерапія Науково-методичної комісії з охорони здоров’я та соціального забезпечення сектору вищої освіти Науково-методичної Ради Міністерства освіти і науки України:</w:t>
      </w: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firstLine="539"/>
        <w:jc w:val="both"/>
        <w:textAlignment w:val="auto"/>
        <w:rPr>
          <w:rFonts w:hint="default" w:ascii="Times New Roman" w:hAnsi="Times New Roman" w:eastAsia="Times New Roman" w:cs="Times New Roman"/>
          <w:color w:val="000000"/>
          <w:sz w:val="28"/>
          <w:szCs w:val="28"/>
        </w:rPr>
      </w:pPr>
    </w:p>
    <w:tbl>
      <w:tblPr>
        <w:tblStyle w:val="73"/>
        <w:tblW w:w="10172" w:type="dxa"/>
        <w:tblInd w:w="7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133"/>
        <w:gridCol w:w="80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Лазарєва Олена Борисівна,</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голова підкомісії</w:t>
            </w:r>
          </w:p>
        </w:tc>
        <w:tc>
          <w:tcPr>
            <w:tcW w:w="8039" w:type="dxa"/>
          </w:tcPr>
          <w:p>
            <w:pPr>
              <w:tabs>
                <w:tab w:val="left" w:pos="7480"/>
              </w:tabs>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завідувач кафедри фізичної терапії та ерготерапії Національного університету фізичного виховання та спорту України, професор, доктор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Кобелєв Степан Юрійович</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i/>
                <w:sz w:val="28"/>
                <w:szCs w:val="28"/>
              </w:rPr>
              <w:t xml:space="preserve">заступник голови підкомісії </w:t>
            </w:r>
          </w:p>
        </w:tc>
        <w:tc>
          <w:tcPr>
            <w:tcW w:w="8039"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голова Правління ГО «Українська Асоціація фізичної терапії», кандидат наук з фізичного виховання та спорту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Баришок Тетяна Віталіївна</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i/>
                <w:sz w:val="28"/>
                <w:szCs w:val="28"/>
              </w:rPr>
              <w:t xml:space="preserve">секретар підкомісії </w:t>
            </w:r>
          </w:p>
        </w:tc>
        <w:tc>
          <w:tcPr>
            <w:tcW w:w="8039"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8"/>
                <w:szCs w:val="28"/>
              </w:rPr>
              <w:t xml:space="preserve">голова Правління ГО «Всеукраїнське об’єднання фізичних терапевтів», </w:t>
            </w:r>
            <w:r>
              <w:rPr>
                <w:rFonts w:hint="default" w:ascii="Times New Roman" w:hAnsi="Times New Roman" w:eastAsia="Times New Roman" w:cs="Times New Roman"/>
                <w:sz w:val="28"/>
                <w:szCs w:val="28"/>
                <w:lang w:val="uk-UA"/>
              </w:rPr>
              <w:t>доцент</w:t>
            </w:r>
            <w:r>
              <w:rPr>
                <w:rFonts w:hint="default" w:ascii="Times New Roman" w:hAnsi="Times New Roman" w:eastAsia="Times New Roman" w:cs="Times New Roman"/>
                <w:sz w:val="28"/>
                <w:szCs w:val="28"/>
              </w:rPr>
              <w:t xml:space="preserve"> кафедри фізичної терапії та ерготерапії комунального закладу вищої освіти «Хортицька національна навчально-реабілітаційна академія» Запорізької обласної ради, доцент, кандидат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Атаман</w:t>
            </w:r>
            <w:r>
              <w:rPr>
                <w:rFonts w:hint="default" w:ascii="Times New Roman" w:hAnsi="Times New Roman" w:eastAsia="Times New Roman" w:cs="Times New Roman"/>
                <w:sz w:val="28"/>
                <w:szCs w:val="28"/>
                <w:lang w:val="uk-UA"/>
              </w:rPr>
              <w:t xml:space="preserve"> </w:t>
            </w:r>
            <w:r>
              <w:rPr>
                <w:rFonts w:hint="default" w:ascii="Times New Roman" w:hAnsi="Times New Roman" w:eastAsia="Times New Roman" w:cs="Times New Roman"/>
                <w:sz w:val="28"/>
                <w:szCs w:val="28"/>
              </w:rPr>
              <w:t>Юрій Олександрович</w:t>
            </w:r>
          </w:p>
        </w:tc>
        <w:tc>
          <w:tcPr>
            <w:tcW w:w="8039"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lang w:val="uk-UA"/>
              </w:rPr>
              <w:t>з</w:t>
            </w:r>
            <w:r>
              <w:rPr>
                <w:rFonts w:hint="default" w:ascii="Times New Roman" w:hAnsi="Times New Roman" w:eastAsia="Times New Roman" w:cs="Times New Roman"/>
                <w:sz w:val="28"/>
                <w:szCs w:val="28"/>
              </w:rPr>
              <w:t xml:space="preserve">авідувач кафедри фізичної терапії, ерготерапії та спортивної медицини Сумського державного університету, професор, доктор медичних наук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Герцик Андрій Мирославович</w:t>
            </w:r>
          </w:p>
        </w:tc>
        <w:tc>
          <w:tcPr>
            <w:tcW w:w="8039"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професор кафедри фізичної терапії та ерготерапії Вищого навчального закладу «Український Католицький Університет», професор, доктор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Мисула Ігор Романович</w:t>
            </w:r>
          </w:p>
        </w:tc>
        <w:tc>
          <w:tcPr>
            <w:tcW w:w="8039"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завідувач кафедри медичної реабілітації Тернопільського національного медичного університету імені І. Я. Горбачевського МОЗ України, голова НМК 11 з охорони здоров’я та соціального забезпечення Науково-методичної ради МОН України, професор, доктор медичних наук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Мруга Марина Рашидівна</w:t>
            </w:r>
          </w:p>
        </w:tc>
        <w:tc>
          <w:tcPr>
            <w:tcW w:w="8039"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держав</w:t>
            </w:r>
            <w:r>
              <w:rPr>
                <w:rFonts w:hint="default" w:ascii="Times New Roman" w:hAnsi="Times New Roman" w:eastAsia="Times New Roman" w:cs="Times New Roman"/>
                <w:sz w:val="28"/>
                <w:szCs w:val="28"/>
                <w:lang w:val="uk-UA"/>
              </w:rPr>
              <w:t>ний</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uk-UA"/>
              </w:rPr>
              <w:t>експерт</w:t>
            </w:r>
            <w:r>
              <w:rPr>
                <w:rFonts w:hint="default" w:ascii="Times New Roman" w:hAnsi="Times New Roman" w:eastAsia="Times New Roman" w:cs="Times New Roman"/>
                <w:sz w:val="28"/>
                <w:szCs w:val="28"/>
              </w:rPr>
              <w:t xml:space="preserve"> експертної групи з питань вищої освіти і освіти дорослих директорату фахової передвищої, вищої освіти Міністерства освіти і науки України, </w:t>
            </w:r>
            <w:r>
              <w:rPr>
                <w:rFonts w:hint="default" w:ascii="Times New Roman" w:hAnsi="Times New Roman" w:eastAsia="Times New Roman" w:cs="Times New Roman"/>
                <w:sz w:val="28"/>
                <w:szCs w:val="28"/>
                <w:lang w:val="uk-UA"/>
              </w:rPr>
              <w:t>ч</w:t>
            </w:r>
            <w:r>
              <w:rPr>
                <w:rFonts w:hint="default" w:ascii="Times New Roman" w:hAnsi="Times New Roman" w:eastAsia="Times New Roman" w:cs="Times New Roman"/>
                <w:sz w:val="28"/>
                <w:szCs w:val="28"/>
              </w:rPr>
              <w:t xml:space="preserve">лен сектору вищої освіти Науково-методичної ради МОН України, доцент, кандидат педагогічних наук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Неханевич Олег Борисович</w:t>
            </w:r>
          </w:p>
        </w:tc>
        <w:tc>
          <w:tcPr>
            <w:tcW w:w="8039"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завідувач кафедри фізичної реабілітації, спортивної медицини та валеології Дніпровського державного медичного університету, професор, доктор медичних наук</w:t>
            </w:r>
          </w:p>
        </w:tc>
      </w:tr>
    </w:tbl>
    <w:p>
      <w:pPr>
        <w:tabs>
          <w:tab w:val="left" w:pos="0"/>
        </w:tabs>
        <w:kinsoku/>
        <w:wordWrap/>
        <w:overflowPunct/>
        <w:topLinePunct w:val="0"/>
        <w:autoSpaceDE/>
        <w:autoSpaceDN/>
        <w:bidi w:val="0"/>
        <w:adjustRightInd/>
        <w:snapToGrid/>
        <w:spacing w:after="0" w:line="240" w:lineRule="auto"/>
        <w:ind w:left="0" w:right="0" w:firstLine="851"/>
        <w:jc w:val="both"/>
        <w:textAlignment w:val="auto"/>
        <w:rPr>
          <w:rFonts w:hint="default" w:ascii="Times New Roman" w:hAnsi="Times New Roman" w:eastAsia="Times New Roman" w:cs="Times New Roman"/>
          <w:color w:val="000000"/>
          <w:sz w:val="28"/>
          <w:szCs w:val="28"/>
        </w:rPr>
      </w:pPr>
    </w:p>
    <w:p>
      <w:pPr>
        <w:tabs>
          <w:tab w:val="left" w:pos="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Фахівці, залучені до розроблення стандарту:</w:t>
      </w:r>
    </w:p>
    <w:p>
      <w:pPr>
        <w:tabs>
          <w:tab w:val="left" w:pos="0"/>
        </w:tabs>
        <w:kinsoku/>
        <w:wordWrap/>
        <w:overflowPunct/>
        <w:topLinePunct w:val="0"/>
        <w:autoSpaceDE/>
        <w:autoSpaceDN/>
        <w:bidi w:val="0"/>
        <w:adjustRightInd/>
        <w:snapToGrid/>
        <w:spacing w:after="0" w:line="240" w:lineRule="auto"/>
        <w:ind w:left="0" w:right="0" w:firstLine="851"/>
        <w:jc w:val="both"/>
        <w:textAlignment w:val="auto"/>
        <w:rPr>
          <w:rFonts w:hint="default" w:ascii="Times New Roman" w:hAnsi="Times New Roman" w:eastAsia="Times New Roman" w:cs="Times New Roman"/>
          <w:color w:val="000000"/>
          <w:sz w:val="28"/>
          <w:szCs w:val="28"/>
        </w:rPr>
      </w:pPr>
    </w:p>
    <w:tbl>
      <w:tblPr>
        <w:tblStyle w:val="74"/>
        <w:tblW w:w="1024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344"/>
        <w:gridCol w:w="79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344"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Рокошевська Віра Вікторівна</w:t>
            </w:r>
          </w:p>
        </w:tc>
        <w:tc>
          <w:tcPr>
            <w:tcW w:w="7905"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завідувач кафедри фізичної терапії та ерготерапії  Українськ</w:t>
            </w:r>
            <w:r>
              <w:rPr>
                <w:rFonts w:hint="default" w:ascii="Times New Roman" w:hAnsi="Times New Roman" w:eastAsia="Times New Roman" w:cs="Times New Roman"/>
                <w:sz w:val="28"/>
                <w:szCs w:val="28"/>
                <w:lang w:val="uk-UA"/>
              </w:rPr>
              <w:t>ого</w:t>
            </w:r>
            <w:r>
              <w:rPr>
                <w:rFonts w:hint="default" w:ascii="Times New Roman" w:hAnsi="Times New Roman" w:eastAsia="Times New Roman" w:cs="Times New Roman"/>
                <w:sz w:val="28"/>
                <w:szCs w:val="28"/>
              </w:rPr>
              <w:t xml:space="preserve"> Католицьк</w:t>
            </w:r>
            <w:r>
              <w:rPr>
                <w:rFonts w:hint="default" w:ascii="Times New Roman" w:hAnsi="Times New Roman" w:eastAsia="Times New Roman" w:cs="Times New Roman"/>
                <w:sz w:val="28"/>
                <w:szCs w:val="28"/>
                <w:lang w:val="uk-UA"/>
              </w:rPr>
              <w:t>ого</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uk-UA"/>
              </w:rPr>
              <w:t>у</w:t>
            </w:r>
            <w:r>
              <w:rPr>
                <w:rFonts w:hint="default" w:ascii="Times New Roman" w:hAnsi="Times New Roman" w:eastAsia="Times New Roman" w:cs="Times New Roman"/>
                <w:sz w:val="28"/>
                <w:szCs w:val="28"/>
              </w:rPr>
              <w:t>ніверситет</w:t>
            </w:r>
            <w:r>
              <w:rPr>
                <w:rFonts w:hint="default" w:ascii="Times New Roman" w:hAnsi="Times New Roman" w:eastAsia="Times New Roman" w:cs="Times New Roman"/>
                <w:sz w:val="28"/>
                <w:szCs w:val="28"/>
                <w:lang w:val="uk-UA"/>
              </w:rPr>
              <w:t>у</w:t>
            </w:r>
            <w:r>
              <w:rPr>
                <w:rFonts w:hint="default" w:ascii="Times New Roman" w:hAnsi="Times New Roman" w:eastAsia="Times New Roman" w:cs="Times New Roman"/>
                <w:sz w:val="28"/>
                <w:szCs w:val="28"/>
              </w:rPr>
              <w:t xml:space="preserve">, доцент, кандидат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344" w:type="dxa"/>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Єжова Ольга Олександрівна</w:t>
            </w:r>
          </w:p>
        </w:tc>
        <w:tc>
          <w:tcPr>
            <w:tcW w:w="7905" w:type="dxa"/>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професор кафедри фізичної терапії, ерготерапії та спортивної медицини Сумського державного університету; доктор педагогічних наук, професор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344" w:type="dxa"/>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Ціж Любов Михайлівна</w:t>
            </w:r>
          </w:p>
        </w:tc>
        <w:tc>
          <w:tcPr>
            <w:tcW w:w="7905" w:type="dxa"/>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lang w:val="ru-RU"/>
              </w:rPr>
            </w:pPr>
            <w:r>
              <w:rPr>
                <w:rFonts w:hint="default" w:ascii="Times New Roman" w:hAnsi="Times New Roman" w:eastAsia="Times New Roman" w:cs="Times New Roman"/>
                <w:sz w:val="28"/>
                <w:szCs w:val="28"/>
              </w:rPr>
              <w:t>в.о. завідувач</w:t>
            </w:r>
            <w:r>
              <w:rPr>
                <w:rFonts w:hint="default" w:ascii="Times New Roman" w:hAnsi="Times New Roman" w:eastAsia="Times New Roman" w:cs="Times New Roman"/>
                <w:sz w:val="28"/>
                <w:szCs w:val="28"/>
                <w:lang w:val="uk-UA"/>
              </w:rPr>
              <w:t>а</w:t>
            </w:r>
            <w:r>
              <w:rPr>
                <w:rFonts w:hint="default" w:ascii="Times New Roman" w:hAnsi="Times New Roman" w:eastAsia="Times New Roman" w:cs="Times New Roman"/>
                <w:sz w:val="28"/>
                <w:szCs w:val="28"/>
              </w:rPr>
              <w:t xml:space="preserve"> кафедри терапії та реабілітації Львівського державного університету фізичної культури ім. Івана Боберського, доцент, кандидат наук з фізичного виховання та спорту</w:t>
            </w:r>
            <w:r>
              <w:rPr>
                <w:rFonts w:hint="default" w:ascii="Times New Roman" w:hAnsi="Times New Roman" w:eastAsia="Times New Roman" w:cs="Times New Roman"/>
                <w:sz w:val="28"/>
                <w:szCs w:val="28"/>
                <w:lang w:val="uk-UA"/>
              </w:rPr>
              <w:t>,</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uk-UA"/>
              </w:rPr>
              <w:t>ч</w:t>
            </w:r>
            <w:r>
              <w:rPr>
                <w:rFonts w:hint="default" w:ascii="Times New Roman" w:hAnsi="Times New Roman" w:eastAsia="Times New Roman" w:cs="Times New Roman"/>
                <w:sz w:val="28"/>
                <w:szCs w:val="28"/>
              </w:rPr>
              <w:t xml:space="preserve">лен </w:t>
            </w:r>
            <w:r>
              <w:rPr>
                <w:rFonts w:hint="default" w:ascii="Times New Roman" w:hAnsi="Times New Roman" w:eastAsia="Times New Roman" w:cs="Times New Roman"/>
                <w:sz w:val="28"/>
                <w:szCs w:val="28"/>
                <w:lang w:val="uk-UA"/>
              </w:rPr>
              <w:t>Громадської організації</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ru-RU"/>
              </w:rPr>
              <w:t>«</w:t>
            </w:r>
            <w:r>
              <w:rPr>
                <w:rFonts w:hint="default" w:ascii="Times New Roman" w:hAnsi="Times New Roman" w:eastAsia="Times New Roman" w:cs="Times New Roman"/>
                <w:sz w:val="28"/>
                <w:szCs w:val="28"/>
              </w:rPr>
              <w:t>Всеукраїнське об'єднання фізичних терапевтів</w:t>
            </w:r>
            <w:r>
              <w:rPr>
                <w:rFonts w:hint="default" w:ascii="Times New Roman" w:hAnsi="Times New Roman" w:eastAsia="Times New Roman" w:cs="Times New Roman"/>
                <w:sz w:val="28"/>
                <w:szCs w:val="28"/>
                <w:lang w:val="ru-RU"/>
              </w:rPr>
              <w:t>»</w:t>
            </w:r>
          </w:p>
        </w:tc>
      </w:tr>
    </w:tbl>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Фахову експертизу здійснювали:</w:t>
      </w: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firstLine="539"/>
        <w:jc w:val="both"/>
        <w:textAlignment w:val="auto"/>
        <w:rPr>
          <w:rFonts w:hint="default" w:ascii="Times New Roman" w:hAnsi="Times New Roman" w:eastAsia="Times New Roman" w:cs="Times New Roman"/>
          <w:sz w:val="28"/>
          <w:szCs w:val="28"/>
        </w:rPr>
      </w:pPr>
    </w:p>
    <w:tbl>
      <w:tblPr>
        <w:tblStyle w:val="75"/>
        <w:tblW w:w="1026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657"/>
        <w:gridCol w:w="3148"/>
        <w:gridCol w:w="646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90" w:hRule="atLeast"/>
        </w:trPr>
        <w:tc>
          <w:tcPr>
            <w:tcW w:w="657"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rPr>
            </w:pPr>
            <w:r>
              <w:rPr>
                <w:rFonts w:hint="default" w:ascii="Times New Roman" w:hAnsi="Times New Roman" w:eastAsia="Times New Roman" w:cs="Times New Roman"/>
                <w:sz w:val="26"/>
                <w:szCs w:val="26"/>
              </w:rPr>
              <w:t>1</w:t>
            </w:r>
          </w:p>
        </w:tc>
        <w:tc>
          <w:tcPr>
            <w:tcW w:w="3148"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rPr>
            </w:pPr>
          </w:p>
        </w:tc>
        <w:tc>
          <w:tcPr>
            <w:tcW w:w="6462"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190" w:hRule="atLeast"/>
        </w:trPr>
        <w:tc>
          <w:tcPr>
            <w:tcW w:w="657"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rPr>
            </w:pPr>
            <w:r>
              <w:rPr>
                <w:rFonts w:hint="default" w:ascii="Times New Roman" w:hAnsi="Times New Roman" w:eastAsia="Times New Roman" w:cs="Times New Roman"/>
                <w:sz w:val="26"/>
                <w:szCs w:val="26"/>
              </w:rPr>
              <w:t>2</w:t>
            </w:r>
          </w:p>
        </w:tc>
        <w:tc>
          <w:tcPr>
            <w:tcW w:w="3148" w:type="dxa"/>
            <w:tcBorders>
              <w:top w:val="nil"/>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rPr>
            </w:pPr>
          </w:p>
        </w:tc>
        <w:tc>
          <w:tcPr>
            <w:tcW w:w="6462" w:type="dxa"/>
            <w:tcBorders>
              <w:top w:val="nil"/>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highlight w:val="whit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90" w:hRule="atLeast"/>
        </w:trPr>
        <w:tc>
          <w:tcPr>
            <w:tcW w:w="657"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rPr>
            </w:pPr>
            <w:r>
              <w:rPr>
                <w:rFonts w:hint="default" w:ascii="Times New Roman" w:hAnsi="Times New Roman" w:eastAsia="Times New Roman" w:cs="Times New Roman"/>
                <w:sz w:val="26"/>
                <w:szCs w:val="26"/>
              </w:rPr>
              <w:t>3</w:t>
            </w:r>
          </w:p>
        </w:tc>
        <w:tc>
          <w:tcPr>
            <w:tcW w:w="3148" w:type="dxa"/>
            <w:tcBorders>
              <w:top w:val="nil"/>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rPr>
            </w:pPr>
          </w:p>
        </w:tc>
        <w:tc>
          <w:tcPr>
            <w:tcW w:w="6462" w:type="dxa"/>
            <w:tcBorders>
              <w:top w:val="nil"/>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6"/>
                <w:szCs w:val="26"/>
                <w:highlight w:val="white"/>
              </w:rPr>
            </w:pPr>
          </w:p>
        </w:tc>
      </w:tr>
    </w:tbl>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firstLine="539"/>
        <w:jc w:val="both"/>
        <w:textAlignment w:val="auto"/>
        <w:rPr>
          <w:rFonts w:hint="default" w:ascii="Times New Roman" w:hAnsi="Times New Roman" w:eastAsia="Times New Roman" w:cs="Times New Roman"/>
          <w:sz w:val="28"/>
          <w:szCs w:val="28"/>
        </w:rPr>
      </w:pP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firstLine="539"/>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color w:val="000000"/>
          <w:sz w:val="28"/>
          <w:szCs w:val="28"/>
        </w:rPr>
        <w:t>Методичну експертизу здійснювали:</w:t>
      </w: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firstLine="539"/>
        <w:jc w:val="both"/>
        <w:textAlignment w:val="auto"/>
        <w:rPr>
          <w:rFonts w:hint="default" w:ascii="Times New Roman" w:hAnsi="Times New Roman" w:eastAsia="Times New Roman" w:cs="Times New Roman"/>
          <w:sz w:val="28"/>
          <w:szCs w:val="28"/>
        </w:rPr>
      </w:pP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Враховані пропозиції галузевих державних органів і галузевих об’єднань організацій роботодавців:</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color w:val="000000"/>
          <w:sz w:val="28"/>
          <w:szCs w:val="28"/>
          <w:lang w:val="ru-RU"/>
        </w:rPr>
      </w:pPr>
      <w:r>
        <w:rPr>
          <w:rFonts w:hint="default" w:ascii="Times New Roman" w:hAnsi="Times New Roman" w:eastAsia="Times New Roman" w:cs="Times New Roman"/>
          <w:color w:val="000000"/>
          <w:sz w:val="28"/>
          <w:szCs w:val="28"/>
          <w:lang w:val="uk-UA"/>
        </w:rPr>
        <w:t>Громадської організації</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color w:val="000000"/>
          <w:sz w:val="28"/>
          <w:szCs w:val="28"/>
        </w:rPr>
        <w:t xml:space="preserve"> </w:t>
      </w:r>
      <w:r>
        <w:rPr>
          <w:rFonts w:hint="default" w:ascii="Times New Roman" w:hAnsi="Times New Roman" w:eastAsia="Times New Roman" w:cs="Times New Roman"/>
          <w:sz w:val="28"/>
          <w:szCs w:val="28"/>
        </w:rPr>
        <w:t>«</w:t>
      </w:r>
      <w:r>
        <w:rPr>
          <w:rFonts w:hint="default" w:ascii="Times New Roman" w:hAnsi="Times New Roman" w:eastAsia="Times New Roman" w:cs="Times New Roman"/>
          <w:color w:val="000000"/>
          <w:sz w:val="28"/>
          <w:szCs w:val="28"/>
        </w:rPr>
        <w:t>Українська Асоціація фізичної терапії</w:t>
      </w:r>
      <w:r>
        <w:rPr>
          <w:rFonts w:hint="default" w:ascii="Times New Roman" w:hAnsi="Times New Roman" w:eastAsia="Times New Roman" w:cs="Times New Roman"/>
          <w:color w:val="000000"/>
          <w:sz w:val="28"/>
          <w:szCs w:val="28"/>
          <w:lang w:val="ru-RU"/>
        </w:rPr>
        <w:t>»</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color w:val="000000"/>
          <w:sz w:val="28"/>
          <w:szCs w:val="28"/>
          <w:lang w:val="uk-UA"/>
        </w:rPr>
        <w:t>Громадської організації</w:t>
      </w:r>
      <w:r>
        <w:rPr>
          <w:rFonts w:hint="default" w:ascii="Times New Roman" w:hAnsi="Times New Roman" w:eastAsia="Times New Roman" w:cs="Times New Roman"/>
          <w:sz w:val="28"/>
          <w:szCs w:val="28"/>
        </w:rPr>
        <w:t xml:space="preserve"> «Всеукраїнське об’єднання фізичних терапевтів»</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Стандарт розглянуто та схвалено на засіданні робочої групи підкомісії 227 Фізична терапія, ерготерапія науково-методичної комісії галузі знань 22 Охорона здоров’я від 14 травня 2024 р., протокол № 14</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highlight w:val="none"/>
        </w:rPr>
      </w:pPr>
    </w:p>
    <w:p>
      <w:pPr>
        <w:tabs>
          <w:tab w:val="left" w:pos="709"/>
        </w:tabs>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highlight w:val="none"/>
        </w:rPr>
      </w:pPr>
      <w:r>
        <w:rPr>
          <w:rFonts w:hint="default" w:ascii="Times New Roman" w:hAnsi="Times New Roman" w:eastAsia="Times New Roman" w:cs="Times New Roman"/>
          <w:sz w:val="28"/>
          <w:szCs w:val="28"/>
          <w:highlight w:val="none"/>
        </w:rPr>
        <w:t xml:space="preserve">Стандарт розглянуто та схвалено на засіданні сектору вищої освіти Науково-методичної ради Міністерства освіти і науки України від </w:t>
      </w:r>
      <w:r>
        <w:rPr>
          <w:rFonts w:hint="default" w:ascii="Times New Roman" w:hAnsi="Times New Roman" w:eastAsia="Times New Roman" w:cs="Times New Roman"/>
          <w:sz w:val="28"/>
          <w:szCs w:val="28"/>
          <w:highlight w:val="none"/>
          <w:lang w:val="ru-RU"/>
        </w:rPr>
        <w:t>____</w:t>
      </w:r>
      <w:r>
        <w:rPr>
          <w:rFonts w:hint="default" w:ascii="Times New Roman" w:hAnsi="Times New Roman" w:eastAsia="Times New Roman" w:cs="Times New Roman"/>
          <w:sz w:val="28"/>
          <w:szCs w:val="28"/>
          <w:highlight w:val="none"/>
        </w:rPr>
        <w:t xml:space="preserve"> травня 2024 р., протокол № ….</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highlight w:val="none"/>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highlight w:val="none"/>
        </w:rPr>
      </w:pPr>
      <w:r>
        <w:rPr>
          <w:rFonts w:hint="default" w:ascii="Times New Roman" w:hAnsi="Times New Roman" w:eastAsia="Times New Roman" w:cs="Times New Roman"/>
          <w:sz w:val="28"/>
          <w:szCs w:val="28"/>
          <w:highlight w:val="none"/>
        </w:rPr>
        <w:t>Стандарт розглянуто Міністерством охорони здоров’я України та Федерацією роботодавців України.</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highlight w:val="none"/>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b/>
          <w:sz w:val="28"/>
          <w:szCs w:val="28"/>
          <w:highlight w:val="none"/>
        </w:rPr>
      </w:pPr>
      <w:r>
        <w:rPr>
          <w:rFonts w:hint="default" w:ascii="Times New Roman" w:hAnsi="Times New Roman" w:eastAsia="Times New Roman" w:cs="Times New Roman"/>
          <w:sz w:val="28"/>
          <w:szCs w:val="28"/>
          <w:highlight w:val="none"/>
        </w:rPr>
        <w:t>Стандарт погоджено Національним агентством із забезпечення якості вищої освіти від  ….. ……………. 2024 р., протокол № …</w:t>
      </w:r>
    </w:p>
    <w:p>
      <w:pPr>
        <w:kinsoku/>
        <w:wordWrap/>
        <w:overflowPunct/>
        <w:topLinePunct w:val="0"/>
        <w:autoSpaceDE/>
        <w:autoSpaceDN/>
        <w:bidi w:val="0"/>
        <w:adjustRightInd/>
        <w:snapToGrid/>
        <w:spacing w:after="0" w:line="240" w:lineRule="auto"/>
        <w:ind w:left="0" w:right="0" w:firstLine="539"/>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IІ Загальна характеристика</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p>
    <w:tbl>
      <w:tblPr>
        <w:tblStyle w:val="76"/>
        <w:tblW w:w="10131" w:type="dxa"/>
        <w:tblInd w:w="-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2524"/>
        <w:gridCol w:w="76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Рівень вищої освіти</w:t>
            </w:r>
          </w:p>
        </w:tc>
        <w:tc>
          <w:tcPr>
            <w:tcW w:w="7607" w:type="dxa"/>
            <w:vAlign w:val="center"/>
          </w:tcPr>
          <w:p>
            <w:pPr>
              <w:pBdr>
                <w:top w:val="none" w:color="auto" w:sz="0" w:space="0"/>
                <w:left w:val="none" w:color="auto" w:sz="0" w:space="0"/>
                <w:bottom w:val="none" w:color="auto" w:sz="0" w:space="0"/>
                <w:right w:val="none" w:color="auto" w:sz="0" w:space="0"/>
                <w:between w:val="none" w:color="auto" w:sz="0" w:space="0"/>
              </w:pBdr>
              <w:shd w:val="clear" w:color="auto" w:fill="FFFFFF"/>
              <w:tabs>
                <w:tab w:val="left" w:pos="541"/>
              </w:tabs>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Перший (бакалаврський) рівень</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Ступінь вищої освіти</w:t>
            </w:r>
          </w:p>
        </w:tc>
        <w:tc>
          <w:tcPr>
            <w:tcW w:w="7607"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бакалавр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Галузь знань</w:t>
            </w:r>
          </w:p>
        </w:tc>
        <w:tc>
          <w:tcPr>
            <w:tcW w:w="7607"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22 Охорона здоров’я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Спеціальність</w:t>
            </w:r>
          </w:p>
        </w:tc>
        <w:tc>
          <w:tcPr>
            <w:tcW w:w="7607"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227 Терапія  та реабілітація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 xml:space="preserve">Спеціалізація </w:t>
            </w:r>
          </w:p>
        </w:tc>
        <w:tc>
          <w:tcPr>
            <w:tcW w:w="7607"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227.01 Фізична терапія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vAlign w:val="center"/>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Форми здобуття освіти</w:t>
            </w:r>
          </w:p>
        </w:tc>
        <w:tc>
          <w:tcPr>
            <w:tcW w:w="7607"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trike/>
                <w:sz w:val="28"/>
                <w:szCs w:val="28"/>
              </w:rPr>
            </w:pPr>
            <w:r>
              <w:rPr>
                <w:rFonts w:hint="default" w:ascii="Times New Roman" w:hAnsi="Times New Roman" w:eastAsia="Times New Roman" w:cs="Times New Roman"/>
                <w:sz w:val="28"/>
                <w:szCs w:val="28"/>
              </w:rPr>
              <w:t xml:space="preserve">Денна очна, дуальна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Освітня кваліфікація</w:t>
            </w:r>
          </w:p>
        </w:tc>
        <w:tc>
          <w:tcPr>
            <w:tcW w:w="7607"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sz w:val="28"/>
                <w:szCs w:val="28"/>
              </w:rPr>
              <w:t>бакалавр терапії  та реабілітації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Кваліфікація в дипломі</w:t>
            </w:r>
          </w:p>
        </w:tc>
        <w:tc>
          <w:tcPr>
            <w:tcW w:w="7607" w:type="dxa"/>
            <w:vAlign w:val="center"/>
          </w:tcPr>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ступінь вищої освіти Бакалавр</w:t>
            </w: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спеціальність Терапія та реабілітація, спеціалізація 227.01 Фізична терапія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1"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Опис предметної області</w:t>
            </w:r>
          </w:p>
        </w:tc>
        <w:tc>
          <w:tcPr>
            <w:tcW w:w="7607"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b/>
                <w:sz w:val="28"/>
                <w:szCs w:val="28"/>
              </w:rPr>
              <w:t>Об’єкти вивчення та діяльності:</w:t>
            </w:r>
            <w:r>
              <w:rPr>
                <w:rFonts w:hint="default" w:ascii="Times New Roman" w:hAnsi="Times New Roman" w:eastAsia="Times New Roman" w:cs="Times New Roman"/>
                <w:sz w:val="28"/>
                <w:szCs w:val="28"/>
              </w:rPr>
              <w:t xml:space="preserve"> порушення рухових та пов’язаних з ними функції, що забезпечують </w:t>
            </w:r>
            <w:r>
              <w:rPr>
                <w:rFonts w:hint="default" w:ascii="Times New Roman" w:hAnsi="Times New Roman" w:eastAsia="Times New Roman" w:cs="Times New Roman"/>
                <w:color w:val="000000"/>
                <w:sz w:val="28"/>
                <w:szCs w:val="28"/>
              </w:rPr>
              <w:t>активність та участь особи,</w:t>
            </w:r>
            <w:r>
              <w:rPr>
                <w:rFonts w:hint="default" w:ascii="Times New Roman" w:hAnsi="Times New Roman" w:eastAsia="Times New Roman" w:cs="Times New Roman"/>
                <w:sz w:val="28"/>
                <w:szCs w:val="28"/>
              </w:rPr>
              <w:t xml:space="preserve"> оптимізація функціонування </w:t>
            </w:r>
            <w:r>
              <w:rPr>
                <w:rFonts w:hint="default" w:ascii="Times New Roman" w:hAnsi="Times New Roman" w:eastAsia="Times New Roman" w:cs="Times New Roman"/>
                <w:color w:val="000000"/>
                <w:sz w:val="28"/>
                <w:szCs w:val="28"/>
              </w:rPr>
              <w:t>відповідно до бажань і потреб людини.</w:t>
            </w:r>
          </w:p>
          <w:p>
            <w:pPr>
              <w:pBdr>
                <w:top w:val="none" w:color="auto" w:sz="0" w:space="0"/>
                <w:left w:val="none" w:color="auto" w:sz="0" w:space="0"/>
                <w:bottom w:val="none" w:color="auto" w:sz="0" w:space="0"/>
                <w:right w:val="none" w:color="auto" w:sz="0" w:space="0"/>
                <w:between w:val="none" w:color="auto" w:sz="0" w:space="0"/>
              </w:pBdr>
              <w:shd w:val="clear" w:color="auto" w:fill="FFFFFF"/>
              <w:tabs>
                <w:tab w:val="left" w:pos="459"/>
              </w:tabs>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b/>
                <w:color w:val="000000"/>
                <w:sz w:val="28"/>
                <w:szCs w:val="28"/>
              </w:rPr>
              <w:t xml:space="preserve">Цілі навчання: </w:t>
            </w:r>
            <w:r>
              <w:rPr>
                <w:rFonts w:hint="default" w:ascii="Times New Roman" w:hAnsi="Times New Roman" w:eastAsia="Times New Roman" w:cs="Times New Roman"/>
                <w:color w:val="000000"/>
                <w:sz w:val="28"/>
                <w:szCs w:val="28"/>
              </w:rPr>
              <w:t xml:space="preserve">реалізація індивідуальної програми фізичної терапії, або компонентів індивідуального реабілітаційного плану, </w:t>
            </w:r>
            <w:r>
              <w:rPr>
                <w:rFonts w:hint="default" w:ascii="Times New Roman" w:hAnsi="Times New Roman" w:eastAsia="Times New Roman" w:cs="Times New Roman"/>
                <w:sz w:val="28"/>
                <w:szCs w:val="28"/>
              </w:rPr>
              <w:t>що</w:t>
            </w:r>
            <w:r>
              <w:rPr>
                <w:rFonts w:hint="default" w:ascii="Times New Roman" w:hAnsi="Times New Roman" w:eastAsia="Times New Roman" w:cs="Times New Roman"/>
                <w:color w:val="000000"/>
                <w:sz w:val="28"/>
                <w:szCs w:val="28"/>
              </w:rPr>
              <w:t xml:space="preserve"> стосуються фізичної терапії, з метою покращенн</w:t>
            </w:r>
            <w:r>
              <w:rPr>
                <w:rFonts w:hint="default" w:ascii="Times New Roman" w:hAnsi="Times New Roman" w:eastAsia="Times New Roman" w:cs="Times New Roman"/>
                <w:sz w:val="28"/>
                <w:szCs w:val="28"/>
              </w:rPr>
              <w:t xml:space="preserve">я стану </w:t>
            </w:r>
            <w:r>
              <w:rPr>
                <w:rFonts w:hint="default" w:ascii="Times New Roman" w:hAnsi="Times New Roman" w:eastAsia="Times New Roman" w:cs="Times New Roman"/>
                <w:color w:val="000000"/>
                <w:sz w:val="28"/>
                <w:szCs w:val="28"/>
              </w:rPr>
              <w:t xml:space="preserve">здоров’я осіб різних вікових, нозологічних та професійних груп, </w:t>
            </w:r>
            <w:r>
              <w:rPr>
                <w:rFonts w:hint="default" w:ascii="Times New Roman" w:hAnsi="Times New Roman" w:eastAsia="Times New Roman" w:cs="Times New Roman"/>
                <w:sz w:val="28"/>
                <w:szCs w:val="28"/>
              </w:rPr>
              <w:t>методів обстеження і контролю.</w:t>
            </w:r>
          </w:p>
          <w:p>
            <w:pPr>
              <w:pBdr>
                <w:top w:val="none" w:color="auto" w:sz="0" w:space="0"/>
                <w:left w:val="none" w:color="auto" w:sz="0" w:space="0"/>
                <w:bottom w:val="none" w:color="auto" w:sz="0" w:space="0"/>
                <w:right w:val="none" w:color="auto" w:sz="0" w:space="0"/>
                <w:between w:val="none" w:color="auto" w:sz="0" w:space="0"/>
              </w:pBdr>
              <w:shd w:val="clear" w:color="auto" w:fill="FFFFFF"/>
              <w:tabs>
                <w:tab w:val="left" w:pos="459"/>
              </w:tabs>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b/>
                <w:color w:val="000000"/>
                <w:sz w:val="28"/>
                <w:szCs w:val="28"/>
              </w:rPr>
              <w:t xml:space="preserve">Теоретичний зміст предметної області: </w:t>
            </w:r>
            <w:r>
              <w:rPr>
                <w:rFonts w:hint="default" w:ascii="Times New Roman" w:hAnsi="Times New Roman" w:eastAsia="Times New Roman" w:cs="Times New Roman"/>
                <w:color w:val="000000"/>
                <w:sz w:val="28"/>
                <w:szCs w:val="28"/>
              </w:rPr>
              <w:t xml:space="preserve">знання: медико-біологічних, психолого-педагогічних, соціальних основ фізичної терапії; сфери та складників діяльності фізичного терапевта; законодавчої бази; етичного кодексу фізичного терапевта, безпечного провадження професійної діяльності; </w:t>
            </w:r>
            <w:r>
              <w:rPr>
                <w:rFonts w:hint="default" w:ascii="Times New Roman" w:hAnsi="Times New Roman" w:eastAsia="Times New Roman" w:cs="Times New Roman"/>
                <w:sz w:val="28"/>
                <w:szCs w:val="28"/>
              </w:rPr>
              <w:t>основ ділового та професійного спілкування державною та іноземною(ими) мовами</w:t>
            </w:r>
            <w:r>
              <w:rPr>
                <w:rFonts w:hint="default" w:ascii="Times New Roman" w:hAnsi="Times New Roman" w:eastAsia="Times New Roman" w:cs="Times New Roman"/>
                <w:color w:val="000000"/>
                <w:sz w:val="28"/>
                <w:szCs w:val="28"/>
              </w:rPr>
              <w:t>.</w:t>
            </w: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b/>
                <w:color w:val="000000"/>
                <w:sz w:val="28"/>
                <w:szCs w:val="28"/>
              </w:rPr>
              <w:t xml:space="preserve">Методи, методики та технології: </w:t>
            </w:r>
            <w:r>
              <w:rPr>
                <w:rFonts w:hint="default" w:ascii="Times New Roman" w:hAnsi="Times New Roman" w:eastAsia="Times New Roman" w:cs="Times New Roman"/>
                <w:color w:val="000000"/>
                <w:sz w:val="28"/>
                <w:szCs w:val="28"/>
              </w:rPr>
              <w:t xml:space="preserve">спостереження, опитування, тестування </w:t>
            </w:r>
            <w:r>
              <w:rPr>
                <w:rFonts w:hint="default" w:ascii="Times New Roman" w:hAnsi="Times New Roman" w:eastAsia="Times New Roman" w:cs="Times New Roman"/>
                <w:sz w:val="28"/>
                <w:szCs w:val="28"/>
              </w:rPr>
              <w:t>та</w:t>
            </w:r>
            <w:r>
              <w:rPr>
                <w:rFonts w:hint="default" w:ascii="Times New Roman" w:hAnsi="Times New Roman" w:eastAsia="Times New Roman" w:cs="Times New Roman"/>
                <w:color w:val="000000"/>
                <w:sz w:val="28"/>
                <w:szCs w:val="28"/>
              </w:rPr>
              <w:t xml:space="preserve"> вимірювання,</w:t>
            </w:r>
            <w:r>
              <w:rPr>
                <w:rFonts w:hint="default" w:ascii="Times New Roman" w:hAnsi="Times New Roman" w:eastAsia="Times New Roman" w:cs="Times New Roman"/>
                <w:sz w:val="28"/>
                <w:szCs w:val="28"/>
              </w:rPr>
              <w:t xml:space="preserve">  контролю </w:t>
            </w:r>
            <w:r>
              <w:rPr>
                <w:rFonts w:hint="default" w:ascii="Times New Roman" w:hAnsi="Times New Roman" w:eastAsia="Times New Roman" w:cs="Times New Roman"/>
                <w:color w:val="000000"/>
                <w:sz w:val="28"/>
                <w:szCs w:val="28"/>
              </w:rPr>
              <w:t xml:space="preserve"> у фізичній терапії; обробки інформації; реалізації заходів фізичної терапії; вербального і невербального спілкування</w:t>
            </w:r>
            <w:r>
              <w:rPr>
                <w:rFonts w:hint="default" w:ascii="Times New Roman" w:hAnsi="Times New Roman" w:eastAsia="Times New Roman" w:cs="Times New Roman"/>
                <w:sz w:val="28"/>
                <w:szCs w:val="28"/>
              </w:rPr>
              <w:t>.</w:t>
            </w:r>
            <w:r>
              <w:rPr>
                <w:rFonts w:hint="default" w:ascii="Times New Roman" w:hAnsi="Times New Roman" w:eastAsia="Times New Roman" w:cs="Times New Roman"/>
                <w:color w:val="000000"/>
                <w:sz w:val="28"/>
                <w:szCs w:val="28"/>
              </w:rPr>
              <w:t xml:space="preserve"> </w:t>
            </w:r>
          </w:p>
          <w:p>
            <w:pPr>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b/>
                <w:color w:val="000000"/>
                <w:sz w:val="28"/>
                <w:szCs w:val="28"/>
              </w:rPr>
              <w:t>Інструм</w:t>
            </w:r>
            <w:r>
              <w:rPr>
                <w:rFonts w:hint="default" w:ascii="Times New Roman" w:hAnsi="Times New Roman" w:eastAsia="Times New Roman" w:cs="Times New Roman"/>
                <w:b/>
                <w:color w:val="000000"/>
                <w:sz w:val="28"/>
                <w:szCs w:val="28"/>
                <w:lang w:val="uk-UA"/>
              </w:rPr>
              <w:t>е</w:t>
            </w:r>
            <w:r>
              <w:rPr>
                <w:rFonts w:hint="default" w:ascii="Times New Roman" w:hAnsi="Times New Roman" w:eastAsia="Times New Roman" w:cs="Times New Roman"/>
                <w:b/>
                <w:color w:val="000000"/>
                <w:sz w:val="28"/>
                <w:szCs w:val="28"/>
              </w:rPr>
              <w:t>нти та обладнання</w:t>
            </w:r>
            <w:r>
              <w:rPr>
                <w:rFonts w:hint="default" w:ascii="Times New Roman" w:hAnsi="Times New Roman" w:eastAsia="Times New Roman" w:cs="Times New Roman"/>
                <w:color w:val="000000"/>
                <w:sz w:val="28"/>
                <w:szCs w:val="28"/>
              </w:rPr>
              <w:t xml:space="preserve"> для  тестування та вимірювання у фізичній терапії; проведення заходів  фізичної терапії; </w:t>
            </w:r>
            <w:r>
              <w:rPr>
                <w:rFonts w:hint="default" w:ascii="Times New Roman" w:hAnsi="Times New Roman" w:eastAsia="Times New Roman" w:cs="Times New Roman"/>
                <w:sz w:val="28"/>
                <w:szCs w:val="28"/>
              </w:rPr>
              <w:t xml:space="preserve">контролю основних життєвих показників пацієнта/клієнта; </w:t>
            </w:r>
            <w:r>
              <w:rPr>
                <w:rFonts w:hint="default" w:ascii="Times New Roman" w:hAnsi="Times New Roman" w:eastAsia="Times New Roman" w:cs="Times New Roman"/>
                <w:color w:val="000000"/>
                <w:sz w:val="28"/>
                <w:szCs w:val="28"/>
              </w:rPr>
              <w:t xml:space="preserve">допоміжні засоби пересування та самообслуговування.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553"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Академічні права випускників</w:t>
            </w:r>
          </w:p>
        </w:tc>
        <w:tc>
          <w:tcPr>
            <w:tcW w:w="7607"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Випускники мають право продовжити навчання на другому рівні вищої освіти та здобувати ступінь «магістр».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84" w:hRule="atLeast"/>
        </w:trPr>
        <w:tc>
          <w:tcPr>
            <w:tcW w:w="2524" w:type="dxa"/>
          </w:tcPr>
          <w:p>
            <w:pPr>
              <w:kinsoku/>
              <w:wordWrap/>
              <w:overflowPunct/>
              <w:topLinePunct w:val="0"/>
              <w:autoSpaceDE/>
              <w:autoSpaceDN/>
              <w:bidi w:val="0"/>
              <w:adjustRightInd/>
              <w:snapToGrid/>
              <w:spacing w:after="0" w:line="240" w:lineRule="auto"/>
              <w:ind w:left="0" w:right="0"/>
              <w:jc w:val="left"/>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Працевлаштування</w:t>
            </w:r>
          </w:p>
        </w:tc>
        <w:tc>
          <w:tcPr>
            <w:tcW w:w="7607"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ru-RU"/>
              </w:rPr>
              <w:t xml:space="preserve">На </w:t>
            </w:r>
            <w:r>
              <w:rPr>
                <w:rFonts w:hint="default" w:ascii="Times New Roman" w:hAnsi="Times New Roman" w:eastAsia="Times New Roman" w:cs="Times New Roman"/>
                <w:sz w:val="28"/>
                <w:szCs w:val="28"/>
              </w:rPr>
              <w:t>посаду асистента фізичного терапевта.</w:t>
            </w:r>
          </w:p>
        </w:tc>
      </w:tr>
    </w:tbl>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ІІІ Вимоги до рівня освіти осіб, які можуть розпочати навчання за освітньою програмою спеціальності 227 Терапія та реабілітація спеціалізації 227.01 Фізична терапія</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highlight w:val="green"/>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lang w:val="uk-UA"/>
        </w:rPr>
      </w:pPr>
      <w:r>
        <w:rPr>
          <w:rFonts w:hint="default" w:ascii="Times New Roman" w:hAnsi="Times New Roman" w:eastAsia="Times New Roman" w:cs="Times New Roman"/>
          <w:sz w:val="28"/>
          <w:szCs w:val="28"/>
        </w:rPr>
        <w:t>На навчання для здобуття освітнього ступеня бакалавра з терапії та реабілітації можуть вступати тільки особи, які мають повну загальну середню освіту чи освіту за спеціальностями 223 Медсестринство, 224 Технології медичної діагностики та лікування, 091 Біологія, 017 Фізична культура та спорт</w:t>
      </w:r>
      <w:r>
        <w:rPr>
          <w:rFonts w:hint="default" w:ascii="Times New Roman" w:hAnsi="Times New Roman" w:eastAsia="Times New Roman" w:cs="Times New Roman"/>
          <w:sz w:val="28"/>
          <w:szCs w:val="28"/>
          <w:lang w:val="uk-UA"/>
        </w:rPr>
        <w:t>.</w:t>
      </w:r>
    </w:p>
    <w:p>
      <w:pPr>
        <w:kinsoku/>
        <w:wordWrap/>
        <w:overflowPunct/>
        <w:topLinePunct w:val="0"/>
        <w:autoSpaceDE/>
        <w:autoSpaceDN/>
        <w:bidi w:val="0"/>
        <w:adjustRightInd/>
        <w:snapToGrid/>
        <w:spacing w:after="0" w:line="240" w:lineRule="auto"/>
        <w:ind w:left="0" w:leftChars="0" w:right="0" w:firstLine="440" w:firstLineChars="157"/>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lang w:val="uk-UA"/>
        </w:rPr>
      </w:pPr>
      <w:r>
        <w:rPr>
          <w:rFonts w:hint="default" w:ascii="Times New Roman" w:hAnsi="Times New Roman" w:eastAsia="Times New Roman" w:cs="Times New Roman"/>
          <w:b/>
          <w:sz w:val="28"/>
          <w:szCs w:val="28"/>
        </w:rPr>
        <w:t xml:space="preserve">ІV Обсяг кредитів ЄКТС, необхідний для здобуття </w:t>
      </w:r>
      <w:r>
        <w:rPr>
          <w:rFonts w:hint="default" w:ascii="Times New Roman" w:hAnsi="Times New Roman" w:eastAsia="Times New Roman" w:cs="Times New Roman"/>
          <w:b/>
          <w:sz w:val="28"/>
          <w:szCs w:val="28"/>
          <w:lang w:val="uk-UA"/>
        </w:rPr>
        <w:t>освітнього</w:t>
      </w:r>
      <w:r>
        <w:rPr>
          <w:rFonts w:hint="default" w:ascii="Times New Roman" w:hAnsi="Times New Roman" w:eastAsia="Times New Roman" w:cs="Times New Roman"/>
          <w:b/>
          <w:sz w:val="28"/>
          <w:szCs w:val="28"/>
        </w:rPr>
        <w:t xml:space="preserve"> ступеня </w:t>
      </w:r>
      <w:r>
        <w:rPr>
          <w:rFonts w:hint="default" w:ascii="Times New Roman" w:hAnsi="Times New Roman" w:eastAsia="Times New Roman" w:cs="Times New Roman"/>
          <w:b/>
          <w:sz w:val="28"/>
          <w:szCs w:val="28"/>
          <w:lang w:val="uk-UA"/>
        </w:rPr>
        <w:t>бакалавра</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Обсяг освітньої програми бакалавра Терапії та реабілітації спеціалізації 227.01 Фізична терапія на базі повної загальної середньої освіти складає 240 кредитів ЄКТС. </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90% обсягу освітньої програми спрямовано на забезпечення загальних та спеціальних (фахових) компетентності за спеціальністю Терапія та реабілітація спеціалізації 227.01 Фізична терапія визначених у стандарті. Заклад вищої освіти (ЗВО) має право визнати та зарахувати кредити ЄКТС, отримані в межах попередньої освітньої програми підготовки молодшого бакалавра, молодшого фахового бакалавра, молодшого спеціаліста: за спеціальностями 223 Медсестринство, 224 Технології медичної діагностики та лікування, 091 Біологія та біохімія, 017 Фізична культура та спорт не більше, ніж 60 кредитів ЄКТС; </w:t>
      </w:r>
    </w:p>
    <w:p>
      <w:pPr>
        <w:kinsoku/>
        <w:wordWrap/>
        <w:overflowPunct/>
        <w:topLinePunct w:val="0"/>
        <w:autoSpaceDE/>
        <w:autoSpaceDN/>
        <w:bidi w:val="0"/>
        <w:adjustRightInd/>
        <w:snapToGrid/>
        <w:spacing w:after="0" w:line="240" w:lineRule="auto"/>
        <w:ind w:left="0" w:leftChars="0" w:right="0" w:firstLine="439" w:firstLineChars="157"/>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color w:val="000000"/>
          <w:sz w:val="28"/>
          <w:szCs w:val="28"/>
        </w:rPr>
        <w:t xml:space="preserve">V Перелік компетентностей випускника </w:t>
      </w:r>
      <w:r>
        <w:rPr>
          <w:rFonts w:hint="default" w:ascii="Times New Roman" w:hAnsi="Times New Roman" w:eastAsia="Times New Roman" w:cs="Times New Roman"/>
          <w:b/>
          <w:sz w:val="28"/>
          <w:szCs w:val="28"/>
        </w:rPr>
        <w:t>за спеціальністю 227 Терапія та реабілітація спеціалізація 227.01 Фізична терапія</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color w:val="000000"/>
          <w:sz w:val="28"/>
          <w:szCs w:val="28"/>
        </w:rPr>
      </w:pPr>
    </w:p>
    <w:tbl>
      <w:tblPr>
        <w:tblStyle w:val="70"/>
        <w:tblW w:w="10166" w:type="dxa"/>
        <w:tblInd w:w="11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300"/>
        <w:gridCol w:w="78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300" w:type="dxa"/>
          </w:tcPr>
          <w:p>
            <w:pPr>
              <w:kinsoku/>
              <w:wordWrap/>
              <w:overflowPunct/>
              <w:topLinePunct w:val="0"/>
              <w:autoSpaceDE/>
              <w:autoSpaceDN/>
              <w:bidi w:val="0"/>
              <w:adjustRightInd/>
              <w:snapToGrid/>
              <w:spacing w:after="0" w:line="240" w:lineRule="auto"/>
              <w:ind w:left="0" w:leftChars="0" w:right="0" w:firstLine="0" w:firstLineChars="0"/>
              <w:jc w:val="both"/>
              <w:textAlignment w:val="auto"/>
              <w:rPr>
                <w:rFonts w:hint="default" w:ascii="Times New Roman" w:hAnsi="Times New Roman" w:eastAsia="Times New Roman" w:cs="Times New Roman"/>
                <w:b/>
                <w:bCs/>
                <w:color w:val="000000"/>
                <w:sz w:val="28"/>
                <w:szCs w:val="28"/>
              </w:rPr>
            </w:pPr>
            <w:r>
              <w:rPr>
                <w:rFonts w:hint="default" w:ascii="Times New Roman" w:hAnsi="Times New Roman" w:eastAsia="Times New Roman" w:cs="Times New Roman"/>
                <w:b/>
                <w:bCs/>
                <w:color w:val="000000"/>
                <w:sz w:val="28"/>
                <w:szCs w:val="28"/>
              </w:rPr>
              <w:t>Інтегральна компетентність</w:t>
            </w:r>
          </w:p>
          <w:p>
            <w:pPr>
              <w:kinsoku/>
              <w:wordWrap/>
              <w:overflowPunct/>
              <w:topLinePunct w:val="0"/>
              <w:autoSpaceDE/>
              <w:autoSpaceDN/>
              <w:bidi w:val="0"/>
              <w:adjustRightInd/>
              <w:snapToGrid/>
              <w:spacing w:after="0" w:line="240" w:lineRule="auto"/>
              <w:ind w:left="0" w:leftChars="0" w:right="0" w:firstLine="0" w:firstLineChars="0"/>
              <w:jc w:val="both"/>
              <w:textAlignment w:val="auto"/>
              <w:rPr>
                <w:rFonts w:hint="default" w:ascii="Times New Roman" w:hAnsi="Times New Roman" w:eastAsia="Times New Roman" w:cs="Times New Roman"/>
                <w:b/>
                <w:bCs/>
                <w:sz w:val="28"/>
                <w:szCs w:val="28"/>
              </w:rPr>
            </w:pPr>
          </w:p>
        </w:tc>
        <w:tc>
          <w:tcPr>
            <w:tcW w:w="7866"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highlight w:val="yellow"/>
              </w:rPr>
            </w:pPr>
            <w:r>
              <w:rPr>
                <w:rFonts w:hint="default" w:ascii="Times New Roman" w:hAnsi="Times New Roman" w:eastAsia="Times New Roman" w:cs="Times New Roman"/>
                <w:sz w:val="28"/>
                <w:szCs w:val="28"/>
                <w:lang w:val="uk-UA"/>
              </w:rPr>
              <w:t>Здатність</w:t>
            </w:r>
            <w:r>
              <w:rPr>
                <w:rFonts w:hint="default" w:ascii="Times New Roman" w:hAnsi="Times New Roman" w:eastAsia="Times New Roman" w:cs="Times New Roman"/>
                <w:sz w:val="28"/>
                <w:szCs w:val="28"/>
              </w:rPr>
              <w:t xml:space="preserve"> вирішувати складні спеціалізовані задачі і практичні проблеми у сфері професійної діяльності з відновлення  порушених рухових та пов’язаних з ними функцій  опорно-рухового апарату, нервової, серцево-судинної та дихальної систем,  які забезпечують активність та участь осіб різних вікових, нозологічних та професійних груп.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300" w:type="dxa"/>
          </w:tcPr>
          <w:p>
            <w:pPr>
              <w:kinsoku/>
              <w:wordWrap/>
              <w:overflowPunct/>
              <w:topLinePunct w:val="0"/>
              <w:autoSpaceDE/>
              <w:autoSpaceDN/>
              <w:bidi w:val="0"/>
              <w:adjustRightInd/>
              <w:snapToGrid/>
              <w:spacing w:after="0" w:line="240" w:lineRule="auto"/>
              <w:ind w:left="0" w:leftChars="0" w:right="0" w:firstLine="0" w:firstLineChars="0"/>
              <w:jc w:val="both"/>
              <w:textAlignment w:val="auto"/>
              <w:rPr>
                <w:rFonts w:hint="default" w:ascii="Times New Roman" w:hAnsi="Times New Roman" w:eastAsia="Times New Roman" w:cs="Times New Roman"/>
                <w:b/>
                <w:bCs/>
                <w:color w:val="000000"/>
                <w:sz w:val="28"/>
                <w:szCs w:val="28"/>
              </w:rPr>
            </w:pPr>
            <w:r>
              <w:rPr>
                <w:rFonts w:hint="default" w:ascii="Times New Roman" w:hAnsi="Times New Roman" w:eastAsia="Times New Roman" w:cs="Times New Roman"/>
                <w:b/>
                <w:bCs/>
                <w:color w:val="000000"/>
                <w:sz w:val="28"/>
                <w:szCs w:val="28"/>
              </w:rPr>
              <w:t>Загальні компетентності</w:t>
            </w:r>
          </w:p>
        </w:tc>
        <w:tc>
          <w:tcPr>
            <w:tcW w:w="7866"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ЗК 01. Здатність до абстрактного мислення, аналізу та синтезу.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ЗК 02. Здатність застосувати знання у практичних ситуаціях.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FF0000"/>
                <w:sz w:val="28"/>
                <w:szCs w:val="28"/>
              </w:rPr>
            </w:pPr>
            <w:r>
              <w:rPr>
                <w:rFonts w:hint="default" w:ascii="Times New Roman" w:hAnsi="Times New Roman" w:eastAsia="Times New Roman" w:cs="Times New Roman"/>
                <w:sz w:val="28"/>
                <w:szCs w:val="28"/>
              </w:rPr>
              <w:t xml:space="preserve">ЗК 03. Здатність до  розуміння предметної області та розуміння професійної діяльності.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ЗК 04. Здатність спілкуватися державною й іноземною (іноземними) мовами усно та письмово.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ЗК 05. Здатність використовувати цифрові, інформаційні та комунікаційні технології.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ЗК 06. Здатність навчатися, здійснювати безперервний особистий професійний розвиток</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ЗК 07. Здатність до міжособистісної взаємодії та роботи в команді.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ЗК 08. Здатність надавати домедичну допомогу під час виникнення невідкладних станів</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ЗК 09. Здатність реалізувати свої права і обов’язки як члена суспільства, усвідомлювати цінності громадянського суспільства та необхідність його сталого розвитку, верховенства права, прав і свобод людини і громадянина в Україні.</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ЗК 10. Здатність  зберігати та примножувати досягнення суспільства на основі розуміння історії та закономірностей розвитку предметної області, її місця у загальній системі знань, використовувати різні види та форми рухової активності для активного відпочинку та ведення здорового способу життя.</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ЗК 11. Здатність ухвалювати рішення та діяти, дотримуючись принципу неприпустимості корупції та будь-яких інших проявів недоброчесності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300" w:type="dxa"/>
          </w:tcPr>
          <w:p>
            <w:pPr>
              <w:kinsoku/>
              <w:wordWrap/>
              <w:overflowPunct/>
              <w:topLinePunct w:val="0"/>
              <w:autoSpaceDE/>
              <w:autoSpaceDN/>
              <w:bidi w:val="0"/>
              <w:adjustRightInd/>
              <w:snapToGrid/>
              <w:spacing w:after="0" w:line="240" w:lineRule="auto"/>
              <w:ind w:left="0" w:leftChars="0" w:right="0" w:firstLine="0" w:firstLineChars="0"/>
              <w:jc w:val="both"/>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Спеціальні (фахові, предметні) компетентності</w:t>
            </w:r>
          </w:p>
        </w:tc>
        <w:tc>
          <w:tcPr>
            <w:tcW w:w="7866"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СК 01. Здатність аналізувати будову, нормальний та індивідуальний розвиток людського організму та його рухові і пов’язані з ними функції, що забезпечують активність і участь особи.</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СК 02. Здатність розуміти медико-біологічні, психолого-педагогічні, соціальні аспекти, пов’язані з практикою фізичної терапії.</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СК 03. Здатність провадити безпечну для пацієнта/клієнта та практикуючого фахівця професійну діяльність з фізичної терапії  осіб різних професійних,  соціальних, нозологічних та вікових груп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СК 04. Здатність виконувати компоненти обстеження та контролю у фізичній терапії для збору якісних (спостереження, опитування) і кількісних (вимірювання та тестування) даних, пов'язаних з фізичним станом пацієнта/клієнта, його функціональними можливостями, активністю та участю (додаток 1).</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СК 05. Здатність ефективно реалізовувати програму фізичної терапії відповідно до функціональних можливостей пацієнта/клієнта.</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СК 06. Здатність здійснювати моніторинг реакцій і стану пацієнта/клієнта під час виконання призначених заходів/тестів  за дорученням фізичного терапевта, включно з документуванням, звітуванням про отримані результати.</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СК 07. Здатність провадити професійну діяльність  для відновлення чи підтримки здоров’я пацієнта/клієнта відповідно до законів і правил, що регулюють практику фізичної терапії як самостійної професії, а також відповідних законодавчих та нормативних актів, етичного кодексу та професійного стандарту, загальнонаціональних цінностей та традицій  населення України.</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СК 08. Здатність ефективно спілкуватися та навчати пацієнта/клієнта, його родину й опікунів самообслуговуванню/догляду, профілактиці захворювань, травм, ускладнень та обмежень життєдіяльності та  популяризувати здоровий спосіб життя.</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p>
        </w:tc>
      </w:tr>
    </w:tbl>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cs="Times New Roman"/>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VI Нормативний зміст підготовки бакалавра за спеціальністю 227 Терапія та реабілітація спеціалізація 227.01 Фізична терапія, сформульований у термінах результатів навчання</w:t>
      </w:r>
    </w:p>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p>
    <w:tbl>
      <w:tblPr>
        <w:tblStyle w:val="71"/>
        <w:tblW w:w="10117" w:type="dxa"/>
        <w:tblInd w:w="13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101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10117"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01. Демонструвати знання щодо зміцнення та збереження індивідуального та громадського здоров'я шляхом використання рухової активності людини.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02. Демонструвати вміння спілкуватися українською та іноземними мовами у професійному середовищі, володіти фаховою термінологією та професійним дискурсом.</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03. Дотримуватися етики професійного спілкування.</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04. Документувати результати професійної діяльності.</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05. Працювати з комп’ютерною технікою; здійснювати  комунікаційну взаємодію у соціальних мережах;  здобувати, накопичувати, систематизувати фахову інформацію за допомогою інформаційно-комунікаційних технологій.</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06.Демонструвати знання процесів державно-політичного та соціально-економічного розвитку українського суспільства, сутність перетворень, що відбуваються в державі; розуміти основні філософські категорії та поняття.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07. Застосовувати знання медико-біологічних, психолого-педагогічних, соціальних аспектів у практиці фізичної терапії; виявляти та враховувати зв’язки різних елементів.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08. Надавати домедичну допомогу при невідкладних станах.</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09. Аналізувати  і застосовувати сучасні науково-доказові дані  для виконання професійних завдань.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10. Визначати симптоми та синдроми (Додаток 1); описувати обмеження функціонування пацієнта/клієнта за Класифікатором функціонування, обмеження життєдіяльності та здоров’я  НК 030:2022  та визначати  реабілітаційні інтервенції за Класифікатором медичних інтервенцій НК 026:2021 .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11. Застосовувати компоненти обстеження та контролю у фізичній терапії; використовувати методи й інструменти визначення та вимірювання структурних змін та порушених функцій організму, активності та участі (Додаток 1); оцінювати  отриману інформацію.</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12. Реалізовувати індивідуальну програму фізичної терапії, або компоненти індивідуального реабілітаційного плану, які стосуються фізичної терапії, демонструвати уміння здійснювати заходи фізичної терапії для корекції порушень структури/функцій та асоційованих з ними обмежень активності та участі (додаток 2).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13. Провадити  пацієнтоцентричну практичну діяльність за узгодженням із пацієнтом/клієнтом, його родиною/опікунами, членами мультидисциплінарної команди згідно нормативно-правових вимог та норм професійної етики.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14. Провадити безпечну для пацієнта/клієнта та практикуючого фахівця професійну діяльність.</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 xml:space="preserve">РН 15. </w:t>
            </w:r>
            <w:r>
              <w:rPr>
                <w:rFonts w:hint="default" w:ascii="Times New Roman" w:hAnsi="Times New Roman" w:eastAsia="Times New Roman" w:cs="Times New Roman"/>
                <w:color w:val="000000"/>
                <w:sz w:val="28"/>
                <w:szCs w:val="28"/>
              </w:rPr>
              <w:t xml:space="preserve">Безпечно та ефективно використовувати обладнання для проведення реабілітаційних заходів, контролю основних життєвих показників пацієнта, допоміжні засоби реабілітації. </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РН 16. В</w:t>
            </w:r>
            <w:r>
              <w:rPr>
                <w:rFonts w:hint="default" w:ascii="Times New Roman" w:hAnsi="Times New Roman" w:eastAsia="Times New Roman" w:cs="Times New Roman"/>
                <w:color w:val="000000"/>
                <w:sz w:val="28"/>
                <w:szCs w:val="28"/>
              </w:rPr>
              <w:t>ербально і невербально</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color w:val="000000"/>
                <w:sz w:val="28"/>
                <w:szCs w:val="28"/>
              </w:rPr>
              <w:t>спілкува</w:t>
            </w:r>
            <w:r>
              <w:rPr>
                <w:rFonts w:hint="default" w:ascii="Times New Roman" w:hAnsi="Times New Roman" w:eastAsia="Times New Roman" w:cs="Times New Roman"/>
                <w:sz w:val="28"/>
                <w:szCs w:val="28"/>
              </w:rPr>
              <w:t>тися</w:t>
            </w:r>
            <w:r>
              <w:rPr>
                <w:rFonts w:hint="default" w:ascii="Times New Roman" w:hAnsi="Times New Roman" w:eastAsia="Times New Roman" w:cs="Times New Roman"/>
                <w:color w:val="000000"/>
                <w:sz w:val="28"/>
                <w:szCs w:val="28"/>
              </w:rPr>
              <w:t xml:space="preserve"> з особами та групами співрозмовників, різними за віком, рівнем освіти, соціальною і професійною приналежністю,  психологічними та когнітивними якостями тощо</w:t>
            </w:r>
            <w:r>
              <w:rPr>
                <w:rFonts w:hint="default" w:ascii="Times New Roman" w:hAnsi="Times New Roman" w:eastAsia="Times New Roman" w:cs="Times New Roman"/>
                <w:sz w:val="28"/>
                <w:szCs w:val="28"/>
              </w:rPr>
              <w:t>;</w:t>
            </w:r>
            <w:r>
              <w:rPr>
                <w:rFonts w:hint="default" w:ascii="Times New Roman" w:hAnsi="Times New Roman" w:eastAsia="Times New Roman" w:cs="Times New Roman"/>
                <w:color w:val="000000"/>
                <w:sz w:val="28"/>
                <w:szCs w:val="28"/>
              </w:rPr>
              <w:t xml:space="preserve"> у тому числі у мультидисциплінарній команді. </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РН 17. П</w:t>
            </w:r>
            <w:r>
              <w:rPr>
                <w:rFonts w:hint="default" w:ascii="Times New Roman" w:hAnsi="Times New Roman" w:eastAsia="Times New Roman" w:cs="Times New Roman"/>
                <w:color w:val="000000"/>
                <w:sz w:val="28"/>
                <w:szCs w:val="28"/>
              </w:rPr>
              <w:t>роводити інструктаж та навчання пацієнтів/клієнтів, членів їх родин, опікунів</w:t>
            </w:r>
            <w:r>
              <w:rPr>
                <w:rFonts w:hint="default" w:ascii="Times New Roman" w:hAnsi="Times New Roman" w:eastAsia="Times New Roman" w:cs="Times New Roman"/>
                <w:color w:val="000000"/>
                <w:sz w:val="24"/>
                <w:szCs w:val="24"/>
              </w:rPr>
              <w:t>.</w:t>
            </w:r>
            <w:r>
              <w:rPr>
                <w:rFonts w:hint="default" w:ascii="Times New Roman" w:hAnsi="Times New Roman" w:eastAsia="Times New Roman" w:cs="Times New Roman"/>
                <w:color w:val="000000"/>
                <w:sz w:val="28"/>
                <w:szCs w:val="28"/>
              </w:rPr>
              <w:t xml:space="preserve"> </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 xml:space="preserve">РН 18. </w:t>
            </w:r>
            <w:r>
              <w:rPr>
                <w:rFonts w:hint="default" w:ascii="Times New Roman" w:hAnsi="Times New Roman" w:eastAsia="Times New Roman" w:cs="Times New Roman"/>
                <w:color w:val="000000"/>
                <w:sz w:val="28"/>
                <w:szCs w:val="28"/>
              </w:rPr>
              <w:t xml:space="preserve">Оцінювати результати виконання </w:t>
            </w:r>
            <w:r>
              <w:rPr>
                <w:rFonts w:hint="default" w:ascii="Times New Roman" w:hAnsi="Times New Roman" w:eastAsia="Times New Roman" w:cs="Times New Roman"/>
                <w:sz w:val="28"/>
                <w:szCs w:val="28"/>
              </w:rPr>
              <w:t>заходів</w:t>
            </w:r>
            <w:r>
              <w:rPr>
                <w:rFonts w:hint="default" w:ascii="Times New Roman" w:hAnsi="Times New Roman" w:eastAsia="Times New Roman" w:cs="Times New Roman"/>
                <w:color w:val="000000"/>
                <w:sz w:val="28"/>
                <w:szCs w:val="28"/>
              </w:rPr>
              <w:t xml:space="preserve"> фізичної терапії, використовуючи відповідний інструментарій (згідно додатку </w:t>
            </w:r>
            <w:r>
              <w:rPr>
                <w:rFonts w:hint="default" w:ascii="Times New Roman" w:hAnsi="Times New Roman" w:eastAsia="Times New Roman" w:cs="Times New Roman"/>
                <w:sz w:val="28"/>
                <w:szCs w:val="28"/>
              </w:rPr>
              <w:t>2</w:t>
            </w:r>
            <w:r>
              <w:rPr>
                <w:rFonts w:hint="default" w:ascii="Times New Roman" w:hAnsi="Times New Roman" w:eastAsia="Times New Roman" w:cs="Times New Roman"/>
                <w:color w:val="000000"/>
                <w:sz w:val="28"/>
                <w:szCs w:val="28"/>
              </w:rPr>
              <w:t xml:space="preserve">), та за потреби, модифіковувати поточну діяльність.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sz w:val="28"/>
                <w:szCs w:val="28"/>
              </w:rPr>
              <w:t>РН 19. Оцінювати себе критично, засвоювати нову фахову інформацію, поглиблювати знання з допомогою самоосвіти, оцінювати й представляти власний досвід, аналізувати й застосовувати досвід колег.</w:t>
            </w:r>
          </w:p>
        </w:tc>
      </w:tr>
    </w:tbl>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VІІ Форми атестації здобувачів першого (бакалаврського) ступеня вищої освіти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p>
    <w:tbl>
      <w:tblPr>
        <w:tblStyle w:val="77"/>
        <w:tblW w:w="10150" w:type="dxa"/>
        <w:tblInd w:w="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565"/>
        <w:gridCol w:w="75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565"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Форми атестації здобувачів вищої освіти</w:t>
            </w:r>
          </w:p>
        </w:tc>
        <w:tc>
          <w:tcPr>
            <w:tcW w:w="7585"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Атестація здійснюється у формі єдиного державного</w:t>
            </w:r>
            <w:r>
              <w:rPr>
                <w:rFonts w:hint="default" w:ascii="Times New Roman" w:hAnsi="Times New Roman" w:eastAsia="Times New Roman" w:cs="Times New Roman"/>
                <w:sz w:val="28"/>
                <w:szCs w:val="28"/>
                <w:lang w:val="uk-UA"/>
              </w:rPr>
              <w:t xml:space="preserve"> </w:t>
            </w:r>
            <w:r>
              <w:rPr>
                <w:rFonts w:hint="default" w:ascii="Times New Roman" w:hAnsi="Times New Roman" w:eastAsia="Times New Roman" w:cs="Times New Roman"/>
                <w:sz w:val="28"/>
                <w:szCs w:val="28"/>
              </w:rPr>
              <w:t>кваліфікаційного іспиту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565"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Вимоги до кваліфікаційного екзамену</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p>
        </w:tc>
        <w:tc>
          <w:tcPr>
            <w:tcW w:w="7585" w:type="dxa"/>
            <w:vAlign w:val="cente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Стандартизований кваліфікаційний тестовий державний іспит ‒ це інтегрований іспит «Крок» (для здобувачів ступеня вищої освіти на першому (бакалаврському) рівні за спеціальністю Фізична терапія, ерготерапія/Терапія та реабілітація), який здійснюється </w:t>
            </w:r>
            <w:r>
              <w:rPr>
                <w:rFonts w:hint="default" w:ascii="Times New Roman" w:hAnsi="Times New Roman" w:eastAsia="Times New Roman" w:cs="Times New Roman"/>
                <w:sz w:val="28"/>
                <w:szCs w:val="28"/>
                <w:lang w:val="uk-UA"/>
              </w:rPr>
              <w:t>е</w:t>
            </w:r>
            <w:r>
              <w:rPr>
                <w:rFonts w:hint="default" w:ascii="Times New Roman" w:hAnsi="Times New Roman" w:eastAsia="Times New Roman" w:cs="Times New Roman"/>
                <w:sz w:val="28"/>
                <w:szCs w:val="28"/>
              </w:rPr>
              <w:t xml:space="preserve">кзаменаційною комісією ЗВО та Центром тестування при МОЗ України згідно чинного законодавства.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Практично-орієнтований комплексний іспит проводиться у формі атестаційних екзаменів або комплексного атестаційного екзамену. Практично-орієнтованим комплексним іспитом в умовах, наближених до професійної діяльності, оцінюється набуття загальних та спеціальних компетентностей, необхідних для здійснення заходів  фізичної терапії в травматології та ортопедії, неврології та нейрохірургії, кардіології та пульмонології, а також  інших (за вибором  ЗВО) напрямах охорони здоров’я.</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565"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Вимоги до заключної кваліфікаційної роботи (за наявності)</w:t>
            </w:r>
          </w:p>
        </w:tc>
        <w:tc>
          <w:tcPr>
            <w:tcW w:w="7585" w:type="dxa"/>
            <w:vAlign w:val="cente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Обов’язковість виконання кваліфікаційної роботи визначається освітньою програмою закладу освіти. </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Перевірка кваліфікаційної роботи на наявність ознак академічного плагіату.</w:t>
            </w:r>
          </w:p>
        </w:tc>
      </w:tr>
    </w:tbl>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VII Вимоги до створення освітніх програм підготовки за галуззю знань, двома галузями знань або групами спеціальностей (у стандартах рівня молодшого бакалавра), міждисциплінарних освітньо-наукових програм (у стандартах магістра та доктора філософії)</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Створення міждисциплінарних програм не передбачається.</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lang w:val="en-US"/>
        </w:rPr>
        <w:t>VIII</w:t>
      </w:r>
      <w:r>
        <w:rPr>
          <w:rFonts w:hint="default" w:ascii="Times New Roman" w:hAnsi="Times New Roman" w:eastAsia="Times New Roman" w:cs="Times New Roman"/>
          <w:b/>
          <w:sz w:val="28"/>
          <w:szCs w:val="28"/>
        </w:rPr>
        <w:t xml:space="preserve"> Вимоги професійних стандартів </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p>
    <w:tbl>
      <w:tblPr>
        <w:tblStyle w:val="78"/>
        <w:tblW w:w="1022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797"/>
        <w:gridCol w:w="74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797"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Повна назва Професійного стандарту</w:t>
            </w:r>
          </w:p>
        </w:tc>
        <w:tc>
          <w:tcPr>
            <w:tcW w:w="7424"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World Physiotherapy. Physiotherapist education framework. London, UK: World Physiotherapy; 2021.</w:t>
            </w:r>
            <w:r>
              <w:rPr>
                <w:rFonts w:hint="default" w:ascii="Times New Roman" w:hAnsi="Times New Roman" w:eastAsia="Times New Roman" w:cs="Times New Roman"/>
                <w:sz w:val="28"/>
                <w:szCs w:val="28"/>
              </w:rPr>
              <w:br w:type="textWrapping"/>
            </w:r>
            <w:r>
              <w:rPr>
                <w:rFonts w:hint="default" w:ascii="Times New Roman" w:hAnsi="Times New Roman" w:eastAsia="Times New Roman" w:cs="Times New Roman"/>
                <w:sz w:val="28"/>
                <w:szCs w:val="28"/>
              </w:rPr>
              <w:t>Україна</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4"/>
                <w:szCs w:val="24"/>
              </w:rPr>
            </w:pPr>
            <w:r>
              <w:rPr>
                <w:rFonts w:hint="default" w:ascii="Times New Roman" w:hAnsi="Times New Roman" w:eastAsia="Times New Roman" w:cs="Times New Roman"/>
                <w:sz w:val="28"/>
                <w:szCs w:val="28"/>
              </w:rPr>
              <w:t>Професійний стандарт «Асистент фізичного терапевта»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797"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Назва та реквізити відповідного документу</w:t>
            </w:r>
          </w:p>
        </w:tc>
        <w:tc>
          <w:tcPr>
            <w:tcW w:w="7424"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"https://world.physio/sites/default/files/2021-07/Physiotherapist-education-framework-FINAL.pdf" \h </w:instrText>
            </w:r>
            <w:r>
              <w:rPr>
                <w:rFonts w:hint="default" w:ascii="Times New Roman" w:hAnsi="Times New Roman" w:cs="Times New Roman"/>
              </w:rPr>
              <w:fldChar w:fldCharType="separate"/>
            </w:r>
            <w:r>
              <w:rPr>
                <w:rFonts w:hint="default" w:ascii="Times New Roman" w:hAnsi="Times New Roman" w:eastAsia="Times New Roman" w:cs="Times New Roman"/>
                <w:color w:val="1155CC"/>
                <w:sz w:val="28"/>
                <w:szCs w:val="28"/>
                <w:u w:val="single"/>
              </w:rPr>
              <w:t>https://world.physio/sites/default/files/2021-07/Physiotherapist-education-framework-FINAL.pdf</w:t>
            </w:r>
            <w:r>
              <w:rPr>
                <w:rFonts w:hint="default" w:ascii="Times New Roman" w:hAnsi="Times New Roman" w:eastAsia="Times New Roman" w:cs="Times New Roman"/>
                <w:color w:val="1155CC"/>
                <w:sz w:val="28"/>
                <w:szCs w:val="28"/>
                <w:u w:val="single"/>
              </w:rPr>
              <w:fldChar w:fldCharType="end"/>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Україна</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https://register.nqa.gov.ua/uploads/0/445-profesijnij_standart_asistent_fizicnogo_terapevta.pdf</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2797" w:type="dxa"/>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Особливості стандарту вищої освіти, пов’язані з наявністю даного Професійного стандарту</w:t>
            </w:r>
          </w:p>
        </w:tc>
        <w:tc>
          <w:tcPr>
            <w:tcW w:w="7424" w:type="dxa"/>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Стандарти враховані при визначенні основних компетентностей, що має здобути випускник, термінів навчання, тривалості клінічних практик,  результатів навчання, вимог до атестації та вимог до якості.</w:t>
            </w:r>
          </w:p>
        </w:tc>
      </w:tr>
    </w:tbl>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firstLine="441"/>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lang w:val="uk-UA"/>
        </w:rPr>
        <w:t>І</w:t>
      </w:r>
      <w:r>
        <w:rPr>
          <w:rFonts w:hint="default" w:ascii="Times New Roman" w:hAnsi="Times New Roman" w:eastAsia="Times New Roman" w:cs="Times New Roman"/>
          <w:b/>
          <w:sz w:val="28"/>
          <w:szCs w:val="28"/>
        </w:rPr>
        <w:t>Х Додаткові вимоги до організації освітнього процесу для освітніх програм з підготовки фахівців для професій, для яких запроваджене додаткове регулювання</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firstLine="441"/>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Вимоги до клінічного компоненту освітньої програми базового рівня підготовки за спеціальністю 227 «Терапія та реабілітація» спеціалізація 227.01 Фізична терапія.</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Для набуття фахових компетентностей необхідно не менше 24 кредитів клінічних практик (клінічного навчання) з фізичної терапії тривалістю не менше 6 кредитів кожна. Проходження кожної клінічної практики у повному обсязі є обов’язковим. </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Клінічні практики/ клінічне навчання проводяться у реабілітаційних закладах, відділеннях, підрозділах у галузях охорони здоров’я, соціального захисту тощо, які надають реабілітаційну допомогу  під керівництвом штатного фізичного терапевта за напрямами  фізична терапія при порушеннях діяльності опорно-рухового апарату, серцево-судинної, дихальної та нервової систем осіб різних вікових, нозологічних та професійних груп. Професійна підготовка на клінічних базах повинна передбачати використання симуляційних методів навчання, роботу із застосуванням відповідного обладнання та безпосередню роботу з пацієнтом/клієнтом. У клінічних умовах студенти мають розвивати базові клінічні навички обстеження, втручання та контролю.</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Для забезпечення клінічних практик необхідно укласти договори про  практику (співпрацю, меморандум, тощо) із закладами охорони здоров’я, соціального захисту тощо, що надають реабілітаційну допомогу в гострому, післягострому та довготривалому періодах.</w:t>
      </w:r>
    </w:p>
    <w:p>
      <w:pPr>
        <w:kinsoku/>
        <w:wordWrap/>
        <w:overflowPunct/>
        <w:topLinePunct w:val="0"/>
        <w:autoSpaceDE/>
        <w:autoSpaceDN/>
        <w:bidi w:val="0"/>
        <w:adjustRightInd/>
        <w:snapToGrid/>
        <w:spacing w:after="0" w:line="240" w:lineRule="auto"/>
        <w:ind w:left="0" w:right="0" w:firstLine="566"/>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Кожен ЗВО повинен забезпечити штатних науково-педагогічних працівників відповідальних за компонент клінічного навчання академічної програми, які мають бути  фізичним терапевтом та виконувати обов’язки </w:t>
      </w:r>
      <w:r>
        <w:rPr>
          <w:rFonts w:hint="default" w:ascii="Times New Roman" w:hAnsi="Times New Roman" w:eastAsia="Times New Roman" w:cs="Times New Roman"/>
          <w:b/>
          <w:sz w:val="28"/>
          <w:szCs w:val="28"/>
        </w:rPr>
        <w:t>координатора клінічного навчання.</w:t>
      </w:r>
      <w:r>
        <w:rPr>
          <w:rFonts w:hint="default" w:ascii="Times New Roman" w:hAnsi="Times New Roman" w:eastAsia="Times New Roman" w:cs="Times New Roman"/>
          <w:sz w:val="28"/>
          <w:szCs w:val="28"/>
        </w:rPr>
        <w:t xml:space="preserve"> </w:t>
      </w:r>
    </w:p>
    <w:p>
      <w:pPr>
        <w:kinsoku/>
        <w:wordWrap/>
        <w:overflowPunct/>
        <w:topLinePunct w:val="0"/>
        <w:autoSpaceDE/>
        <w:autoSpaceDN/>
        <w:bidi w:val="0"/>
        <w:adjustRightInd/>
        <w:snapToGrid/>
        <w:spacing w:after="0" w:line="240" w:lineRule="auto"/>
        <w:ind w:left="0" w:right="0" w:firstLine="566"/>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Роль координатора клінічного навчання передбачає:</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Організація та забезпечення клінічного навчання згідно законодавчих, етичних та практичних професійних настанов; </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Налагодження та підтримка комунікації  з уповноваженою особою від бази практики упродовж клінічного навчання; </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Укладання договору про співпрацю між ЗВО та базами практики; </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Встановлення цілей клінічної практики та прогнозованих результатів клінічного навчання на базі практики (Додаток 3 та 4);</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Комунікація зі студентами щодо встановлення та досягнення очікуваних  результатів клінічного навчання; </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Комунікація з клінічними супервізорами щодо виконання академічної програми та досягнення очікуваних результатів клінічного навчання;</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Підготовка документації та контроль за її веденням;</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Оцінювання загальних результатів клінічного навчання;</w:t>
      </w:r>
    </w:p>
    <w:p>
      <w:pPr>
        <w:numPr>
          <w:ilvl w:val="0"/>
          <w:numId w:val="1"/>
        </w:numPr>
        <w:tabs>
          <w:tab w:val="left" w:pos="66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Вирішення конфліктних ситуацій під час клінічного навчання. </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highlight w:val="yellow"/>
        </w:rPr>
      </w:pPr>
      <w:r>
        <w:rPr>
          <w:rFonts w:hint="default" w:ascii="Times New Roman" w:hAnsi="Times New Roman" w:eastAsia="Times New Roman" w:cs="Times New Roman"/>
          <w:sz w:val="28"/>
          <w:szCs w:val="28"/>
        </w:rPr>
        <w:t xml:space="preserve">Клінічне навчання здійснюється під супервізією фізичних терапевтів, які працюють на базах практик. </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Основна роль клінічного супервізора полягає у створенні умов для досягнення очікуваних результатів клінічного навчання.</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Відповідальність фізичного терапевта як клінічного супервізора передбачає:</w:t>
      </w:r>
    </w:p>
    <w:p>
      <w:pPr>
        <w:numPr>
          <w:ilvl w:val="0"/>
          <w:numId w:val="2"/>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Організаційне забезпечення та планування діяльності клінічного навчання;</w:t>
      </w:r>
    </w:p>
    <w:p>
      <w:pPr>
        <w:numPr>
          <w:ilvl w:val="0"/>
          <w:numId w:val="2"/>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Оцінювання успішності студента, шляхом безпосереднього спостереження;</w:t>
      </w:r>
    </w:p>
    <w:p>
      <w:pPr>
        <w:numPr>
          <w:ilvl w:val="0"/>
          <w:numId w:val="2"/>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Виконання ролі професійної моделі для наслідування студентом упродовж клінічної практики.</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На початку навчання для клінічної (ознайомчої) практики формують групи з розрахунку не більше 4-6 студентів на одного клінічного супервізора. </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Під час клінічної практики, яка передбачає безпосередню взаємодію студентів з пацієнтами, один  клінічний супервізор керує роботою не більше трьох студентів.</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Вимоги до викладацького складу:</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Гарантом програми/членом робочої групи при ліцензуванні (акредитації) освітньої програми за спеціалізацією 227.01 Фізична терапія може бути особа, яка має освіту спеціаліста/магістра з  фізичної реабілітації/фізичної терапії, терапії та реабілітації, ступінь кандидата (доктора філософії) чи доктора наук.</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Дисципліни, що формують спеціальні компетентності викладають фахівці, які займають/можуть займати посаду фізичного терапевта. </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Дисципліни, які формують здатність розуміти медико-біологічні, психолого-педагогічні, соціальні аспекти, пов’язані з практикою фізичної терапії викладаються  науково-педагогічними (педагогічними) та/або науковими працівниками з урахуванням відповідності їх освітньої та/або професійної кваліфікації.</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Вимоги до матеріально-технічного забезпечення реалізації освітньої програми за спеціальністю 227 Терапія та реабілітація спеціалізацією 227.01 Фізична терапія представлені у додатку 3.</w:t>
      </w:r>
    </w:p>
    <w:p>
      <w:pPr>
        <w:kinsoku/>
        <w:wordWrap/>
        <w:overflowPunct/>
        <w:topLinePunct w:val="0"/>
        <w:autoSpaceDE/>
        <w:autoSpaceDN/>
        <w:bidi w:val="0"/>
        <w:adjustRightInd/>
        <w:snapToGrid/>
        <w:spacing w:after="0" w:line="240" w:lineRule="auto"/>
        <w:ind w:left="0" w:right="0" w:firstLine="441"/>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firstLine="441"/>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Х Додаткові вимоги до структури освітніх програм, що передбачають присвоєння професійних кваліфікацій з професій, для яких запроваджене додаткове регулювання (за необхідності)</w:t>
      </w:r>
    </w:p>
    <w:p>
      <w:pPr>
        <w:kinsoku/>
        <w:wordWrap/>
        <w:overflowPunct/>
        <w:topLinePunct w:val="0"/>
        <w:autoSpaceDE/>
        <w:autoSpaceDN/>
        <w:bidi w:val="0"/>
        <w:adjustRightInd/>
        <w:snapToGrid/>
        <w:spacing w:after="0" w:line="240" w:lineRule="auto"/>
        <w:ind w:left="0" w:right="0" w:firstLine="567"/>
        <w:jc w:val="both"/>
        <w:textAlignment w:val="auto"/>
        <w:rPr>
          <w:rFonts w:hint="default" w:ascii="Times New Roman" w:hAnsi="Times New Roman" w:eastAsia="Times New Roman" w:cs="Times New Roman"/>
          <w:sz w:val="28"/>
          <w:szCs w:val="28"/>
          <w:shd w:val="clear" w:color="auto" w:fill="CFE2F3"/>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XI Перелік нормативних документів, на яких базується стандарт вищої освіти</w:t>
      </w:r>
    </w:p>
    <w:p>
      <w:pPr>
        <w:kinsoku/>
        <w:wordWrap/>
        <w:overflowPunct/>
        <w:topLinePunct w:val="0"/>
        <w:autoSpaceDE/>
        <w:autoSpaceDN/>
        <w:bidi w:val="0"/>
        <w:adjustRightInd/>
        <w:snapToGrid/>
        <w:spacing w:after="0" w:line="240" w:lineRule="auto"/>
        <w:ind w:left="0" w:leftChars="0" w:right="0" w:firstLine="440" w:firstLineChars="157"/>
        <w:textAlignment w:val="auto"/>
        <w:rPr>
          <w:rFonts w:hint="default" w:ascii="Times New Roman" w:hAnsi="Times New Roman" w:eastAsia="Times New Roman" w:cs="Times New Roman"/>
          <w:b/>
          <w:sz w:val="28"/>
          <w:szCs w:val="28"/>
        </w:rPr>
      </w:pPr>
    </w:p>
    <w:p>
      <w:pPr>
        <w:numPr>
          <w:ilvl w:val="0"/>
          <w:numId w:val="3"/>
        </w:numPr>
        <w:kinsoku/>
        <w:wordWrap/>
        <w:overflowPunct/>
        <w:topLinePunct w:val="0"/>
        <w:autoSpaceDE/>
        <w:autoSpaceDN/>
        <w:bidi w:val="0"/>
        <w:adjustRightInd/>
        <w:snapToGrid/>
        <w:spacing w:after="0" w:line="240" w:lineRule="auto"/>
        <w:ind w:left="0" w:leftChars="0" w:right="0" w:firstLine="440" w:firstLineChars="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Закон «Про освіту» - </w:t>
      </w:r>
      <w:r>
        <w:rPr>
          <w:rFonts w:hint="default" w:ascii="Times New Roman" w:hAnsi="Times New Roman" w:cs="Times New Roman"/>
        </w:rPr>
        <w:fldChar w:fldCharType="begin"/>
      </w:r>
      <w:r>
        <w:rPr>
          <w:rFonts w:hint="default" w:ascii="Times New Roman" w:hAnsi="Times New Roman" w:cs="Times New Roman"/>
        </w:rPr>
        <w:instrText xml:space="preserve"> HYPERLINK "http://zakon.rada.gov.ua/go/2145-19" \h </w:instrText>
      </w:r>
      <w:r>
        <w:rPr>
          <w:rFonts w:hint="default" w:ascii="Times New Roman" w:hAnsi="Times New Roman" w:cs="Times New Roman"/>
        </w:rPr>
        <w:fldChar w:fldCharType="separate"/>
      </w:r>
      <w:r>
        <w:rPr>
          <w:rFonts w:hint="default" w:ascii="Times New Roman" w:hAnsi="Times New Roman" w:eastAsia="Times New Roman" w:cs="Times New Roman"/>
          <w:sz w:val="28"/>
          <w:szCs w:val="28"/>
          <w:u w:val="single"/>
        </w:rPr>
        <w:t>http://zakon.rada.gov.ua/go/2145-19</w:t>
      </w:r>
      <w:r>
        <w:rPr>
          <w:rFonts w:hint="default" w:ascii="Times New Roman" w:hAnsi="Times New Roman" w:eastAsia="Times New Roman" w:cs="Times New Roman"/>
          <w:sz w:val="28"/>
          <w:szCs w:val="28"/>
          <w:u w:val="single"/>
        </w:rPr>
        <w:fldChar w:fldCharType="end"/>
      </w:r>
      <w:r>
        <w:rPr>
          <w:rFonts w:hint="default" w:ascii="Times New Roman" w:hAnsi="Times New Roman" w:eastAsia="Times New Roman" w:cs="Times New Roman"/>
          <w:sz w:val="28"/>
          <w:szCs w:val="28"/>
        </w:rPr>
        <w:t xml:space="preserve">. </w:t>
      </w:r>
    </w:p>
    <w:p>
      <w:pPr>
        <w:numPr>
          <w:ilvl w:val="0"/>
          <w:numId w:val="3"/>
        </w:numPr>
        <w:kinsoku/>
        <w:wordWrap/>
        <w:overflowPunct/>
        <w:topLinePunct w:val="0"/>
        <w:autoSpaceDE/>
        <w:autoSpaceDN/>
        <w:bidi w:val="0"/>
        <w:adjustRightInd/>
        <w:snapToGrid/>
        <w:spacing w:after="0" w:line="240" w:lineRule="auto"/>
        <w:ind w:left="0" w:leftChars="0" w:right="0" w:firstLine="440" w:firstLineChars="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Закон «Про вищу освіту» - </w:t>
      </w:r>
      <w:r>
        <w:rPr>
          <w:rFonts w:hint="default" w:ascii="Times New Roman" w:hAnsi="Times New Roman" w:cs="Times New Roman"/>
        </w:rPr>
        <w:fldChar w:fldCharType="begin"/>
      </w:r>
      <w:r>
        <w:rPr>
          <w:rFonts w:hint="default" w:ascii="Times New Roman" w:hAnsi="Times New Roman" w:cs="Times New Roman"/>
        </w:rPr>
        <w:instrText xml:space="preserve"> HYPERLINK "http://zakon4.rada.gov.ua/laws/show/1556-18" \h </w:instrText>
      </w:r>
      <w:r>
        <w:rPr>
          <w:rFonts w:hint="default" w:ascii="Times New Roman" w:hAnsi="Times New Roman" w:cs="Times New Roman"/>
        </w:rPr>
        <w:fldChar w:fldCharType="separate"/>
      </w:r>
      <w:r>
        <w:rPr>
          <w:rFonts w:hint="default" w:ascii="Times New Roman" w:hAnsi="Times New Roman" w:eastAsia="Times New Roman" w:cs="Times New Roman"/>
          <w:sz w:val="28"/>
          <w:szCs w:val="28"/>
          <w:u w:val="single"/>
        </w:rPr>
        <w:t>http://zakon4.rada.gov.ua/laws/show/1556-18</w:t>
      </w:r>
      <w:r>
        <w:rPr>
          <w:rFonts w:hint="default" w:ascii="Times New Roman" w:hAnsi="Times New Roman" w:eastAsia="Times New Roman" w:cs="Times New Roman"/>
          <w:sz w:val="28"/>
          <w:szCs w:val="28"/>
          <w:u w:val="single"/>
        </w:rPr>
        <w:fldChar w:fldCharType="end"/>
      </w:r>
      <w:r>
        <w:rPr>
          <w:rFonts w:hint="default" w:ascii="Times New Roman" w:hAnsi="Times New Roman" w:eastAsia="Times New Roman" w:cs="Times New Roman"/>
          <w:sz w:val="28"/>
          <w:szCs w:val="28"/>
        </w:rPr>
        <w:t xml:space="preserve">. </w:t>
      </w:r>
    </w:p>
    <w:p>
      <w:pPr>
        <w:numPr>
          <w:ilvl w:val="0"/>
          <w:numId w:val="3"/>
        </w:numPr>
        <w:kinsoku/>
        <w:wordWrap/>
        <w:overflowPunct/>
        <w:topLinePunct w:val="0"/>
        <w:autoSpaceDE/>
        <w:autoSpaceDN/>
        <w:bidi w:val="0"/>
        <w:adjustRightInd/>
        <w:snapToGrid/>
        <w:spacing w:after="0" w:line="240" w:lineRule="auto"/>
        <w:ind w:left="0" w:leftChars="0" w:right="0" w:firstLine="440" w:firstLineChars="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Закон «Про реабілітацію у сфері охорони здоров’я</w:t>
      </w:r>
      <w:r>
        <w:rPr>
          <w:rFonts w:hint="default" w:ascii="Times New Roman" w:hAnsi="Times New Roman" w:eastAsia="Times New Roman" w:cs="Times New Roman"/>
          <w:sz w:val="24"/>
          <w:szCs w:val="24"/>
        </w:rPr>
        <w:t xml:space="preserve">» </w:t>
      </w:r>
      <w:r>
        <w:rPr>
          <w:rFonts w:hint="default" w:ascii="Times New Roman" w:hAnsi="Times New Roman" w:cs="Times New Roman"/>
        </w:rPr>
        <w:fldChar w:fldCharType="begin"/>
      </w:r>
      <w:r>
        <w:rPr>
          <w:rFonts w:hint="default" w:ascii="Times New Roman" w:hAnsi="Times New Roman" w:cs="Times New Roman"/>
        </w:rPr>
        <w:instrText xml:space="preserve"> HYPERLINK "https://zakon.rada.gov.ua/laws/show/1053-20" \l "Text" \h </w:instrText>
      </w:r>
      <w:r>
        <w:rPr>
          <w:rFonts w:hint="default" w:ascii="Times New Roman" w:hAnsi="Times New Roman" w:cs="Times New Roman"/>
        </w:rPr>
        <w:fldChar w:fldCharType="separate"/>
      </w:r>
      <w:r>
        <w:rPr>
          <w:rFonts w:hint="default" w:ascii="Times New Roman" w:hAnsi="Times New Roman" w:eastAsia="Times New Roman" w:cs="Times New Roman"/>
          <w:sz w:val="26"/>
          <w:szCs w:val="26"/>
          <w:u w:val="single"/>
        </w:rPr>
        <w:t>https://zakon.rada.gov.ua/laws/show/1053-20#Text</w:t>
      </w:r>
      <w:r>
        <w:rPr>
          <w:rFonts w:hint="default" w:ascii="Times New Roman" w:hAnsi="Times New Roman" w:eastAsia="Times New Roman" w:cs="Times New Roman"/>
          <w:sz w:val="26"/>
          <w:szCs w:val="26"/>
          <w:u w:val="single"/>
        </w:rPr>
        <w:fldChar w:fldCharType="end"/>
      </w:r>
    </w:p>
    <w:p>
      <w:pPr>
        <w:numPr>
          <w:ilvl w:val="0"/>
          <w:numId w:val="3"/>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Постанова Кабінету Міністрів від 29.04.2015 № 266 «Про затвердження переліку галузей знань і спеціальностей, за якими здійснюється підготовка здобувачів вищої освіти </w:t>
      </w:r>
      <w:r>
        <w:rPr>
          <w:rFonts w:hint="default" w:ascii="Times New Roman" w:hAnsi="Times New Roman" w:cs="Times New Roman"/>
        </w:rPr>
        <w:fldChar w:fldCharType="begin"/>
      </w:r>
      <w:r>
        <w:rPr>
          <w:rFonts w:hint="default" w:ascii="Times New Roman" w:hAnsi="Times New Roman" w:cs="Times New Roman"/>
        </w:rPr>
        <w:instrText xml:space="preserve"> HYPERLINK "http://zakon2.rada.gov.ua/laws/show/266-2015-%D0%BF" \h </w:instrText>
      </w:r>
      <w:r>
        <w:rPr>
          <w:rFonts w:hint="default" w:ascii="Times New Roman" w:hAnsi="Times New Roman" w:cs="Times New Roman"/>
        </w:rPr>
        <w:fldChar w:fldCharType="separate"/>
      </w:r>
      <w:r>
        <w:rPr>
          <w:rFonts w:hint="default" w:ascii="Times New Roman" w:hAnsi="Times New Roman" w:eastAsia="Times New Roman" w:cs="Times New Roman"/>
          <w:color w:val="1155CC"/>
          <w:sz w:val="28"/>
          <w:szCs w:val="28"/>
          <w:u w:val="single"/>
        </w:rPr>
        <w:t>http://zakon2.rada.gov.ua/laws/show/266-2015-%D0%BF</w:t>
      </w:r>
      <w:r>
        <w:rPr>
          <w:rFonts w:hint="default" w:ascii="Times New Roman" w:hAnsi="Times New Roman" w:eastAsia="Times New Roman" w:cs="Times New Roman"/>
          <w:color w:val="1155CC"/>
          <w:sz w:val="28"/>
          <w:szCs w:val="28"/>
          <w:u w:val="single"/>
        </w:rPr>
        <w:fldChar w:fldCharType="end"/>
      </w:r>
    </w:p>
    <w:p>
      <w:pPr>
        <w:numPr>
          <w:ilvl w:val="0"/>
          <w:numId w:val="3"/>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Національний класифікатор України: Класифікатор професій ДК 003:2010. – </w:t>
      </w:r>
      <w:r>
        <w:rPr>
          <w:rFonts w:hint="default" w:ascii="Times New Roman" w:hAnsi="Times New Roman" w:cs="Times New Roman"/>
        </w:rPr>
        <w:fldChar w:fldCharType="begin"/>
      </w:r>
      <w:r>
        <w:rPr>
          <w:rFonts w:hint="default" w:ascii="Times New Roman" w:hAnsi="Times New Roman" w:cs="Times New Roman"/>
        </w:rPr>
        <w:instrText xml:space="preserve"> HYPERLINK "https://zakon.rada.gov.ua/rada/show/va327609-10" \h </w:instrText>
      </w:r>
      <w:r>
        <w:rPr>
          <w:rFonts w:hint="default" w:ascii="Times New Roman" w:hAnsi="Times New Roman" w:cs="Times New Roman"/>
        </w:rPr>
        <w:fldChar w:fldCharType="separate"/>
      </w:r>
      <w:r>
        <w:rPr>
          <w:rFonts w:hint="default" w:ascii="Times New Roman" w:hAnsi="Times New Roman" w:eastAsia="Times New Roman" w:cs="Times New Roman"/>
          <w:sz w:val="28"/>
          <w:szCs w:val="28"/>
          <w:u w:val="single"/>
        </w:rPr>
        <w:t>https://zakon.rada.gov.ua/rada/show/va327609-10</w:t>
      </w:r>
      <w:r>
        <w:rPr>
          <w:rFonts w:hint="default" w:ascii="Times New Roman" w:hAnsi="Times New Roman" w:eastAsia="Times New Roman" w:cs="Times New Roman"/>
          <w:sz w:val="28"/>
          <w:szCs w:val="28"/>
          <w:u w:val="single"/>
        </w:rPr>
        <w:fldChar w:fldCharType="end"/>
      </w:r>
      <w:r>
        <w:rPr>
          <w:rFonts w:hint="default" w:ascii="Times New Roman" w:hAnsi="Times New Roman" w:eastAsia="Times New Roman" w:cs="Times New Roman"/>
          <w:sz w:val="28"/>
          <w:szCs w:val="28"/>
        </w:rPr>
        <w:t xml:space="preserve">;  </w:t>
      </w:r>
    </w:p>
    <w:p>
      <w:pPr>
        <w:numPr>
          <w:ilvl w:val="0"/>
          <w:numId w:val="3"/>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Наказ Міністерства охорони здоров’я України від 14.08.1998 р. №251 Про затвердження Положення про систему ліцензійних інтегрованих іспитів фахівців з вищою освітою напрямів «Медицина» і «Фармація» </w:t>
      </w:r>
      <w:r>
        <w:rPr>
          <w:rFonts w:hint="default" w:ascii="Times New Roman" w:hAnsi="Times New Roman" w:cs="Times New Roman"/>
        </w:rPr>
        <w:fldChar w:fldCharType="begin"/>
      </w:r>
      <w:r>
        <w:rPr>
          <w:rFonts w:hint="default" w:ascii="Times New Roman" w:hAnsi="Times New Roman" w:cs="Times New Roman"/>
        </w:rPr>
        <w:instrText xml:space="preserve"> HYPERLINK "https://zakon.rada.gov.ua/laws/show/z0563-98" \l "Text" \h </w:instrText>
      </w:r>
      <w:r>
        <w:rPr>
          <w:rFonts w:hint="default" w:ascii="Times New Roman" w:hAnsi="Times New Roman" w:cs="Times New Roman"/>
        </w:rPr>
        <w:fldChar w:fldCharType="separate"/>
      </w:r>
      <w:r>
        <w:rPr>
          <w:rFonts w:hint="default" w:ascii="Times New Roman" w:hAnsi="Times New Roman" w:eastAsia="Times New Roman" w:cs="Times New Roman"/>
          <w:color w:val="1155CC"/>
          <w:sz w:val="28"/>
          <w:szCs w:val="28"/>
          <w:u w:val="single"/>
        </w:rPr>
        <w:t>https://zakon.rada.gov.ua/laws/show/z0563-98#Text</w:t>
      </w:r>
      <w:r>
        <w:rPr>
          <w:rFonts w:hint="default" w:ascii="Times New Roman" w:hAnsi="Times New Roman" w:eastAsia="Times New Roman" w:cs="Times New Roman"/>
          <w:color w:val="1155CC"/>
          <w:sz w:val="28"/>
          <w:szCs w:val="28"/>
          <w:u w:val="single"/>
        </w:rPr>
        <w:fldChar w:fldCharType="end"/>
      </w:r>
      <w:r>
        <w:rPr>
          <w:rFonts w:hint="default" w:ascii="Times New Roman" w:hAnsi="Times New Roman" w:eastAsia="Times New Roman" w:cs="Times New Roman"/>
          <w:sz w:val="28"/>
          <w:szCs w:val="28"/>
        </w:rPr>
        <w:t xml:space="preserve">  </w:t>
      </w:r>
    </w:p>
    <w:p>
      <w:pPr>
        <w:numPr>
          <w:ilvl w:val="0"/>
          <w:numId w:val="3"/>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Методичні рекомендації щодо розроблення стандартів вищої освіти, затверджені наказом Міністерства освіти і науки України від 01.06.2017 р. № 600 (у редакції наказу Міністерства освіти і науки України від 30.04.2020 р. № 584), схвалені сектором вищої освіти Науково-методичної Ради Міністерства освіти і науки України </w:t>
      </w:r>
      <w:r>
        <w:rPr>
          <w:rFonts w:hint="default" w:ascii="Times New Roman" w:hAnsi="Times New Roman" w:eastAsia="Times New Roman" w:cs="Times New Roman"/>
          <w:sz w:val="28"/>
          <w:szCs w:val="28"/>
        </w:rPr>
        <w:fldChar w:fldCharType="begin"/>
      </w:r>
      <w:r>
        <w:rPr>
          <w:rFonts w:hint="default" w:ascii="Times New Roman" w:hAnsi="Times New Roman" w:eastAsia="Times New Roman" w:cs="Times New Roman"/>
          <w:sz w:val="28"/>
          <w:szCs w:val="28"/>
        </w:rPr>
        <w:instrText xml:space="preserve"> HYPERLINK "https://mon.gov.ua/ua/osvita/visha-osvita/naukovo-metodichna-rada-ministerstva-osviti-i-nauki-ukrayini/metodichni-rekomendaciyi-vo" \h </w:instrText>
      </w:r>
      <w:r>
        <w:rPr>
          <w:rFonts w:hint="default" w:ascii="Times New Roman" w:hAnsi="Times New Roman" w:eastAsia="Times New Roman" w:cs="Times New Roman"/>
          <w:sz w:val="28"/>
          <w:szCs w:val="28"/>
        </w:rPr>
        <w:fldChar w:fldCharType="separate"/>
      </w:r>
      <w:r>
        <w:rPr>
          <w:rFonts w:hint="default" w:ascii="Times New Roman" w:hAnsi="Times New Roman" w:eastAsia="Times New Roman" w:cs="Times New Roman"/>
          <w:sz w:val="28"/>
          <w:szCs w:val="28"/>
        </w:rPr>
        <w:t>https://mon.gov.ua/ua/osvita/visha-osvita/naukovo-metodichna-rada-ministerstva-osviti-i-nauki-ukrayini/metodichni-rekomendaciyi-vo</w:t>
      </w:r>
      <w:r>
        <w:rPr>
          <w:rFonts w:hint="default" w:ascii="Times New Roman" w:hAnsi="Times New Roman" w:eastAsia="Times New Roman" w:cs="Times New Roman"/>
          <w:sz w:val="28"/>
          <w:szCs w:val="28"/>
        </w:rPr>
        <w:fldChar w:fldCharType="end"/>
      </w:r>
      <w:r>
        <w:rPr>
          <w:rFonts w:hint="default" w:ascii="Times New Roman" w:hAnsi="Times New Roman" w:eastAsia="Times New Roman" w:cs="Times New Roman"/>
          <w:sz w:val="28"/>
          <w:szCs w:val="28"/>
        </w:rPr>
        <w:t>;</w:t>
      </w:r>
    </w:p>
    <w:p>
      <w:pPr>
        <w:numPr>
          <w:ilvl w:val="0"/>
          <w:numId w:val="3"/>
        </w:numPr>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Наказ від 31.05.2023 № 995 Про затвердження Примірного табелю матеріально-технічного оснащення стаціонарних реабілітаційних відділень, підрозділів закладів охорони здоров'я, які надають реабілітаційну допомогу дорослим у післягострому реабілітаційному періоді  </w:t>
      </w:r>
      <w:r>
        <w:rPr>
          <w:rFonts w:hint="default" w:ascii="Times New Roman" w:hAnsi="Times New Roman" w:eastAsia="Times New Roman" w:cs="Times New Roman"/>
          <w:sz w:val="28"/>
          <w:szCs w:val="28"/>
        </w:rPr>
        <w:fldChar w:fldCharType="begin"/>
      </w:r>
      <w:r>
        <w:rPr>
          <w:rFonts w:hint="default" w:ascii="Times New Roman" w:hAnsi="Times New Roman" w:eastAsia="Times New Roman" w:cs="Times New Roman"/>
          <w:sz w:val="28"/>
          <w:szCs w:val="28"/>
        </w:rPr>
        <w:instrText xml:space="preserve"> HYPERLINK "https://zakon.rada.gov.ua/rada/show/v0995282-23" \l "Text" \h </w:instrText>
      </w:r>
      <w:r>
        <w:rPr>
          <w:rFonts w:hint="default" w:ascii="Times New Roman" w:hAnsi="Times New Roman" w:eastAsia="Times New Roman" w:cs="Times New Roman"/>
          <w:sz w:val="28"/>
          <w:szCs w:val="28"/>
        </w:rPr>
        <w:fldChar w:fldCharType="separate"/>
      </w:r>
      <w:r>
        <w:rPr>
          <w:rFonts w:hint="default" w:ascii="Times New Roman" w:hAnsi="Times New Roman" w:eastAsia="Times New Roman" w:cs="Times New Roman"/>
          <w:sz w:val="28"/>
          <w:szCs w:val="28"/>
        </w:rPr>
        <w:t>https://zakon.rada.gov.ua/rada/show/v0995282-23#Text</w:t>
      </w:r>
      <w:r>
        <w:rPr>
          <w:rFonts w:hint="default" w:ascii="Times New Roman" w:hAnsi="Times New Roman" w:eastAsia="Times New Roman" w:cs="Times New Roman"/>
          <w:sz w:val="28"/>
          <w:szCs w:val="28"/>
        </w:rPr>
        <w:fldChar w:fldCharType="end"/>
      </w:r>
      <w:r>
        <w:rPr>
          <w:rFonts w:hint="default" w:ascii="Times New Roman" w:hAnsi="Times New Roman" w:eastAsia="Times New Roman" w:cs="Times New Roman"/>
          <w:sz w:val="28"/>
          <w:szCs w:val="28"/>
          <w:lang w:val="ru-RU"/>
        </w:rPr>
        <w:t xml:space="preserve">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Генеральний директор директорату</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bCs/>
          <w:sz w:val="28"/>
          <w:szCs w:val="28"/>
          <w:lang w:val="uk-UA"/>
        </w:rPr>
      </w:pPr>
      <w:r>
        <w:rPr>
          <w:rFonts w:hint="default" w:ascii="Times New Roman" w:hAnsi="Times New Roman" w:eastAsia="Times New Roman" w:cs="Times New Roman"/>
          <w:b/>
          <w:bCs/>
          <w:sz w:val="28"/>
          <w:szCs w:val="28"/>
          <w:lang w:val="uk-UA"/>
        </w:rPr>
        <w:t xml:space="preserve">Фахової передвищої, </w:t>
      </w:r>
      <w:r>
        <w:rPr>
          <w:rFonts w:hint="default" w:ascii="Times New Roman" w:hAnsi="Times New Roman" w:eastAsia="Times New Roman" w:cs="Times New Roman"/>
          <w:b/>
          <w:bCs/>
          <w:sz w:val="28"/>
          <w:szCs w:val="28"/>
        </w:rPr>
        <w:t>вищої освіти</w:t>
      </w:r>
      <w:r>
        <w:rPr>
          <w:rFonts w:hint="default" w:ascii="Times New Roman" w:hAnsi="Times New Roman" w:eastAsia="Times New Roman" w:cs="Times New Roman"/>
          <w:b/>
          <w:bCs/>
          <w:sz w:val="28"/>
          <w:szCs w:val="28"/>
        </w:rPr>
        <w:tab/>
      </w:r>
      <w:r>
        <w:rPr>
          <w:rFonts w:hint="default" w:ascii="Times New Roman" w:hAnsi="Times New Roman" w:eastAsia="Times New Roman" w:cs="Times New Roman"/>
          <w:b/>
          <w:bCs/>
          <w:sz w:val="28"/>
          <w:szCs w:val="28"/>
        </w:rPr>
        <w:tab/>
      </w:r>
      <w:r>
        <w:rPr>
          <w:rFonts w:hint="default" w:ascii="Times New Roman" w:hAnsi="Times New Roman" w:eastAsia="Times New Roman" w:cs="Times New Roman"/>
          <w:b/>
          <w:bCs/>
          <w:sz w:val="28"/>
          <w:szCs w:val="28"/>
        </w:rPr>
        <w:tab/>
      </w:r>
      <w:r>
        <w:rPr>
          <w:rFonts w:hint="default" w:ascii="Times New Roman" w:hAnsi="Times New Roman" w:eastAsia="Times New Roman" w:cs="Times New Roman"/>
          <w:b/>
          <w:bCs/>
          <w:sz w:val="28"/>
          <w:szCs w:val="28"/>
        </w:rPr>
        <w:tab/>
      </w:r>
      <w:r>
        <w:rPr>
          <w:rFonts w:hint="default" w:ascii="Times New Roman" w:hAnsi="Times New Roman" w:eastAsia="Times New Roman" w:cs="Times New Roman"/>
          <w:b/>
          <w:bCs/>
          <w:sz w:val="28"/>
          <w:szCs w:val="28"/>
          <w:lang w:val="uk-UA"/>
        </w:rPr>
        <w:t>Олег ШАРОВ</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bCs/>
          <w:sz w:val="28"/>
          <w:szCs w:val="28"/>
        </w:rPr>
        <w:sectPr>
          <w:headerReference r:id="rId5" w:type="default"/>
          <w:pgSz w:w="11906" w:h="16838"/>
          <w:pgMar w:top="1134" w:right="525" w:bottom="1134" w:left="1261" w:header="708" w:footer="708" w:gutter="0"/>
          <w:pgNumType w:fmt="decimal"/>
          <w:cols w:space="720" w:num="1"/>
        </w:sect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b/>
          <w:sz w:val="28"/>
          <w:szCs w:val="28"/>
          <w:lang w:val="ru-RU"/>
        </w:rPr>
      </w:pPr>
      <w:r>
        <w:rPr>
          <w:rFonts w:hint="default" w:ascii="Times New Roman" w:hAnsi="Times New Roman" w:eastAsia="Times New Roman" w:cs="Times New Roman"/>
          <w:i/>
          <w:sz w:val="28"/>
          <w:szCs w:val="28"/>
        </w:rPr>
        <w:t xml:space="preserve">Додаток </w:t>
      </w:r>
      <w:r>
        <w:rPr>
          <w:rFonts w:hint="default" w:ascii="Times New Roman" w:hAnsi="Times New Roman" w:eastAsia="Times New Roman" w:cs="Times New Roman"/>
          <w:i/>
          <w:sz w:val="28"/>
          <w:szCs w:val="28"/>
          <w:lang w:val="ru-RU"/>
        </w:rPr>
        <w:t>1</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Пояснювальна записка у</w:t>
      </w: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Таблиця 1</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i/>
          <w:sz w:val="28"/>
          <w:szCs w:val="28"/>
        </w:rPr>
      </w:pPr>
      <w:r>
        <w:rPr>
          <w:rFonts w:hint="default" w:ascii="Times New Roman" w:hAnsi="Times New Roman" w:eastAsia="Times New Roman" w:cs="Times New Roman"/>
          <w:b/>
          <w:i/>
          <w:sz w:val="28"/>
          <w:szCs w:val="28"/>
        </w:rPr>
        <w:t>Матриця відповідності визначених Стандартом компетентностей дескрипторам НРК</w:t>
      </w:r>
    </w:p>
    <w:tbl>
      <w:tblPr>
        <w:tblStyle w:val="79"/>
        <w:tblW w:w="15195" w:type="dxa"/>
        <w:tblInd w:w="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1365"/>
        <w:gridCol w:w="2610"/>
        <w:gridCol w:w="3000"/>
        <w:gridCol w:w="2820"/>
        <w:gridCol w:w="54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2535" w:hRule="atLeast"/>
        </w:trPr>
        <w:tc>
          <w:tcPr>
            <w:tcW w:w="1365" w:type="dxa"/>
            <w:tcBorders>
              <w:top w:val="single" w:color="000000" w:sz="8" w:space="0"/>
              <w:left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Класифі- кація компетент- ностей за НРК</w:t>
            </w:r>
          </w:p>
        </w:tc>
        <w:tc>
          <w:tcPr>
            <w:tcW w:w="2610"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i w:val="0"/>
                <w:iCs/>
                <w:sz w:val="20"/>
                <w:szCs w:val="20"/>
              </w:rPr>
            </w:pPr>
            <w:r>
              <w:rPr>
                <w:rFonts w:hint="default" w:ascii="Times New Roman" w:hAnsi="Times New Roman" w:eastAsia="Times New Roman" w:cs="Times New Roman"/>
                <w:b/>
                <w:i w:val="0"/>
                <w:iCs/>
                <w:sz w:val="20"/>
                <w:szCs w:val="20"/>
              </w:rPr>
              <w:t>Знання</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Зн1</w:t>
            </w:r>
            <w:r>
              <w:rPr>
                <w:rFonts w:hint="default" w:ascii="Times New Roman" w:hAnsi="Times New Roman" w:eastAsia="Times New Roman" w:cs="Times New Roman"/>
                <w:i w:val="0"/>
                <w:iCs/>
                <w:sz w:val="18"/>
                <w:szCs w:val="18"/>
              </w:rPr>
              <w:t xml:space="preserve"> Концептуальні наукові та практичні знання</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Зн2</w:t>
            </w:r>
            <w:r>
              <w:rPr>
                <w:rFonts w:hint="default" w:ascii="Times New Roman" w:hAnsi="Times New Roman" w:eastAsia="Times New Roman" w:cs="Times New Roman"/>
                <w:i w:val="0"/>
                <w:iCs/>
                <w:sz w:val="18"/>
                <w:szCs w:val="18"/>
              </w:rPr>
              <w:t xml:space="preserve"> Критичне осмислення теорій, принципів, методів і понять у сфері професійної діяльності та/або навчання</w:t>
            </w:r>
          </w:p>
        </w:tc>
        <w:tc>
          <w:tcPr>
            <w:tcW w:w="3000"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i w:val="0"/>
                <w:iCs/>
                <w:sz w:val="20"/>
                <w:szCs w:val="20"/>
              </w:rPr>
            </w:pPr>
            <w:r>
              <w:rPr>
                <w:rFonts w:hint="default" w:ascii="Times New Roman" w:hAnsi="Times New Roman" w:eastAsia="Times New Roman" w:cs="Times New Roman"/>
                <w:b/>
                <w:i w:val="0"/>
                <w:iCs/>
                <w:sz w:val="20"/>
                <w:szCs w:val="20"/>
              </w:rPr>
              <w:t>Уміння/Навички</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 xml:space="preserve">Ум1 </w:t>
            </w:r>
            <w:r>
              <w:rPr>
                <w:rFonts w:hint="default" w:ascii="Times New Roman" w:hAnsi="Times New Roman" w:eastAsia="Times New Roman" w:cs="Times New Roman"/>
                <w:i w:val="0"/>
                <w:iCs/>
                <w:sz w:val="18"/>
                <w:szCs w:val="18"/>
              </w:rPr>
              <w:t xml:space="preserve">  Поглиблені когнітивні та практичні уміння/навички, майстерність та   інноваційність на рівні, необхідному для розв'язання складних спеціалізованих   задач і практичних проблем у сфері професійної діяльності або навчання</w:t>
            </w:r>
          </w:p>
        </w:tc>
        <w:tc>
          <w:tcPr>
            <w:tcW w:w="2820"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i w:val="0"/>
                <w:iCs/>
                <w:sz w:val="20"/>
                <w:szCs w:val="20"/>
              </w:rPr>
            </w:pPr>
            <w:r>
              <w:rPr>
                <w:rFonts w:hint="default" w:ascii="Times New Roman" w:hAnsi="Times New Roman" w:eastAsia="Times New Roman" w:cs="Times New Roman"/>
                <w:b/>
                <w:i w:val="0"/>
                <w:iCs/>
                <w:sz w:val="20"/>
                <w:szCs w:val="20"/>
              </w:rPr>
              <w:t>Комунікація</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К1</w:t>
            </w:r>
            <w:r>
              <w:rPr>
                <w:rFonts w:hint="default" w:ascii="Times New Roman" w:hAnsi="Times New Roman" w:eastAsia="Times New Roman" w:cs="Times New Roman"/>
                <w:i w:val="0"/>
                <w:iCs/>
                <w:sz w:val="18"/>
                <w:szCs w:val="18"/>
              </w:rPr>
              <w:t xml:space="preserve"> Донесення до фахівців і нефахівців  інформації, ідей, проблем, рішень, власного досвіду та аргументації</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К2</w:t>
            </w:r>
            <w:r>
              <w:rPr>
                <w:rFonts w:hint="default" w:ascii="Times New Roman" w:hAnsi="Times New Roman" w:eastAsia="Times New Roman" w:cs="Times New Roman"/>
                <w:i w:val="0"/>
                <w:iCs/>
                <w:sz w:val="18"/>
                <w:szCs w:val="18"/>
              </w:rPr>
              <w:t xml:space="preserve"> Збір, інтерпретація та застосування даних</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 xml:space="preserve">К3 </w:t>
            </w:r>
            <w:r>
              <w:rPr>
                <w:rFonts w:hint="default" w:ascii="Times New Roman" w:hAnsi="Times New Roman" w:eastAsia="Times New Roman" w:cs="Times New Roman"/>
                <w:i w:val="0"/>
                <w:iCs/>
                <w:sz w:val="18"/>
                <w:szCs w:val="18"/>
              </w:rPr>
              <w:t>спілкування з професійних питань, у тому числі  іноземною мовою, усно та письмово</w:t>
            </w:r>
          </w:p>
        </w:tc>
        <w:tc>
          <w:tcPr>
            <w:tcW w:w="5400"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i w:val="0"/>
                <w:iCs/>
                <w:sz w:val="28"/>
                <w:szCs w:val="28"/>
              </w:rPr>
            </w:pPr>
            <w:r>
              <w:rPr>
                <w:rFonts w:hint="default" w:ascii="Times New Roman" w:hAnsi="Times New Roman" w:eastAsia="Times New Roman" w:cs="Times New Roman"/>
                <w:b/>
                <w:i w:val="0"/>
                <w:iCs/>
                <w:sz w:val="20"/>
                <w:szCs w:val="20"/>
              </w:rPr>
              <w:t>Відповідальність</w:t>
            </w:r>
            <w:r>
              <w:rPr>
                <w:rFonts w:hint="default" w:ascii="Times New Roman" w:hAnsi="Times New Roman" w:eastAsia="Times New Roman" w:cs="Times New Roman"/>
                <w:i w:val="0"/>
                <w:iCs/>
                <w:sz w:val="20"/>
                <w:szCs w:val="20"/>
              </w:rPr>
              <w:t xml:space="preserve"> </w:t>
            </w:r>
            <w:r>
              <w:rPr>
                <w:rFonts w:hint="default" w:ascii="Times New Roman" w:hAnsi="Times New Roman" w:eastAsia="Times New Roman" w:cs="Times New Roman"/>
                <w:b/>
                <w:i w:val="0"/>
                <w:iCs/>
                <w:sz w:val="28"/>
                <w:szCs w:val="28"/>
              </w:rPr>
              <w:t>і автономія</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АВ1</w:t>
            </w:r>
            <w:r>
              <w:rPr>
                <w:rFonts w:hint="default" w:ascii="Times New Roman" w:hAnsi="Times New Roman" w:eastAsia="Times New Roman" w:cs="Times New Roman"/>
                <w:i w:val="0"/>
                <w:iCs/>
                <w:sz w:val="18"/>
                <w:szCs w:val="18"/>
              </w:rPr>
              <w:t xml:space="preserve"> Управління складною технічною або  професійною діяльністю чи проектами</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АВ2</w:t>
            </w:r>
            <w:r>
              <w:rPr>
                <w:rFonts w:hint="default" w:ascii="Times New Roman" w:hAnsi="Times New Roman" w:eastAsia="Times New Roman" w:cs="Times New Roman"/>
                <w:i w:val="0"/>
                <w:iCs/>
                <w:sz w:val="18"/>
                <w:szCs w:val="18"/>
              </w:rPr>
              <w:t xml:space="preserve"> Спроможність нести відповідальність за</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i w:val="0"/>
                <w:iCs/>
                <w:sz w:val="18"/>
                <w:szCs w:val="18"/>
              </w:rPr>
              <w:t xml:space="preserve">  вироблення та ухвалення рішень у непередбачуваних робочих та/або навчальних   контекстах</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АВ3</w:t>
            </w:r>
            <w:r>
              <w:rPr>
                <w:rFonts w:hint="default" w:ascii="Times New Roman" w:hAnsi="Times New Roman" w:eastAsia="Times New Roman" w:cs="Times New Roman"/>
                <w:i w:val="0"/>
                <w:iCs/>
                <w:sz w:val="18"/>
                <w:szCs w:val="18"/>
              </w:rPr>
              <w:t xml:space="preserve"> Формування суджень, що враховують   соціальні, наукові та етичні аспекти</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АВ4</w:t>
            </w:r>
            <w:r>
              <w:rPr>
                <w:rFonts w:hint="default" w:ascii="Times New Roman" w:hAnsi="Times New Roman" w:eastAsia="Times New Roman" w:cs="Times New Roman"/>
                <w:i w:val="0"/>
                <w:iCs/>
                <w:sz w:val="18"/>
                <w:szCs w:val="18"/>
              </w:rPr>
              <w:t xml:space="preserve"> організація та керівництво професійним   розвитком осіб та груп</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18"/>
                <w:szCs w:val="18"/>
              </w:rPr>
            </w:pPr>
            <w:r>
              <w:rPr>
                <w:rFonts w:hint="default" w:ascii="Times New Roman" w:hAnsi="Times New Roman" w:eastAsia="Times New Roman" w:cs="Times New Roman"/>
                <w:b/>
                <w:i w:val="0"/>
                <w:iCs/>
                <w:sz w:val="18"/>
                <w:szCs w:val="18"/>
              </w:rPr>
              <w:t xml:space="preserve">АВ5 </w:t>
            </w:r>
            <w:r>
              <w:rPr>
                <w:rFonts w:hint="default" w:ascii="Times New Roman" w:hAnsi="Times New Roman" w:eastAsia="Times New Roman" w:cs="Times New Roman"/>
                <w:i w:val="0"/>
                <w:iCs/>
                <w:sz w:val="18"/>
                <w:szCs w:val="18"/>
              </w:rPr>
              <w:t>Здатність   продовжувати навчання із значним ступенем автономії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5195" w:type="dxa"/>
            <w:gridSpan w:val="5"/>
            <w:tcBorders>
              <w:left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Загальні компетентності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388"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01</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К2</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02</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03</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 xml:space="preserve"> </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04</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8"/>
                <w:szCs w:val="28"/>
              </w:rPr>
            </w:pP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05</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06</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8"/>
                <w:szCs w:val="28"/>
              </w:rPr>
            </w:pP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07</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08</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09</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10</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ЗК 11</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К2</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5195" w:type="dxa"/>
            <w:gridSpan w:val="5"/>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Спеціальні (фахові) компетентності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01</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К2</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02</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К2</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03</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04</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05</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06</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07</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365"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СК 08</w:t>
            </w:r>
          </w:p>
        </w:tc>
        <w:tc>
          <w:tcPr>
            <w:tcW w:w="261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Зн 1, Зн 2</w:t>
            </w:r>
          </w:p>
        </w:tc>
        <w:tc>
          <w:tcPr>
            <w:tcW w:w="30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Ум 1</w:t>
            </w:r>
          </w:p>
        </w:tc>
        <w:tc>
          <w:tcPr>
            <w:tcW w:w="282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4"/>
                <w:szCs w:val="24"/>
              </w:rPr>
            </w:pPr>
            <w:r>
              <w:rPr>
                <w:rFonts w:hint="default" w:ascii="Times New Roman" w:hAnsi="Times New Roman" w:eastAsia="Times New Roman" w:cs="Times New Roman"/>
                <w:i w:val="0"/>
                <w:iCs/>
                <w:sz w:val="24"/>
                <w:szCs w:val="24"/>
              </w:rPr>
              <w:t>К1, К2, К3</w:t>
            </w:r>
          </w:p>
        </w:tc>
        <w:tc>
          <w:tcPr>
            <w:tcW w:w="5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val="0"/>
                <w:iCs/>
                <w:sz w:val="26"/>
                <w:szCs w:val="26"/>
              </w:rPr>
            </w:pPr>
            <w:r>
              <w:rPr>
                <w:rFonts w:hint="default" w:ascii="Times New Roman" w:hAnsi="Times New Roman" w:eastAsia="Times New Roman" w:cs="Times New Roman"/>
                <w:i w:val="0"/>
                <w:iCs/>
                <w:sz w:val="26"/>
                <w:szCs w:val="26"/>
              </w:rPr>
              <w:t>АВ 2, АВ 3, АВ 5</w:t>
            </w:r>
          </w:p>
        </w:tc>
      </w:tr>
    </w:tbl>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 xml:space="preserve"> </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i/>
          <w:sz w:val="28"/>
          <w:szCs w:val="28"/>
        </w:rPr>
      </w:pPr>
      <w:r>
        <w:rPr>
          <w:rFonts w:hint="default" w:ascii="Times New Roman" w:hAnsi="Times New Roman" w:cs="Times New Roman"/>
        </w:rPr>
        <w:br w:type="page"/>
      </w: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Таблиця 2</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Матриця відповідності визначених Стандартом результатам навчання та компетентностей</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p>
    <w:tbl>
      <w:tblPr>
        <w:tblStyle w:val="80"/>
        <w:tblW w:w="15716" w:type="dxa"/>
        <w:tblInd w:w="-42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6597"/>
        <w:gridCol w:w="479"/>
        <w:gridCol w:w="480"/>
        <w:gridCol w:w="480"/>
        <w:gridCol w:w="480"/>
        <w:gridCol w:w="480"/>
        <w:gridCol w:w="480"/>
        <w:gridCol w:w="480"/>
        <w:gridCol w:w="480"/>
        <w:gridCol w:w="480"/>
        <w:gridCol w:w="480"/>
        <w:gridCol w:w="480"/>
        <w:gridCol w:w="480"/>
        <w:gridCol w:w="480"/>
        <w:gridCol w:w="480"/>
        <w:gridCol w:w="480"/>
        <w:gridCol w:w="480"/>
        <w:gridCol w:w="480"/>
        <w:gridCol w:w="480"/>
        <w:gridCol w:w="48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62" w:hRule="atLeast"/>
        </w:trPr>
        <w:tc>
          <w:tcPr>
            <w:tcW w:w="6597" w:type="dxa"/>
            <w:vMerge w:val="restart"/>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Результати навчання</w:t>
            </w:r>
          </w:p>
        </w:tc>
        <w:tc>
          <w:tcPr>
            <w:tcW w:w="9119" w:type="dxa"/>
            <w:gridSpan w:val="19"/>
            <w:shd w:val="clear" w:color="auto" w:fill="auto"/>
            <w:tcMar>
              <w:top w:w="100" w:type="dxa"/>
              <w:left w:w="100" w:type="dxa"/>
              <w:bottom w:w="100" w:type="dxa"/>
              <w:right w:w="100" w:type="dxa"/>
            </w:tcMar>
          </w:tcPr>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Компетентності</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50" w:hRule="atLeast"/>
        </w:trPr>
        <w:tc>
          <w:tcPr>
            <w:tcW w:w="6597" w:type="dxa"/>
            <w:vMerge w:val="continue"/>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9119" w:type="dxa"/>
            <w:gridSpan w:val="19"/>
            <w:shd w:val="clear" w:color="auto" w:fill="auto"/>
            <w:tcMar>
              <w:top w:w="100" w:type="dxa"/>
              <w:left w:w="100" w:type="dxa"/>
              <w:bottom w:w="100" w:type="dxa"/>
              <w:right w:w="100" w:type="dxa"/>
            </w:tcMar>
          </w:tcPr>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Інтегральна компетентність</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33" w:hRule="atLeast"/>
        </w:trPr>
        <w:tc>
          <w:tcPr>
            <w:tcW w:w="6597" w:type="dxa"/>
            <w:vMerge w:val="continue"/>
            <w:tcBorders>
              <w:top w:val="single" w:color="000000" w:sz="4" w:space="0"/>
              <w:left w:val="single" w:color="000000" w:sz="4" w:space="0"/>
              <w:bottom w:val="single" w:color="000000" w:sz="4" w:space="0"/>
              <w:right w:val="single" w:color="000000" w:sz="4" w:space="0"/>
            </w:tcBorders>
            <w:shd w:val="clear" w:color="auto" w:fill="auto"/>
            <w:tcMar>
              <w:top w:w="100" w:type="dxa"/>
              <w:left w:w="100" w:type="dxa"/>
              <w:bottom w:w="100" w:type="dxa"/>
              <w:right w:w="100" w:type="dxa"/>
            </w:tcMar>
          </w:tcPr>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0"/>
                <w:szCs w:val="20"/>
              </w:rPr>
            </w:pPr>
          </w:p>
        </w:tc>
        <w:tc>
          <w:tcPr>
            <w:tcW w:w="5279" w:type="dxa"/>
            <w:gridSpan w:val="11"/>
            <w:shd w:val="clear" w:color="auto" w:fill="auto"/>
            <w:tcMar>
              <w:top w:w="100" w:type="dxa"/>
              <w:left w:w="100" w:type="dxa"/>
              <w:bottom w:w="100" w:type="dxa"/>
              <w:right w:w="100" w:type="dxa"/>
            </w:tcMar>
          </w:tcPr>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Загальні компетентності</w:t>
            </w:r>
          </w:p>
        </w:tc>
        <w:tc>
          <w:tcPr>
            <w:tcW w:w="3840" w:type="dxa"/>
            <w:gridSpan w:val="8"/>
            <w:shd w:val="clear" w:color="auto" w:fill="auto"/>
            <w:tcMar>
              <w:top w:w="100" w:type="dxa"/>
              <w:left w:w="100" w:type="dxa"/>
              <w:bottom w:w="100" w:type="dxa"/>
              <w:right w:w="100" w:type="dxa"/>
            </w:tcMar>
          </w:tcPr>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Спеціальні (фахові) компетентності</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400" w:hRule="atLeast"/>
        </w:trPr>
        <w:tc>
          <w:tcPr>
            <w:tcW w:w="6597" w:type="dxa"/>
            <w:vMerge w:val="continue"/>
            <w:tcBorders>
              <w:top w:val="single" w:color="000000" w:sz="4" w:space="0"/>
              <w:left w:val="single" w:color="000000" w:sz="4" w:space="0"/>
              <w:bottom w:val="single" w:color="000000" w:sz="4" w:space="0"/>
              <w:right w:val="single" w:color="000000" w:sz="4" w:space="0"/>
            </w:tcBorders>
            <w:shd w:val="clear" w:color="auto" w:fill="auto"/>
            <w:tcMar>
              <w:top w:w="100" w:type="dxa"/>
              <w:left w:w="100" w:type="dxa"/>
              <w:bottom w:w="100" w:type="dxa"/>
              <w:right w:w="100" w:type="dxa"/>
            </w:tcMar>
          </w:tcPr>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0"/>
                <w:szCs w:val="20"/>
              </w:rPr>
            </w:pPr>
          </w:p>
        </w:tc>
        <w:tc>
          <w:tcPr>
            <w:tcW w:w="479"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 01</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 02</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 03</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04</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05</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06</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07</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08</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09</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10</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ЗК 11</w:t>
            </w:r>
          </w:p>
        </w:tc>
        <w:tc>
          <w:tcPr>
            <w:tcW w:w="480"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 01</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 02</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 03</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04</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05</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06</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07</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СК</w:t>
            </w:r>
          </w:p>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18"/>
                <w:szCs w:val="18"/>
              </w:rPr>
            </w:pPr>
            <w:r>
              <w:rPr>
                <w:rFonts w:hint="default" w:ascii="Times New Roman" w:hAnsi="Times New Roman" w:eastAsia="Times New Roman" w:cs="Times New Roman"/>
                <w:sz w:val="18"/>
                <w:szCs w:val="18"/>
              </w:rPr>
              <w:t>08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01. Демонструвати знання щодо зміцнення та збереження індивідуального та громадського здоров'я шляхом використання рухової активності людини</w:t>
            </w:r>
          </w:p>
        </w:tc>
        <w:tc>
          <w:tcPr>
            <w:tcW w:w="479"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РН 02. Демонструвати вміння спілкуватися українською та іноземними мовами у професійному середовищі, володіти фаховою термінологією та професійним дискурсом. </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339" w:hRule="atLeast"/>
        </w:trPr>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03. Дотримуватися етики професійного спілкування.</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309" w:hRule="atLeast"/>
        </w:trPr>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04.  Документувати результати професійної діяльності.</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05. Працювати з комп’ютерною технікою; здійснювати  комунікаційну взаємодію у соціальних мережах; здобувати, накопичувати, систематизувати фахову інформацію за допомогою інформаційно-комунікаційних технологій</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06. Демонструвати знання процесів державно-політичного та соціально-економічного розвитку українського суспільства, сутність перетворень, що відбуваються в державі; розуміти основні філософські категорії та поняття</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07. Застосовувати знання медико-біологічних, психолого-педагогічних, соціальних аспектів у практиці фізичної терапії; виявляти та враховувати зв’язки різних елементів</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539" w:hRule="atLeast"/>
        </w:trPr>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08. Надавати домедичну допомогу при невідкладних станах; вибирати методи та засоби збереження життя</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524" w:hRule="atLeast"/>
        </w:trPr>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09. Аналізувати  і застосовувати сучасні науково-доказові дані  для виконання професійних завдань</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14"/>
                <w:szCs w:val="14"/>
              </w:rPr>
            </w:pPr>
            <w:r>
              <w:rPr>
                <w:rFonts w:hint="default" w:ascii="Times New Roman" w:hAnsi="Times New Roman" w:eastAsia="Times New Roman" w:cs="Times New Roman"/>
                <w:sz w:val="20"/>
                <w:szCs w:val="20"/>
              </w:rPr>
              <w:t xml:space="preserve">РН 10. Визначати симптоми та синдроми (Додаток 1); описувати обмеження функціонування пацієнта/клієнта за Класифікатором функціонування, обмеження життєдіяльності та здоров’я  НК 030:2022 </w:t>
            </w:r>
            <w:r>
              <w:rPr>
                <w:rFonts w:hint="default" w:ascii="Times New Roman" w:hAnsi="Times New Roman" w:eastAsia="Times New Roman" w:cs="Times New Roman"/>
              </w:rPr>
              <w:t>та визначати  реабілітаційні інтервенції за Класифікатором медичних інтервенцій НК 026:2021</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11. Застосовувати компоненти обстеження та контролю у фізичній терапії; використовувати методи й інструменти визначення та вимірювання структурних змін та порушених функцій організму, активності та участі (Додаток 1); оцінювати отриману інформацію</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12. Реалізовувати індивідуальну програму фізичної терапії, або компоненти індивідуального реабілітаційного плану, які стосуються фізичної терапії, демонструвати уміння здійснювати заходи фізичної терапії для корекції порушень структури/функцій та асоційованих з ними обмежень активності та участі (додаток 2)</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13. Провадити  пацієнтоцентричну практичну діяльність за узгодженням із пацієнтом/клієнтом, його родиною/опікунами, членами мультидисциплінарної команди згідно нормативно-правових вимог та норм професійної етики</w:t>
            </w:r>
          </w:p>
        </w:tc>
        <w:tc>
          <w:tcPr>
            <w:tcW w:w="479"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highlight w:val="yellow"/>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434" w:hRule="atLeast"/>
        </w:trPr>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14. Провадити безпечну для пацієнта/клієнта та практикуючого фахівця професійну діяльність</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shd w:val="clear" w:color="auto" w:fill="auto"/>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15. Безпечно та ефективно використовувати обладнання для проведення реабілітаційних заходів, контролю основних життєвих показників пацієнта, допоміжні засоби реабілітації</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16. Демонструвати уміння вербального і невербального спілкування з особами та групами співрозмовників, різними за віком, рівнем освіти, соціальною і професійною приналежністю,  психологічними та когнітивними якостями тощо; у тому числі  у мультидисциплінарній команді</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509" w:hRule="atLeast"/>
        </w:trPr>
        <w:tc>
          <w:tcPr>
            <w:tcW w:w="6597"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17. Проводити інструктаж та навчання пацієнтів/клієнтів, членів їх родин, опікунів</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18. Оцінювати результати виконання заходів фізичної терапії, використовуючи відповідний інструментарій (згідно додатку 1), та за потреби, модифіковувати поточну діяльність</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tcW w:w="6597"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РН 19. Демонструвати готовність оцінювати себе критично, засвоювати нову фахову інформацію, поглиблювати знання з допомогою самоосвіти, оцінювати й представляти власний досвід, аналізувати й застосовувати досвід колег</w:t>
            </w:r>
          </w:p>
        </w:tc>
        <w:tc>
          <w:tcPr>
            <w:tcW w:w="479"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w:t>
            </w:r>
          </w:p>
        </w:tc>
        <w:tc>
          <w:tcPr>
            <w:tcW w:w="48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0"/>
                <w:szCs w:val="20"/>
              </w:rPr>
              <w:t xml:space="preserve"> </w:t>
            </w:r>
          </w:p>
        </w:tc>
      </w:tr>
    </w:tbl>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4"/>
          <w:szCs w:val="24"/>
        </w:rPr>
        <w:sectPr>
          <w:pgSz w:w="16838" w:h="11906" w:orient="landscape"/>
          <w:pgMar w:top="821" w:right="1134" w:bottom="680" w:left="1134" w:header="709" w:footer="709" w:gutter="0"/>
          <w:pgNumType w:fmt="decimal"/>
          <w:cols w:space="720" w:num="1"/>
        </w:sectPr>
      </w:pPr>
      <w:r>
        <w:rPr>
          <w:rFonts w:hint="default" w:ascii="Times New Roman" w:hAnsi="Times New Roman" w:eastAsia="Times New Roman" w:cs="Times New Roman"/>
          <w:b/>
          <w:sz w:val="24"/>
          <w:szCs w:val="24"/>
        </w:rPr>
        <w:t>Примітка:</w:t>
      </w:r>
      <w:r>
        <w:rPr>
          <w:rFonts w:hint="default" w:ascii="Times New Roman" w:hAnsi="Times New Roman" w:eastAsia="Times New Roman" w:cs="Times New Roman"/>
          <w:sz w:val="24"/>
          <w:szCs w:val="24"/>
        </w:rPr>
        <w:t xml:space="preserve"> «+» відповідність результатів навчання та компетентностей. </w:t>
      </w: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lang w:val="ru-RU"/>
        </w:rPr>
      </w:pPr>
      <w:r>
        <w:rPr>
          <w:rFonts w:hint="default" w:ascii="Times New Roman" w:hAnsi="Times New Roman" w:eastAsia="Times New Roman" w:cs="Times New Roman"/>
          <w:i/>
          <w:sz w:val="28"/>
          <w:szCs w:val="28"/>
        </w:rPr>
        <w:t xml:space="preserve">Додаток </w:t>
      </w:r>
      <w:r>
        <w:rPr>
          <w:rFonts w:hint="default" w:ascii="Times New Roman" w:hAnsi="Times New Roman" w:eastAsia="Times New Roman" w:cs="Times New Roman"/>
          <w:i/>
          <w:sz w:val="28"/>
          <w:szCs w:val="28"/>
          <w:lang w:val="ru-RU"/>
        </w:rPr>
        <w:t>1</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color w:val="000000"/>
          <w:sz w:val="28"/>
          <w:szCs w:val="28"/>
        </w:rPr>
        <w:t>Базові компоненти обстеження та контролю</w:t>
      </w:r>
      <w:r>
        <w:rPr>
          <w:rFonts w:hint="default" w:ascii="Times New Roman" w:hAnsi="Times New Roman" w:eastAsia="Times New Roman" w:cs="Times New Roman"/>
          <w:b/>
          <w:sz w:val="28"/>
          <w:szCs w:val="28"/>
        </w:rPr>
        <w:t xml:space="preserve"> стану пацієнта/клієнта фізичним терапевтом при порушеннях наступних систем:</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1. Серцево-судинна та дихальна системи</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color w:val="000000"/>
          <w:sz w:val="28"/>
          <w:szCs w:val="28"/>
        </w:rPr>
      </w:pPr>
      <w:r>
        <w:rPr>
          <w:rFonts w:hint="default" w:ascii="Times New Roman" w:hAnsi="Times New Roman" w:eastAsia="Times New Roman" w:cs="Times New Roman"/>
          <w:b/>
          <w:color w:val="000000"/>
          <w:sz w:val="28"/>
          <w:szCs w:val="28"/>
        </w:rPr>
        <w:t>Симптоми, синдроми та порушення:</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кашель</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задишка</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запаморочення</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приступ ядухи</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біль</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включення у роботу допоміжних дихальних м’язів</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тахікардія</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ціаноз</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набряк</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аритмія</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посилене серцебиття</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ослаблене дихання</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жорстке дихання, патологічне бронхіальне дихання</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крепітація, хрипи, шум тертя плеври</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коробковий перкуторний звук</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тупий (притуплений) перкуторний звук</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тимпанічний перкуторний звук</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катаральні зміни </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підвищення кров'яного тиску</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зниження кров'яного тиску</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синдром дихальної недостатності</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синдром серцевої недостатності</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бронхообструктивний синдром</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загально інтоксикаційний синдром</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бронхо-легенево-плевральний синдром</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легеневе серце</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накопичення повітря у плевральній порожнині</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накопичення ексудату у плевральній порожнині</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плевральні спайки</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спадання легеневої тканини</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фіброз, склероз</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деструктивні зміни бронхів/легеневої тканини</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гіпер- гіпотонічний криз</w:t>
      </w:r>
    </w:p>
    <w:p>
      <w:pPr>
        <w:numPr>
          <w:ilvl w:val="0"/>
          <w:numId w:val="5"/>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аритмії серця</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Засоби та методи обстеження у фізичній терапії:</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опитування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спостереження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антропометрія </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пальпація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перкусія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аускультація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функціональні тести</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спірографія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пневмотахометрія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пікфлоуметрія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пульсооксиметрія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вимірювання артеріального тиску</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p>
    <w:p>
      <w:pPr>
        <w:numPr>
          <w:ilvl w:val="0"/>
          <w:numId w:val="7"/>
        </w:num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color w:val="000000"/>
          <w:sz w:val="28"/>
          <w:szCs w:val="28"/>
        </w:rPr>
        <w:t>О</w:t>
      </w:r>
      <w:r>
        <w:rPr>
          <w:rFonts w:hint="default" w:ascii="Times New Roman" w:hAnsi="Times New Roman" w:eastAsia="Times New Roman" w:cs="Times New Roman"/>
          <w:b/>
          <w:sz w:val="28"/>
          <w:szCs w:val="28"/>
        </w:rPr>
        <w:t>порно-руховий апарат</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color w:val="000000"/>
          <w:sz w:val="28"/>
          <w:szCs w:val="28"/>
        </w:rPr>
      </w:pPr>
      <w:r>
        <w:rPr>
          <w:rFonts w:hint="default" w:ascii="Times New Roman" w:hAnsi="Times New Roman" w:eastAsia="Times New Roman" w:cs="Times New Roman"/>
          <w:b/>
          <w:color w:val="000000"/>
          <w:sz w:val="28"/>
          <w:szCs w:val="28"/>
        </w:rPr>
        <w:t>Симптоми, синдроми та порушення:</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біль</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набряки </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амплітуди руху</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зменшення м’язової сили та м’язова атрофія</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зменшення м’язової витривалості</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порушення рівноваги та координації </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порушення </w:t>
      </w:r>
      <w:r>
        <w:rPr>
          <w:rFonts w:hint="default" w:ascii="Times New Roman" w:hAnsi="Times New Roman" w:eastAsia="Times New Roman" w:cs="Times New Roman"/>
          <w:sz w:val="28"/>
          <w:szCs w:val="28"/>
        </w:rPr>
        <w:t>активності</w:t>
      </w:r>
      <w:r>
        <w:rPr>
          <w:rFonts w:hint="default" w:ascii="Times New Roman" w:hAnsi="Times New Roman" w:eastAsia="Times New Roman" w:cs="Times New Roman"/>
          <w:color w:val="000000"/>
          <w:sz w:val="28"/>
          <w:szCs w:val="28"/>
        </w:rPr>
        <w:t xml:space="preserve"> (присідання, хода, хода сходами, нахил тулуба, ротація тулуба, хапання, відштовхування та притягування, піднімання та перенесення та інші)</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color w:val="000000"/>
          <w:sz w:val="28"/>
          <w:szCs w:val="28"/>
        </w:rPr>
      </w:pPr>
      <w:r>
        <w:rPr>
          <w:rFonts w:hint="default" w:ascii="Times New Roman" w:hAnsi="Times New Roman" w:eastAsia="Times New Roman" w:cs="Times New Roman"/>
          <w:b/>
          <w:color w:val="000000"/>
          <w:sz w:val="28"/>
          <w:szCs w:val="28"/>
        </w:rPr>
        <w:t>Засоби та методи обстеження у фізичній терапії:</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опитування</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спостереження</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антропометрія</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пальпація</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суглобова гра</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визначення інтенсивності та динаміки болю</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оцінювання активного та пасивного руху</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вимірювання амплітуди руху у суглобах (гоніометрія тощо)</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визначення м’язової сили (мануальне м’язове тестування, динамометрія тощо)</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визначення м’язової витривалості</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визначення рівноваги та координації</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оцінювання активності (</w:t>
      </w:r>
      <w:r>
        <w:rPr>
          <w:rFonts w:hint="default" w:ascii="Times New Roman" w:hAnsi="Times New Roman" w:eastAsia="Times New Roman" w:cs="Times New Roman"/>
          <w:sz w:val="28"/>
          <w:szCs w:val="28"/>
        </w:rPr>
        <w:t>присідання, хода, хода сходами, нахил тулуба, ротація тулуба, хапання, відштовхування та притягування, піднімання та перенесення та інші</w:t>
      </w:r>
      <w:r>
        <w:rPr>
          <w:rFonts w:hint="default" w:ascii="Times New Roman" w:hAnsi="Times New Roman" w:eastAsia="Times New Roman" w:cs="Times New Roman"/>
          <w:color w:val="000000"/>
          <w:sz w:val="28"/>
          <w:szCs w:val="28"/>
        </w:rPr>
        <w:t>)</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оцінка стану кукси</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3. Неврологічні розлади</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color w:val="000000"/>
          <w:sz w:val="28"/>
          <w:szCs w:val="28"/>
        </w:rPr>
      </w:pPr>
      <w:r>
        <w:rPr>
          <w:rFonts w:hint="default" w:ascii="Times New Roman" w:hAnsi="Times New Roman" w:eastAsia="Times New Roman" w:cs="Times New Roman"/>
          <w:b/>
          <w:color w:val="000000"/>
          <w:sz w:val="28"/>
          <w:szCs w:val="28"/>
        </w:rPr>
        <w:t>Симптоми, синдроми та порушення:</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біль</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набряки</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парези та плегії</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м’язова атрофія</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м’язового тонусу</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амплітуди руху</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чутливості</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стану свідомості</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когнітивних функцій</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зорових функцій та сприйняття</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просторово-зорові порушення</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зменшення м’язової витривалості</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порушення рівноваги та координації</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порушення </w:t>
      </w:r>
      <w:r>
        <w:rPr>
          <w:rFonts w:hint="default" w:ascii="Times New Roman" w:hAnsi="Times New Roman" w:eastAsia="Times New Roman" w:cs="Times New Roman"/>
          <w:sz w:val="28"/>
          <w:szCs w:val="28"/>
        </w:rPr>
        <w:t>активності</w:t>
      </w:r>
      <w:r>
        <w:rPr>
          <w:rFonts w:hint="default" w:ascii="Times New Roman" w:hAnsi="Times New Roman" w:eastAsia="Times New Roman" w:cs="Times New Roman"/>
          <w:color w:val="000000"/>
          <w:sz w:val="28"/>
          <w:szCs w:val="28"/>
        </w:rPr>
        <w:t xml:space="preserve"> (присідання, хода, хода сходами, нахил тулуба, ротація тулуба, хапання, відштовхування та притягування, піднімання та перенесення та інші)</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color w:val="000000"/>
          <w:sz w:val="28"/>
          <w:szCs w:val="28"/>
        </w:rPr>
      </w:pPr>
      <w:r>
        <w:rPr>
          <w:rFonts w:hint="default" w:ascii="Times New Roman" w:hAnsi="Times New Roman" w:eastAsia="Times New Roman" w:cs="Times New Roman"/>
          <w:b/>
          <w:color w:val="000000"/>
          <w:sz w:val="28"/>
          <w:szCs w:val="28"/>
        </w:rPr>
        <w:t>Засоби та методи реабілітаційного обстеження:</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опитування</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спостереження</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пальпація</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оцінювання рухливості суглобів</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визначення м’язової сили </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визначення рівня і локалізації чутливості</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тестування рефлексів</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визначення м’язового тонусу</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визначення м’язової витривалості</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оцінювання рівноваги та координації</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оцінювання довільних рухових функцій</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тести, шкали для оцінки болю, рухових функцій та мобільност</w:t>
      </w:r>
      <w:r>
        <w:rPr>
          <w:rFonts w:hint="default" w:ascii="Times New Roman" w:hAnsi="Times New Roman" w:eastAsia="Times New Roman" w:cs="Times New Roman"/>
          <w:sz w:val="28"/>
          <w:szCs w:val="28"/>
        </w:rPr>
        <w:t>і</w:t>
      </w:r>
    </w:p>
    <w:p>
      <w:pPr>
        <w:pageBreakBefore/>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lang w:val="ru-RU"/>
        </w:rPr>
      </w:pPr>
      <w:r>
        <w:rPr>
          <w:rFonts w:hint="default" w:ascii="Times New Roman" w:hAnsi="Times New Roman" w:eastAsia="Times New Roman" w:cs="Times New Roman"/>
          <w:i/>
          <w:sz w:val="28"/>
          <w:szCs w:val="28"/>
        </w:rPr>
        <w:t xml:space="preserve">Додаток </w:t>
      </w:r>
      <w:r>
        <w:rPr>
          <w:rFonts w:hint="default" w:ascii="Times New Roman" w:hAnsi="Times New Roman" w:eastAsia="Times New Roman" w:cs="Times New Roman"/>
          <w:i/>
          <w:sz w:val="28"/>
          <w:szCs w:val="28"/>
          <w:lang w:val="ru-RU"/>
        </w:rPr>
        <w:t>3</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ЗАСОБИ ТА МЕТОДИ РЕАБІЛІТАЦІЙНОГО ВПЛИВУ</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Порушення діяльності </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серцево-судинної та дихальної систем</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Засоби та методи:</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терапевтичні вправи (дихальні, загально-розвиваючі, аеробного характеру, на розтяг та розслаблення м’язів, </w:t>
      </w:r>
      <w:r>
        <w:rPr>
          <w:rFonts w:hint="default" w:ascii="Times New Roman" w:hAnsi="Times New Roman" w:eastAsia="Times New Roman" w:cs="Times New Roman"/>
          <w:sz w:val="28"/>
          <w:szCs w:val="28"/>
        </w:rPr>
        <w:t>на розвиток сили</w:t>
      </w:r>
      <w:r>
        <w:rPr>
          <w:rFonts w:hint="default" w:ascii="Times New Roman" w:hAnsi="Times New Roman" w:eastAsia="Times New Roman" w:cs="Times New Roman"/>
          <w:color w:val="000000"/>
          <w:sz w:val="28"/>
          <w:szCs w:val="28"/>
        </w:rPr>
        <w:t>)</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позиціонування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мануальні техніки (мобілізації/маніпуляції/масаж тощо)</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функціональне тренування </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техніки очищення/дренажу дихальних шляхів </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фізичні агенти та механічні методи</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Порушення діяльності опорно-рухового апарату</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Засоби та методи:</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терапевтичні вправи </w:t>
      </w:r>
      <w:r>
        <w:rPr>
          <w:rFonts w:hint="default" w:ascii="Times New Roman" w:hAnsi="Times New Roman" w:eastAsia="Times New Roman" w:cs="Times New Roman"/>
          <w:sz w:val="28"/>
          <w:szCs w:val="28"/>
        </w:rPr>
        <w:t>(</w:t>
      </w:r>
      <w:r>
        <w:rPr>
          <w:rFonts w:hint="default" w:ascii="Times New Roman" w:hAnsi="Times New Roman" w:eastAsia="Times New Roman" w:cs="Times New Roman"/>
          <w:color w:val="000000"/>
          <w:sz w:val="28"/>
          <w:szCs w:val="28"/>
        </w:rPr>
        <w:t>на зменшення болю та набряку, на розвиток сили, на розвиток витривалості,</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color w:val="000000"/>
          <w:sz w:val="28"/>
          <w:szCs w:val="28"/>
        </w:rPr>
        <w:t>на підтримку амплітуди руху, на гнучкіс</w:t>
      </w:r>
      <w:r>
        <w:rPr>
          <w:rFonts w:hint="default" w:ascii="Times New Roman" w:hAnsi="Times New Roman" w:eastAsia="Times New Roman" w:cs="Times New Roman"/>
          <w:sz w:val="28"/>
          <w:szCs w:val="28"/>
        </w:rPr>
        <w:t xml:space="preserve">ть, </w:t>
      </w:r>
      <w:r>
        <w:rPr>
          <w:rFonts w:hint="default" w:ascii="Times New Roman" w:hAnsi="Times New Roman" w:eastAsia="Times New Roman" w:cs="Times New Roman"/>
          <w:color w:val="000000"/>
          <w:sz w:val="28"/>
          <w:szCs w:val="28"/>
        </w:rPr>
        <w:t>на рівновагу, на координацію)</w:t>
      </w:r>
    </w:p>
    <w:p>
      <w:pPr>
        <w:numPr>
          <w:ilvl w:val="0"/>
          <w:numId w:val="11"/>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 xml:space="preserve">функціональне тренування </w:t>
      </w:r>
      <w:r>
        <w:rPr>
          <w:rFonts w:hint="default" w:ascii="Times New Roman" w:hAnsi="Times New Roman" w:eastAsia="Times New Roman" w:cs="Times New Roman"/>
          <w:color w:val="000000"/>
          <w:sz w:val="28"/>
          <w:szCs w:val="28"/>
        </w:rPr>
        <w:t>(</w:t>
      </w:r>
      <w:r>
        <w:rPr>
          <w:rFonts w:hint="default" w:ascii="Times New Roman" w:hAnsi="Times New Roman" w:eastAsia="Times New Roman" w:cs="Times New Roman"/>
          <w:sz w:val="28"/>
          <w:szCs w:val="28"/>
        </w:rPr>
        <w:t>тренування рухових навичок та умінь</w:t>
      </w:r>
      <w:r>
        <w:rPr>
          <w:rFonts w:hint="default" w:ascii="Times New Roman" w:hAnsi="Times New Roman" w:eastAsia="Times New Roman" w:cs="Times New Roman"/>
          <w:color w:val="000000"/>
          <w:sz w:val="28"/>
          <w:szCs w:val="28"/>
        </w:rPr>
        <w:t>: переміщення у ліжку, навички сидіння, переміщення поза межі ліжка, вставання, стояння, хода, хода з перешкодами )</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позиціонування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 xml:space="preserve">мануальні техніки (мобілізація суглобів (суглобова гра тощо), масаж, </w:t>
      </w:r>
      <w:r>
        <w:rPr>
          <w:rFonts w:hint="default" w:ascii="Times New Roman" w:hAnsi="Times New Roman" w:eastAsia="Times New Roman" w:cs="Times New Roman"/>
          <w:color w:val="000000"/>
          <w:sz w:val="28"/>
          <w:szCs w:val="28"/>
        </w:rPr>
        <w:t>постізометрична релаксація)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підбір, налаштування, навчання користуванням допоміжними засобами</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фізичні агенти, механічні методи (</w:t>
      </w:r>
      <w:r>
        <w:rPr>
          <w:rFonts w:hint="default" w:ascii="Times New Roman" w:hAnsi="Times New Roman" w:eastAsia="Times New Roman" w:cs="Times New Roman"/>
          <w:color w:val="000000"/>
          <w:sz w:val="28"/>
          <w:szCs w:val="28"/>
        </w:rPr>
        <w:t>тепло, холод, водні процедури</w:t>
      </w:r>
      <w:r>
        <w:rPr>
          <w:rFonts w:hint="default" w:ascii="Times New Roman" w:hAnsi="Times New Roman" w:eastAsia="Times New Roman" w:cs="Times New Roman"/>
          <w:sz w:val="28"/>
          <w:szCs w:val="28"/>
        </w:rPr>
        <w:t>) та</w:t>
      </w:r>
      <w:r>
        <w:rPr>
          <w:rFonts w:hint="default" w:ascii="Times New Roman" w:hAnsi="Times New Roman" w:eastAsia="Times New Roman" w:cs="Times New Roman"/>
          <w:color w:val="000000"/>
          <w:sz w:val="28"/>
          <w:szCs w:val="28"/>
        </w:rPr>
        <w:t xml:space="preserve"> </w:t>
      </w:r>
      <w:r>
        <w:rPr>
          <w:rFonts w:hint="default" w:ascii="Times New Roman" w:hAnsi="Times New Roman" w:eastAsia="Times New Roman" w:cs="Times New Roman"/>
          <w:sz w:val="28"/>
          <w:szCs w:val="28"/>
        </w:rPr>
        <w:t>електротерапевтичні методи</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Неврологічні розлади</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Засоби та методи:</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терапевтичні вправи з опором (сила та витривалість), на підтримку наявної/</w:t>
      </w:r>
      <w:r>
        <w:rPr>
          <w:rFonts w:hint="default" w:ascii="Times New Roman" w:hAnsi="Times New Roman" w:eastAsia="Times New Roman" w:cs="Times New Roman"/>
          <w:sz w:val="28"/>
          <w:szCs w:val="28"/>
        </w:rPr>
        <w:t>досягнення фізіологічної</w:t>
      </w:r>
      <w:r>
        <w:rPr>
          <w:rFonts w:hint="default" w:ascii="Times New Roman" w:hAnsi="Times New Roman" w:eastAsia="Times New Roman" w:cs="Times New Roman"/>
          <w:color w:val="000000"/>
          <w:sz w:val="28"/>
          <w:szCs w:val="28"/>
        </w:rPr>
        <w:t xml:space="preserve"> амплітуди руху, на розвиток/ відновлення гнучкості (розтяг/стретчинг), на розвиток/ відновлення рівноваги, на розвиток/ відновлення координації, на  розвиток/ відновлення дрібної моторики, </w:t>
      </w:r>
      <w:r>
        <w:rPr>
          <w:rFonts w:hint="default" w:ascii="Times New Roman" w:hAnsi="Times New Roman" w:eastAsia="Times New Roman" w:cs="Times New Roman"/>
          <w:sz w:val="28"/>
          <w:szCs w:val="28"/>
        </w:rPr>
        <w:t>дихальні)</w:t>
      </w:r>
    </w:p>
    <w:p>
      <w:pPr>
        <w:numPr>
          <w:ilvl w:val="0"/>
          <w:numId w:val="11"/>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sz w:val="28"/>
          <w:szCs w:val="28"/>
        </w:rPr>
        <w:t>функціональне тренування  (</w:t>
      </w:r>
      <w:r>
        <w:rPr>
          <w:rFonts w:hint="default" w:ascii="Times New Roman" w:hAnsi="Times New Roman" w:eastAsia="Times New Roman" w:cs="Times New Roman"/>
          <w:color w:val="000000"/>
          <w:sz w:val="28"/>
          <w:szCs w:val="28"/>
        </w:rPr>
        <w:t>тренування рухових навичок та умінь: переміщення у ліжку, навички сидіння, переміщення поза межі ліжка, вставання, стояння, хода</w:t>
      </w:r>
      <w:r>
        <w:rPr>
          <w:rFonts w:hint="default" w:ascii="Times New Roman" w:hAnsi="Times New Roman" w:eastAsia="Times New Roman" w:cs="Times New Roman"/>
          <w:sz w:val="28"/>
          <w:szCs w:val="28"/>
        </w:rPr>
        <w:t>, хода з перешкодами)</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позиціонування</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мануальні </w:t>
      </w:r>
      <w:r>
        <w:rPr>
          <w:rFonts w:hint="default" w:ascii="Times New Roman" w:hAnsi="Times New Roman" w:eastAsia="Times New Roman" w:cs="Times New Roman"/>
          <w:sz w:val="28"/>
          <w:szCs w:val="28"/>
        </w:rPr>
        <w:t>техніки (мобілізація суглобів, масаж, постізометрична релаксація тощо)</w:t>
      </w:r>
    </w:p>
    <w:p>
      <w:pPr>
        <w:numPr>
          <w:ilvl w:val="0"/>
          <w:numId w:val="6"/>
        </w:num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підбір, навчання, налаштування, навчання користуванням допоміжними засобами</w:t>
      </w:r>
    </w:p>
    <w:p>
      <w:pPr>
        <w:numPr>
          <w:ilvl w:val="0"/>
          <w:numId w:val="6"/>
        </w:num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фізичні агенти та механічні методи (тепло, холод, водні процедури) та електротерапевтичні методи</w:t>
      </w: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p>
    <w:p>
      <w:pPr>
        <w:pageBreakBefore/>
        <w:kinsoku/>
        <w:wordWrap/>
        <w:overflowPunct/>
        <w:topLinePunct w:val="0"/>
        <w:autoSpaceDE/>
        <w:autoSpaceDN/>
        <w:bidi w:val="0"/>
        <w:adjustRightInd/>
        <w:snapToGrid/>
        <w:spacing w:after="0" w:line="240" w:lineRule="auto"/>
        <w:ind w:left="0" w:right="0" w:firstLine="440"/>
        <w:jc w:val="right"/>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Додаток 4</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Настанови з оцінювання клінічних навичок фізичного терапевта</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p>
    <w:tbl>
      <w:tblPr>
        <w:tblStyle w:val="81"/>
        <w:tblW w:w="10507" w:type="dxa"/>
        <w:tblInd w:w="2"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Pr>
      <w:tblGrid>
        <w:gridCol w:w="8752"/>
        <w:gridCol w:w="175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0" w:hRule="atLeast"/>
        </w:trPr>
        <w:tc>
          <w:tcPr>
            <w:tcW w:w="8752" w:type="dxa"/>
            <w:tcBorders>
              <w:top w:val="single" w:color="000000" w:sz="8" w:space="0"/>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Результати клінічного навчання базового рівня підготовки бакалавра за спеціальністю 227 «Терапія та реабілітація» спеціалізація 227.01 Фізична терапія</w:t>
            </w:r>
          </w:p>
        </w:tc>
        <w:tc>
          <w:tcPr>
            <w:tcW w:w="1755" w:type="dxa"/>
            <w:tcBorders>
              <w:top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Відповідність програмному результату навчання</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0"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І Розділ. Професійна практика:</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3948"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sz w:val="28"/>
                <w:szCs w:val="28"/>
              </w:rPr>
              <w:t xml:space="preserve">1 Безпека </w:t>
            </w:r>
            <w:r>
              <w:rPr>
                <w:rFonts w:hint="default"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Підтримує безпечне робоче середовище. Визнає фізіологічні та психологічні зміни у пацієнтів/клієнтів і відповідним чином коригує втручання. Розуміє протипокази та застереження щодо фізичної терапії, розуміє як поводити себе в разі виникнення ускладнень та погіршення стану пацієнта/клієнта під час занять, за потреби вміє надати першу допомогу. </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Безпечно працює без ризику для пацієнта/клієнта, себе та інших (використовує належну біомеханіку, рівень відповідної допомоги під час втручання та активності). За необхідності звертається за допомогою.</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Дотримується політик та процедур охорони праці, включаючи порядок запобігання появи та поширенню інфекцій та інфекційного контролю (використовує засоби індивідуального захисту, спеціальне обладнання, дотримується правил гігієни). </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07.</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14.</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2016"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sz w:val="28"/>
                <w:szCs w:val="28"/>
              </w:rPr>
              <w:t xml:space="preserve">2. Професійна поведінка </w:t>
            </w:r>
            <w:r>
              <w:rPr>
                <w:rFonts w:hint="default"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Демонструє професійну поведінку у будь-яких ситуаціях відповідно до законодавчих, етичних та практичних професійних настанов. Дотримується політики та процедур закладу, включаючи години роботи та відповідний одяг.</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Приходить добре підготовлений, пропонує допомогу, шукає можливості для навчання. </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Ставить потреби пацієнта/клієнта вище власних інтересів. Підтримує конфіденційність пацієнта/клієнта відповідно до кращих практик та нормативно-правових стандартів. Цінує гідність/приватність пацієнта/клієнта як особи.  </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13.</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710"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sz w:val="28"/>
                <w:szCs w:val="28"/>
              </w:rPr>
              <w:t xml:space="preserve">3. Комунікація </w:t>
            </w:r>
            <w:r>
              <w:rPr>
                <w:rFonts w:hint="default"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Комунікує вербально та невербально, професійно та своєчасно з членами мультидисциплінарної реабілітаційної команди, пацієнтом/клієнтом, родиною, доглядачами. Комунікує відповідно ситуаційним потребам, обирає відповідний час, місце, тему та аудиторію для спілкування. Намагається попередити чи конструктивно вирішити конфліктні ситуації.</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02.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03.</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16.</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3368"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4. Професійний розвиток</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(Фундаментальний результат)</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Визначає свої сильні та та слабкі  сторони під час клінічного навчання. За необхідності звертається за допомогою до фізичного терапевта/іншого фахівця щодо подолання обмежень чи вирішення проблем   пацієнтів/клієнтів. Шукає та   приймає досвід навчання для підвищення клінічної та професійної ефективності.</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Оцінює себе для покращення клінічної та   професійної продуктивності. Шукає зворотного зв’язку від інших для покращення   клінічної практики. Демонструє позитивне ставлення до зворотного зв’язку.</w:t>
            </w:r>
          </w:p>
          <w:p>
            <w:pPr>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Включає зворотний зв'язок у майбутній досвід. Надає зворотній зв'язок іншим,   враховуючи потреби одержувача.  </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5307"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5. Відповідальність</w:t>
            </w:r>
          </w:p>
          <w:p>
            <w:pPr>
              <w:kinsoku/>
              <w:wordWrap/>
              <w:overflowPunct/>
              <w:topLinePunct w:val="0"/>
              <w:autoSpaceDE/>
              <w:autoSpaceDN/>
              <w:bidi w:val="0"/>
              <w:adjustRightInd/>
              <w:snapToGrid/>
              <w:spacing w:after="0" w:line="240" w:lineRule="auto"/>
              <w:ind w:left="0" w:right="0" w:firstLine="425"/>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Визначає, визнає та приймає відповідальність за свої дії та повідомляє про помилки. Несе відповідальність за навчання, організацію і виконання переміщення пацієнта/клієнта, страхування пацієнта/клієнта під час переміщення, включаючи підбір обладнання та безпечних методів переміщення. Звітує відповідно ієрархії підзвітності, що відповідає контексту проведення клінічної практики. Дотримується відповідного етикету під час нарад та зборів реабілітаційної команди,  принципів та правових рамок, що стосуються навчання в клінічних умовах, включаючи, конфіденційність пацієнта, етику та отримання інформованої згоди на реабілітацію. Дотримується принципів та практики самостійного навчання упродовж усього клінічного навчання. Дотримується пацієнтоцентричної моделі надання реабілітаційних послуг. Своєчасно і в доступній формі інформує пацієнта/клієнта, родину, доглядачів про планування проведення обстеження і втручання (час, місце, одяг тощо). Своєчасно і відповідно вимог клінічного навчання несе відповідальність за інформування клінічного супервізора щодо запиту, побажань чи скарг пацієнта/клієнта, сім’ї, доглядачів, ведення відповідної документації.</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03.</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13.</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14.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15.</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16.</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1777"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6. Культурна компетентність</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Розуміє  індивідуальні і культурні відмінності і відповідно адаптує свою поведінку у всіх аспектах послуг фізичної терапії. Спілкується, враховуючи різницю за расовою / етнічною приналежністю, віросповіданням, статтю, віком, національним походженням, сексуальною орієнтацією, інвалідністю, станом здоров'я. Пристосовує надання послуг з фізичної терапії з урахуванням відмінностей, цінностей, уподобань та потреб пацієнтів/клієнтів. </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03.</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0"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ІІ розділ. Менеджмент пацієнта/клієнта:</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472"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7. Скринінг</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Використовує швидкі тести та методи вимірювання, які чутливі до визначення потреби втручання з фізичної терапії. Обговорює з супервізором покази та протипокази до втручання. </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10.</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11.</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4986"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8. Обстеження</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Отримує інформацію від пацієнта/клієнта (інтерв’ювання пацієнта/клієнта) та з  інших джерел, використовуючи категорії  Класифікатора функціонування, обмеження життєдіяльності та здоров’я  НК 030:2022  для опису порушень структури та функції тіла, активності та участі, з’ясовує запит пацієнта/клієнта в категоріях НК 030:2022. Використовує інші ресурси за необхідності (наприклад, медичну карту, сім'ю, доглядачів, інших працівників у сфері охорони здоров’я). Збирає інформацію, яка свідчить про протипокази до фізичної терапії чи потребу в невідкладній медичній допомозі.</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Проводить обстеження з фізичної терапії, використовуючи специфічні для конкретних проблем/обмежень функціонування міжнародні стандартизовані інструменти обстеження та оцінки (шкали/тести/опитувальники). Організовує обладнання, необхідне приладдя та оточення під час підготовки до проведення обстеження, проводить обстеження в межах очікуваних часових рамок. Під супервізією фізичного терапевта тести та методи вимірювання логічно розподіляє  для оптимізації процесу із урахуванням стану пацієнта/клієнта (біль, рівень мобільності).</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10.</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11.</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2970"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9. Проведення втручання</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Здійснює втручання безпечно, ефективно, узгоджено та з відповідним технічним виконанням, під час занять відслідковує реакцію та стан пацієнта/клієнта на втручання, корегує втручання за потреби. Виконує втручання відповідно до індивідуального реабілітаційного плану, здійснює поточний контроль за виконанням завдань, оцінює прогрес в досягненні цілей та завдань.</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Обирає відповідне обладнання, яке відповідає цілям пацієнта/клієнта та плану надання послуг. Забезпечує належне розміщення обладнання. Пропонує вибір обладнання/ допоміжних засобів реабілітації з урахуванням побажань пацієнта/клієнта та наявних ресурсів, оцінює його використання, коригує вибір та налаштування відповідним чином під супервізією фізичного терапевта </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09.</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12.</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13.</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РН 14. </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15.</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16.</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17.</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675" w:hRule="atLeast"/>
        </w:trPr>
        <w:tc>
          <w:tcPr>
            <w:tcW w:w="8752" w:type="dxa"/>
            <w:tcBorders>
              <w:left w:val="single" w:color="000000" w:sz="8" w:space="0"/>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10. Ведення документації</w:t>
            </w: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Вибирає відповідну інформацію для ведення документації щодо фізичної терапії. Документує  аспекти надання послуг з фізичної терапії, включаючи скринінг, обстеження, оцінку та план надання послуг, втручання, реакцію на втручання під супервізією фізичного терапевта , обговорення з сім’єю пацієнта/клієнта та спілкування з іншими особами, які беруть участь у наданні послуг.</w:t>
            </w:r>
          </w:p>
        </w:tc>
        <w:tc>
          <w:tcPr>
            <w:tcW w:w="1755" w:type="dxa"/>
            <w:tcBorders>
              <w:bottom w:val="single" w:color="000000" w:sz="8" w:space="0"/>
              <w:right w:val="single" w:color="000000" w:sz="8" w:space="0"/>
            </w:tcBorders>
            <w:tcMar>
              <w:top w:w="0" w:type="dxa"/>
              <w:left w:w="100" w:type="dxa"/>
              <w:bottom w:w="0" w:type="dxa"/>
              <w:right w:w="100" w:type="dxa"/>
            </w:tcMar>
          </w:tcPr>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02.</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04.</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РН 05.</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 </w:t>
            </w:r>
          </w:p>
        </w:tc>
      </w:tr>
    </w:tbl>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firstLine="440"/>
        <w:jc w:val="both"/>
        <w:textAlignment w:val="auto"/>
        <w:rPr>
          <w:rFonts w:hint="default"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right="0"/>
        <w:jc w:val="right"/>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Додаток 5</w:t>
      </w:r>
    </w:p>
    <w:p>
      <w:pPr>
        <w:kinsoku/>
        <w:wordWrap/>
        <w:overflowPunct/>
        <w:topLinePunct w:val="0"/>
        <w:autoSpaceDE/>
        <w:autoSpaceDN/>
        <w:bidi w:val="0"/>
        <w:adjustRightInd/>
        <w:snapToGrid/>
        <w:spacing w:after="0" w:line="240" w:lineRule="auto"/>
        <w:ind w:left="0" w:right="0"/>
        <w:jc w:val="center"/>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Мінімально матеріально-технічне забезпечення  освітнього процесу на першому (бакалаврському) рівні вищої освіти за спеціальністю 227 Терапія та реабілітація спеціалізація 227.01 Фізична терапія</w:t>
      </w:r>
    </w:p>
    <w:p>
      <w:pPr>
        <w:kinsoku/>
        <w:wordWrap/>
        <w:overflowPunct/>
        <w:topLinePunct w:val="0"/>
        <w:autoSpaceDE/>
        <w:autoSpaceDN/>
        <w:bidi w:val="0"/>
        <w:adjustRightInd/>
        <w:snapToGrid/>
        <w:spacing w:after="0" w:line="240" w:lineRule="auto"/>
        <w:ind w:left="0" w:right="0"/>
        <w:jc w:val="both"/>
        <w:textAlignment w:val="auto"/>
        <w:rPr>
          <w:rFonts w:hint="default"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b/>
          <w:sz w:val="28"/>
          <w:szCs w:val="28"/>
        </w:rPr>
        <w:t xml:space="preserve">Мінімальне обладнання кабінету доклінічної практики: </w:t>
      </w:r>
      <w:r>
        <w:rPr>
          <w:rFonts w:hint="default" w:ascii="Times New Roman" w:hAnsi="Times New Roman" w:eastAsia="Times New Roman" w:cs="Times New Roman"/>
          <w:sz w:val="28"/>
          <w:szCs w:val="28"/>
        </w:rPr>
        <w:t xml:space="preserve">кушетка/стіл реабілітаційний для терапії широкий  120х200 см - 2 од; сходи/степ платформи  різної висоти (5 см, 10 см, 15 см); паралельні регульовані бруси; мобільне дзеркало; </w:t>
      </w:r>
      <w:r>
        <w:rPr>
          <w:rFonts w:hint="default" w:ascii="Times New Roman" w:hAnsi="Times New Roman" w:eastAsia="Times New Roman" w:cs="Times New Roman"/>
          <w:color w:val="333333"/>
          <w:sz w:val="28"/>
          <w:szCs w:val="28"/>
        </w:rPr>
        <w:t>милиці передплічні та пахвові</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color w:val="333333"/>
          <w:sz w:val="28"/>
          <w:szCs w:val="28"/>
        </w:rPr>
        <w:t>тростини і палиці для ходіння</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color w:val="333333"/>
          <w:sz w:val="28"/>
          <w:szCs w:val="28"/>
        </w:rPr>
        <w:t>ходунки-рамки</w:t>
      </w:r>
      <w:r>
        <w:rPr>
          <w:rFonts w:hint="default" w:ascii="Times New Roman" w:hAnsi="Times New Roman" w:eastAsia="Times New Roman" w:cs="Times New Roman"/>
          <w:sz w:val="28"/>
          <w:szCs w:val="28"/>
        </w:rPr>
        <w:t xml:space="preserve">; крісла колісні різного розміру та ступеню мобільності; </w:t>
      </w:r>
      <w:r>
        <w:rPr>
          <w:rFonts w:hint="default" w:ascii="Times New Roman" w:hAnsi="Times New Roman" w:eastAsia="Times New Roman" w:cs="Times New Roman"/>
          <w:color w:val="333333"/>
          <w:sz w:val="28"/>
          <w:szCs w:val="28"/>
        </w:rPr>
        <w:t>еластична стрічка для вправ різного опору</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color w:val="333333"/>
          <w:sz w:val="28"/>
          <w:szCs w:val="28"/>
        </w:rPr>
        <w:t>обважнювачів</w:t>
      </w:r>
      <w:r>
        <w:rPr>
          <w:rFonts w:hint="default" w:ascii="Times New Roman" w:hAnsi="Times New Roman" w:eastAsia="Times New Roman" w:cs="Times New Roman"/>
          <w:sz w:val="28"/>
          <w:szCs w:val="28"/>
        </w:rPr>
        <w:t xml:space="preserve"> на кінцівки і пальці; платформи та диски для тренування балансу, фітболи, тощо; мати, подушки, валики, напіввалики; гантелі; шведська стінка.</w:t>
      </w:r>
      <w:r>
        <w:rPr>
          <w:rFonts w:hint="default" w:ascii="Times New Roman" w:hAnsi="Times New Roman" w:cs="Times New Roman"/>
        </w:rPr>
        <w:t xml:space="preserve"> </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Мінімальне обладнання для навчання методам вимірювання структурних змін та порушених функцій організму: </w:t>
      </w:r>
    </w:p>
    <w:p>
      <w:pPr>
        <w:numPr>
          <w:ilvl w:val="0"/>
          <w:numId w:val="12"/>
        </w:numPr>
        <w:kinsoku/>
        <w:wordWrap/>
        <w:overflowPunct/>
        <w:topLinePunct w:val="0"/>
        <w:autoSpaceDE/>
        <w:autoSpaceDN/>
        <w:bidi w:val="0"/>
        <w:adjustRightInd/>
        <w:snapToGrid/>
        <w:spacing w:after="0" w:line="240" w:lineRule="auto"/>
        <w:ind w:left="0" w:leftChars="0" w:right="0" w:firstLine="439" w:firstLineChars="157"/>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кушетки/столи реабілітаційні для терапії з розрахунку  1 кушетка на 2-3 студентів в групі;</w:t>
      </w:r>
    </w:p>
    <w:p>
      <w:pPr>
        <w:numPr>
          <w:ilvl w:val="0"/>
          <w:numId w:val="1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динамометри; </w:t>
      </w:r>
      <w:r>
        <w:rPr>
          <w:rFonts w:hint="default" w:ascii="Times New Roman" w:hAnsi="Times New Roman" w:eastAsia="Times New Roman" w:cs="Times New Roman"/>
          <w:sz w:val="28"/>
          <w:szCs w:val="28"/>
        </w:rPr>
        <w:t>пульсоксиметри</w:t>
      </w:r>
      <w:r>
        <w:rPr>
          <w:rFonts w:hint="default" w:ascii="Times New Roman" w:hAnsi="Times New Roman" w:eastAsia="Times New Roman" w:cs="Times New Roman"/>
          <w:color w:val="000000"/>
          <w:sz w:val="28"/>
          <w:szCs w:val="28"/>
        </w:rPr>
        <w:t xml:space="preserve">; апарати для вимірювання тиску; пульсометри; каліпери; спірометри портативні – 2-3 примірники; </w:t>
      </w:r>
    </w:p>
    <w:p>
      <w:pPr>
        <w:numPr>
          <w:ilvl w:val="0"/>
          <w:numId w:val="1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 xml:space="preserve">гоніометри різних форм та розмірів; вимірювальні сантиметрові стрічки – з розрахунку один примірник на 2-3 студентів в групі; </w:t>
      </w:r>
    </w:p>
    <w:p>
      <w:pPr>
        <w:numPr>
          <w:ilvl w:val="0"/>
          <w:numId w:val="1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color w:val="000000"/>
          <w:sz w:val="28"/>
          <w:szCs w:val="28"/>
        </w:rPr>
        <w:t xml:space="preserve">10-метрова вимірювальна стрічка; ваги;  ростомір – один примірник. </w:t>
      </w:r>
    </w:p>
    <w:sectPr>
      <w:pgSz w:w="11906" w:h="16838"/>
      <w:pgMar w:top="694" w:right="525" w:bottom="558" w:left="1041" w:header="708" w:footer="708"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74E5D684-6981-40FF-8BAD-5FFF5CAF0F0D}"/>
  </w:font>
  <w:font w:name="Courier New">
    <w:panose1 w:val="02070309020205020404"/>
    <w:charset w:val="00"/>
    <w:family w:val="modern"/>
    <w:pitch w:val="default"/>
    <w:sig w:usb0="E0002EFF" w:usb1="C0007843" w:usb2="00000009" w:usb3="00000000" w:csb0="400001FF" w:csb1="FFFF0000"/>
    <w:embedRegular r:id="rId2" w:fontKey="{6A75AF52-55C4-4037-9C9E-5C849C1574F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ACCB0842-1690-4E95-98D3-5802EB2046B9}"/>
  </w:font>
  <w:font w:name="Calibri">
    <w:panose1 w:val="020F0502020204030204"/>
    <w:charset w:val="86"/>
    <w:family w:val="swiss"/>
    <w:pitch w:val="default"/>
    <w:sig w:usb0="E4002EFF" w:usb1="C000247B" w:usb2="00000009" w:usb3="00000000" w:csb0="200001FF" w:csb1="00000000"/>
    <w:embedRegular r:id="rId4" w:fontKey="{42B81BB9-EA2A-4C1D-A529-D394AAF3C107}"/>
  </w:font>
  <w:font w:name="Tahoma">
    <w:panose1 w:val="020B0604030504040204"/>
    <w:charset w:val="CC"/>
    <w:family w:val="swiss"/>
    <w:pitch w:val="default"/>
    <w:sig w:usb0="E1002EFF" w:usb1="C000605B" w:usb2="00000029" w:usb3="00000000" w:csb0="200101FF" w:csb1="20280000"/>
    <w:embedRegular r:id="rId5" w:fontKey="{65737876-C1E1-45D7-8776-2F72621DB4D3}"/>
  </w:font>
  <w:font w:name="1251 Times">
    <w:altName w:val="Courier New"/>
    <w:panose1 w:val="00000000000000000000"/>
    <w:charset w:val="00"/>
    <w:family w:val="swiss"/>
    <w:pitch w:val="default"/>
    <w:sig w:usb0="00000000" w:usb1="00000000" w:usb2="00000000" w:usb3="00000000" w:csb0="00000001" w:csb1="00000000"/>
  </w:font>
  <w:font w:name="Georgia">
    <w:panose1 w:val="02040502050405020303"/>
    <w:charset w:val="CC"/>
    <w:family w:val="roman"/>
    <w:pitch w:val="default"/>
    <w:sig w:usb0="00000287" w:usb1="00000000" w:usb2="00000000" w:usb3="00000000" w:csb0="2000009F" w:csb1="00000000"/>
    <w:embedRegular r:id="rId6" w:fontKey="{1C70E787-C39A-4DA8-B699-6AD0DBEF9117}"/>
  </w:font>
  <w:font w:name="Noto Sans Symbols">
    <w:altName w:val="Calibri"/>
    <w:panose1 w:val="00000000000000000000"/>
    <w:charset w:val="00"/>
    <w:family w:val="auto"/>
    <w:pitch w:val="default"/>
    <w:sig w:usb0="00000000" w:usb1="00000000" w:usb2="00000000" w:usb3="00000000" w:csb0="00000000" w:csb1="00000000"/>
    <w:embedRegular r:id="rId7" w:fontKey="{D67540C1-BA64-4636-8053-2A1570160C9F}"/>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Текстовое 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zSVju0AAAAAUBAAAPAAAAAAAAAAEAIAAAACIAAABkcnMvZG93&#10;bnJldi54bWxQSwECFAAUAAAACACHTuJApDVo0EECAABzBAAADgAAAAAAAAABACAAAAAfAQAAZHJz&#10;L2Uyb0RvYy54bWxQSwUGAAAAAAYABgBZAQAA0gUAAAAA&#10;">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2</w:t>
                    </w:r>
                    <w: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C4406C"/>
    <w:multiLevelType w:val="singleLevel"/>
    <w:tmpl w:val="C9C4406C"/>
    <w:lvl w:ilvl="0" w:tentative="0">
      <w:start w:val="2"/>
      <w:numFmt w:val="decimal"/>
      <w:suff w:val="space"/>
      <w:lvlText w:val="%1."/>
      <w:lvlJc w:val="left"/>
    </w:lvl>
  </w:abstractNum>
  <w:abstractNum w:abstractNumId="1">
    <w:nsid w:val="1BC451AA"/>
    <w:multiLevelType w:val="multilevel"/>
    <w:tmpl w:val="1BC451AA"/>
    <w:lvl w:ilvl="0" w:tentative="0">
      <w:start w:val="1"/>
      <w:numFmt w:val="decimal"/>
      <w:lvlText w:val="%1."/>
      <w:lvlJc w:val="left"/>
      <w:pPr>
        <w:ind w:left="0" w:hanging="360"/>
      </w:pPr>
    </w:lvl>
    <w:lvl w:ilvl="1" w:tentative="0">
      <w:start w:val="1"/>
      <w:numFmt w:val="lowerLetter"/>
      <w:lvlText w:val="%2."/>
      <w:lvlJc w:val="left"/>
      <w:pPr>
        <w:ind w:left="720" w:hanging="360"/>
      </w:pPr>
    </w:lvl>
    <w:lvl w:ilvl="2" w:tentative="0">
      <w:start w:val="1"/>
      <w:numFmt w:val="lowerRoman"/>
      <w:lvlText w:val="%3."/>
      <w:lvlJc w:val="right"/>
      <w:pPr>
        <w:ind w:left="1440" w:hanging="180"/>
      </w:pPr>
    </w:lvl>
    <w:lvl w:ilvl="3" w:tentative="0">
      <w:start w:val="1"/>
      <w:numFmt w:val="decimal"/>
      <w:lvlText w:val="%4."/>
      <w:lvlJc w:val="left"/>
      <w:pPr>
        <w:ind w:left="2160" w:hanging="360"/>
      </w:pPr>
    </w:lvl>
    <w:lvl w:ilvl="4" w:tentative="0">
      <w:start w:val="1"/>
      <w:numFmt w:val="lowerLetter"/>
      <w:lvlText w:val="%5."/>
      <w:lvlJc w:val="left"/>
      <w:pPr>
        <w:ind w:left="2880" w:hanging="360"/>
      </w:pPr>
    </w:lvl>
    <w:lvl w:ilvl="5" w:tentative="0">
      <w:start w:val="1"/>
      <w:numFmt w:val="lowerRoman"/>
      <w:lvlText w:val="%6."/>
      <w:lvlJc w:val="right"/>
      <w:pPr>
        <w:ind w:left="3600" w:hanging="180"/>
      </w:pPr>
    </w:lvl>
    <w:lvl w:ilvl="6" w:tentative="0">
      <w:start w:val="1"/>
      <w:numFmt w:val="decimal"/>
      <w:lvlText w:val="%7."/>
      <w:lvlJc w:val="left"/>
      <w:pPr>
        <w:ind w:left="4320" w:hanging="360"/>
      </w:pPr>
    </w:lvl>
    <w:lvl w:ilvl="7" w:tentative="0">
      <w:start w:val="1"/>
      <w:numFmt w:val="lowerLetter"/>
      <w:lvlText w:val="%8."/>
      <w:lvlJc w:val="left"/>
      <w:pPr>
        <w:ind w:left="5040" w:hanging="360"/>
      </w:pPr>
    </w:lvl>
    <w:lvl w:ilvl="8" w:tentative="0">
      <w:start w:val="1"/>
      <w:numFmt w:val="lowerRoman"/>
      <w:lvlText w:val="%9."/>
      <w:lvlJc w:val="right"/>
      <w:pPr>
        <w:ind w:left="5760" w:hanging="180"/>
      </w:pPr>
    </w:lvl>
  </w:abstractNum>
  <w:abstractNum w:abstractNumId="2">
    <w:nsid w:val="1CD12659"/>
    <w:multiLevelType w:val="multilevel"/>
    <w:tmpl w:val="1CD12659"/>
    <w:lvl w:ilvl="0" w:tentative="0">
      <w:start w:val="1"/>
      <w:numFmt w:val="bullet"/>
      <w:lvlText w:val="●"/>
      <w:lvlJc w:val="left"/>
      <w:pPr>
        <w:ind w:left="1440" w:hanging="360"/>
      </w:pPr>
      <w:rPr>
        <w:rFonts w:ascii="Noto Sans Symbols" w:hAnsi="Noto Sans Symbols" w:eastAsia="Noto Sans Symbols" w:cs="Noto Sans Symbols"/>
      </w:rPr>
    </w:lvl>
    <w:lvl w:ilvl="1" w:tentative="0">
      <w:start w:val="1"/>
      <w:numFmt w:val="bullet"/>
      <w:lvlText w:val="●"/>
      <w:lvlJc w:val="left"/>
      <w:pPr>
        <w:ind w:left="2160" w:hanging="360"/>
      </w:pPr>
      <w:rPr>
        <w:rFonts w:ascii="Noto Sans Symbols" w:hAnsi="Noto Sans Symbols" w:eastAsia="Noto Sans Symbols" w:cs="Noto Sans Symbols"/>
      </w:rPr>
    </w:lvl>
    <w:lvl w:ilvl="2" w:tentative="0">
      <w:start w:val="1"/>
      <w:numFmt w:val="bullet"/>
      <w:lvlText w:val="▪"/>
      <w:lvlJc w:val="left"/>
      <w:pPr>
        <w:ind w:left="2880" w:hanging="360"/>
      </w:pPr>
      <w:rPr>
        <w:rFonts w:ascii="Noto Sans Symbols" w:hAnsi="Noto Sans Symbols" w:eastAsia="Noto Sans Symbols" w:cs="Noto Sans Symbols"/>
      </w:rPr>
    </w:lvl>
    <w:lvl w:ilvl="3" w:tentative="0">
      <w:start w:val="1"/>
      <w:numFmt w:val="bullet"/>
      <w:lvlText w:val="●"/>
      <w:lvlJc w:val="left"/>
      <w:pPr>
        <w:ind w:left="3600" w:hanging="360"/>
      </w:pPr>
      <w:rPr>
        <w:rFonts w:ascii="Noto Sans Symbols" w:hAnsi="Noto Sans Symbols" w:eastAsia="Noto Sans Symbols" w:cs="Noto Sans Symbols"/>
      </w:rPr>
    </w:lvl>
    <w:lvl w:ilvl="4" w:tentative="0">
      <w:start w:val="1"/>
      <w:numFmt w:val="bullet"/>
      <w:lvlText w:val="o"/>
      <w:lvlJc w:val="left"/>
      <w:pPr>
        <w:ind w:left="4320" w:hanging="360"/>
      </w:pPr>
      <w:rPr>
        <w:rFonts w:ascii="Courier New" w:hAnsi="Courier New" w:eastAsia="Courier New" w:cs="Courier New"/>
      </w:rPr>
    </w:lvl>
    <w:lvl w:ilvl="5" w:tentative="0">
      <w:start w:val="1"/>
      <w:numFmt w:val="bullet"/>
      <w:lvlText w:val="▪"/>
      <w:lvlJc w:val="left"/>
      <w:pPr>
        <w:ind w:left="5040" w:hanging="360"/>
      </w:pPr>
      <w:rPr>
        <w:rFonts w:ascii="Noto Sans Symbols" w:hAnsi="Noto Sans Symbols" w:eastAsia="Noto Sans Symbols" w:cs="Noto Sans Symbols"/>
      </w:rPr>
    </w:lvl>
    <w:lvl w:ilvl="6" w:tentative="0">
      <w:start w:val="1"/>
      <w:numFmt w:val="bullet"/>
      <w:lvlText w:val="●"/>
      <w:lvlJc w:val="left"/>
      <w:pPr>
        <w:ind w:left="5760" w:hanging="360"/>
      </w:pPr>
      <w:rPr>
        <w:rFonts w:ascii="Noto Sans Symbols" w:hAnsi="Noto Sans Symbols" w:eastAsia="Noto Sans Symbols" w:cs="Noto Sans Symbols"/>
      </w:rPr>
    </w:lvl>
    <w:lvl w:ilvl="7" w:tentative="0">
      <w:start w:val="1"/>
      <w:numFmt w:val="bullet"/>
      <w:lvlText w:val="o"/>
      <w:lvlJc w:val="left"/>
      <w:pPr>
        <w:ind w:left="6480" w:hanging="360"/>
      </w:pPr>
      <w:rPr>
        <w:rFonts w:ascii="Courier New" w:hAnsi="Courier New" w:eastAsia="Courier New" w:cs="Courier New"/>
      </w:rPr>
    </w:lvl>
    <w:lvl w:ilvl="8" w:tentative="0">
      <w:start w:val="1"/>
      <w:numFmt w:val="bullet"/>
      <w:lvlText w:val="▪"/>
      <w:lvlJc w:val="left"/>
      <w:pPr>
        <w:ind w:left="7200" w:hanging="360"/>
      </w:pPr>
      <w:rPr>
        <w:rFonts w:ascii="Noto Sans Symbols" w:hAnsi="Noto Sans Symbols" w:eastAsia="Noto Sans Symbols" w:cs="Noto Sans Symbols"/>
      </w:rPr>
    </w:lvl>
  </w:abstractNum>
  <w:abstractNum w:abstractNumId="3">
    <w:nsid w:val="22013061"/>
    <w:multiLevelType w:val="multilevel"/>
    <w:tmpl w:val="22013061"/>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abstractNum w:abstractNumId="4">
    <w:nsid w:val="279A7405"/>
    <w:multiLevelType w:val="multilevel"/>
    <w:tmpl w:val="279A7405"/>
    <w:lvl w:ilvl="0" w:tentative="0">
      <w:start w:val="1"/>
      <w:numFmt w:val="bullet"/>
      <w:lvlText w:val="●"/>
      <w:lvlJc w:val="left"/>
      <w:pPr>
        <w:ind w:left="1428" w:hanging="360"/>
      </w:pPr>
      <w:rPr>
        <w:rFonts w:ascii="Noto Sans Symbols" w:hAnsi="Noto Sans Symbols" w:eastAsia="Noto Sans Symbols" w:cs="Noto Sans Symbols"/>
      </w:rPr>
    </w:lvl>
    <w:lvl w:ilvl="1" w:tentative="0">
      <w:start w:val="5"/>
      <w:numFmt w:val="bullet"/>
      <w:lvlText w:val="-"/>
      <w:lvlJc w:val="left"/>
      <w:pPr>
        <w:ind w:left="2148" w:hanging="360"/>
      </w:pPr>
      <w:rPr>
        <w:rFonts w:ascii="Calibri" w:hAnsi="Calibri" w:eastAsia="Calibri" w:cs="Calibri"/>
      </w:rPr>
    </w:lvl>
    <w:lvl w:ilvl="2" w:tentative="0">
      <w:start w:val="1"/>
      <w:numFmt w:val="bullet"/>
      <w:lvlText w:val="▪"/>
      <w:lvlJc w:val="left"/>
      <w:pPr>
        <w:ind w:left="2868" w:hanging="360"/>
      </w:pPr>
      <w:rPr>
        <w:rFonts w:ascii="Noto Sans Symbols" w:hAnsi="Noto Sans Symbols" w:eastAsia="Noto Sans Symbols" w:cs="Noto Sans Symbols"/>
      </w:rPr>
    </w:lvl>
    <w:lvl w:ilvl="3" w:tentative="0">
      <w:start w:val="1"/>
      <w:numFmt w:val="bullet"/>
      <w:lvlText w:val="●"/>
      <w:lvlJc w:val="left"/>
      <w:pPr>
        <w:ind w:left="3588" w:hanging="360"/>
      </w:pPr>
      <w:rPr>
        <w:rFonts w:ascii="Noto Sans Symbols" w:hAnsi="Noto Sans Symbols" w:eastAsia="Noto Sans Symbols" w:cs="Noto Sans Symbols"/>
      </w:rPr>
    </w:lvl>
    <w:lvl w:ilvl="4" w:tentative="0">
      <w:start w:val="1"/>
      <w:numFmt w:val="bullet"/>
      <w:lvlText w:val="o"/>
      <w:lvlJc w:val="left"/>
      <w:pPr>
        <w:ind w:left="4308" w:hanging="360"/>
      </w:pPr>
      <w:rPr>
        <w:rFonts w:ascii="Courier New" w:hAnsi="Courier New" w:eastAsia="Courier New" w:cs="Courier New"/>
      </w:rPr>
    </w:lvl>
    <w:lvl w:ilvl="5" w:tentative="0">
      <w:start w:val="1"/>
      <w:numFmt w:val="bullet"/>
      <w:lvlText w:val="▪"/>
      <w:lvlJc w:val="left"/>
      <w:pPr>
        <w:ind w:left="5028" w:hanging="360"/>
      </w:pPr>
      <w:rPr>
        <w:rFonts w:ascii="Noto Sans Symbols" w:hAnsi="Noto Sans Symbols" w:eastAsia="Noto Sans Symbols" w:cs="Noto Sans Symbols"/>
      </w:rPr>
    </w:lvl>
    <w:lvl w:ilvl="6" w:tentative="0">
      <w:start w:val="1"/>
      <w:numFmt w:val="bullet"/>
      <w:lvlText w:val="●"/>
      <w:lvlJc w:val="left"/>
      <w:pPr>
        <w:ind w:left="5748" w:hanging="360"/>
      </w:pPr>
      <w:rPr>
        <w:rFonts w:ascii="Noto Sans Symbols" w:hAnsi="Noto Sans Symbols" w:eastAsia="Noto Sans Symbols" w:cs="Noto Sans Symbols"/>
      </w:rPr>
    </w:lvl>
    <w:lvl w:ilvl="7" w:tentative="0">
      <w:start w:val="1"/>
      <w:numFmt w:val="bullet"/>
      <w:lvlText w:val="o"/>
      <w:lvlJc w:val="left"/>
      <w:pPr>
        <w:ind w:left="6468" w:hanging="360"/>
      </w:pPr>
      <w:rPr>
        <w:rFonts w:ascii="Courier New" w:hAnsi="Courier New" w:eastAsia="Courier New" w:cs="Courier New"/>
      </w:rPr>
    </w:lvl>
    <w:lvl w:ilvl="8" w:tentative="0">
      <w:start w:val="1"/>
      <w:numFmt w:val="bullet"/>
      <w:lvlText w:val="▪"/>
      <w:lvlJc w:val="left"/>
      <w:pPr>
        <w:ind w:left="7188" w:hanging="360"/>
      </w:pPr>
      <w:rPr>
        <w:rFonts w:ascii="Noto Sans Symbols" w:hAnsi="Noto Sans Symbols" w:eastAsia="Noto Sans Symbols" w:cs="Noto Sans Symbols"/>
      </w:rPr>
    </w:lvl>
  </w:abstractNum>
  <w:abstractNum w:abstractNumId="5">
    <w:nsid w:val="330D3978"/>
    <w:multiLevelType w:val="multilevel"/>
    <w:tmpl w:val="330D3978"/>
    <w:lvl w:ilvl="0" w:tentative="0">
      <w:start w:val="1"/>
      <w:numFmt w:val="bullet"/>
      <w:lvlText w:val="●"/>
      <w:lvlJc w:val="left"/>
      <w:pPr>
        <w:ind w:left="1428" w:hanging="360"/>
      </w:pPr>
      <w:rPr>
        <w:rFonts w:ascii="Noto Sans Symbols" w:hAnsi="Noto Sans Symbols" w:eastAsia="Noto Sans Symbols" w:cs="Noto Sans Symbols"/>
      </w:rPr>
    </w:lvl>
    <w:lvl w:ilvl="1" w:tentative="0">
      <w:start w:val="5"/>
      <w:numFmt w:val="bullet"/>
      <w:lvlText w:val="-"/>
      <w:lvlJc w:val="left"/>
      <w:pPr>
        <w:ind w:left="2148" w:hanging="360"/>
      </w:pPr>
      <w:rPr>
        <w:rFonts w:ascii="Calibri" w:hAnsi="Calibri" w:eastAsia="Calibri" w:cs="Calibri"/>
      </w:rPr>
    </w:lvl>
    <w:lvl w:ilvl="2" w:tentative="0">
      <w:start w:val="1"/>
      <w:numFmt w:val="bullet"/>
      <w:lvlText w:val="▪"/>
      <w:lvlJc w:val="left"/>
      <w:pPr>
        <w:ind w:left="2868" w:hanging="360"/>
      </w:pPr>
      <w:rPr>
        <w:rFonts w:ascii="Noto Sans Symbols" w:hAnsi="Noto Sans Symbols" w:eastAsia="Noto Sans Symbols" w:cs="Noto Sans Symbols"/>
      </w:rPr>
    </w:lvl>
    <w:lvl w:ilvl="3" w:tentative="0">
      <w:start w:val="1"/>
      <w:numFmt w:val="bullet"/>
      <w:lvlText w:val="●"/>
      <w:lvlJc w:val="left"/>
      <w:pPr>
        <w:ind w:left="3588" w:hanging="360"/>
      </w:pPr>
      <w:rPr>
        <w:rFonts w:ascii="Noto Sans Symbols" w:hAnsi="Noto Sans Symbols" w:eastAsia="Noto Sans Symbols" w:cs="Noto Sans Symbols"/>
      </w:rPr>
    </w:lvl>
    <w:lvl w:ilvl="4" w:tentative="0">
      <w:start w:val="1"/>
      <w:numFmt w:val="bullet"/>
      <w:lvlText w:val="o"/>
      <w:lvlJc w:val="left"/>
      <w:pPr>
        <w:ind w:left="4308" w:hanging="360"/>
      </w:pPr>
      <w:rPr>
        <w:rFonts w:ascii="Courier New" w:hAnsi="Courier New" w:eastAsia="Courier New" w:cs="Courier New"/>
      </w:rPr>
    </w:lvl>
    <w:lvl w:ilvl="5" w:tentative="0">
      <w:start w:val="1"/>
      <w:numFmt w:val="bullet"/>
      <w:lvlText w:val="▪"/>
      <w:lvlJc w:val="left"/>
      <w:pPr>
        <w:ind w:left="5028" w:hanging="360"/>
      </w:pPr>
      <w:rPr>
        <w:rFonts w:ascii="Noto Sans Symbols" w:hAnsi="Noto Sans Symbols" w:eastAsia="Noto Sans Symbols" w:cs="Noto Sans Symbols"/>
      </w:rPr>
    </w:lvl>
    <w:lvl w:ilvl="6" w:tentative="0">
      <w:start w:val="1"/>
      <w:numFmt w:val="bullet"/>
      <w:lvlText w:val="●"/>
      <w:lvlJc w:val="left"/>
      <w:pPr>
        <w:ind w:left="5748" w:hanging="360"/>
      </w:pPr>
      <w:rPr>
        <w:rFonts w:ascii="Noto Sans Symbols" w:hAnsi="Noto Sans Symbols" w:eastAsia="Noto Sans Symbols" w:cs="Noto Sans Symbols"/>
      </w:rPr>
    </w:lvl>
    <w:lvl w:ilvl="7" w:tentative="0">
      <w:start w:val="1"/>
      <w:numFmt w:val="bullet"/>
      <w:lvlText w:val="o"/>
      <w:lvlJc w:val="left"/>
      <w:pPr>
        <w:ind w:left="6468" w:hanging="360"/>
      </w:pPr>
      <w:rPr>
        <w:rFonts w:ascii="Courier New" w:hAnsi="Courier New" w:eastAsia="Courier New" w:cs="Courier New"/>
      </w:rPr>
    </w:lvl>
    <w:lvl w:ilvl="8" w:tentative="0">
      <w:start w:val="1"/>
      <w:numFmt w:val="bullet"/>
      <w:lvlText w:val="▪"/>
      <w:lvlJc w:val="left"/>
      <w:pPr>
        <w:ind w:left="7188" w:hanging="360"/>
      </w:pPr>
      <w:rPr>
        <w:rFonts w:ascii="Noto Sans Symbols" w:hAnsi="Noto Sans Symbols" w:eastAsia="Noto Sans Symbols" w:cs="Noto Sans Symbols"/>
      </w:rPr>
    </w:lvl>
  </w:abstractNum>
  <w:abstractNum w:abstractNumId="6">
    <w:nsid w:val="41966229"/>
    <w:multiLevelType w:val="multilevel"/>
    <w:tmpl w:val="41966229"/>
    <w:lvl w:ilvl="0" w:tentative="0">
      <w:start w:val="1"/>
      <w:numFmt w:val="decimal"/>
      <w:lvlText w:val="%1."/>
      <w:lvlJc w:val="left"/>
      <w:pPr>
        <w:ind w:left="220" w:hanging="360"/>
      </w:pPr>
    </w:lvl>
    <w:lvl w:ilvl="1" w:tentative="0">
      <w:start w:val="1"/>
      <w:numFmt w:val="lowerLetter"/>
      <w:lvlText w:val="%2."/>
      <w:lvlJc w:val="left"/>
      <w:pPr>
        <w:ind w:left="940" w:hanging="360"/>
      </w:pPr>
    </w:lvl>
    <w:lvl w:ilvl="2" w:tentative="0">
      <w:start w:val="1"/>
      <w:numFmt w:val="lowerRoman"/>
      <w:lvlText w:val="%3."/>
      <w:lvlJc w:val="right"/>
      <w:pPr>
        <w:ind w:left="1660" w:hanging="180"/>
      </w:pPr>
    </w:lvl>
    <w:lvl w:ilvl="3" w:tentative="0">
      <w:start w:val="1"/>
      <w:numFmt w:val="decimal"/>
      <w:lvlText w:val="%4."/>
      <w:lvlJc w:val="left"/>
      <w:pPr>
        <w:ind w:left="2380" w:hanging="360"/>
      </w:pPr>
    </w:lvl>
    <w:lvl w:ilvl="4" w:tentative="0">
      <w:start w:val="1"/>
      <w:numFmt w:val="lowerLetter"/>
      <w:lvlText w:val="%5."/>
      <w:lvlJc w:val="left"/>
      <w:pPr>
        <w:ind w:left="3100" w:hanging="360"/>
      </w:pPr>
    </w:lvl>
    <w:lvl w:ilvl="5" w:tentative="0">
      <w:start w:val="1"/>
      <w:numFmt w:val="lowerRoman"/>
      <w:lvlText w:val="%6."/>
      <w:lvlJc w:val="right"/>
      <w:pPr>
        <w:ind w:left="3820" w:hanging="180"/>
      </w:pPr>
    </w:lvl>
    <w:lvl w:ilvl="6" w:tentative="0">
      <w:start w:val="1"/>
      <w:numFmt w:val="decimal"/>
      <w:lvlText w:val="%7."/>
      <w:lvlJc w:val="left"/>
      <w:pPr>
        <w:ind w:left="4540" w:hanging="360"/>
      </w:pPr>
    </w:lvl>
    <w:lvl w:ilvl="7" w:tentative="0">
      <w:start w:val="1"/>
      <w:numFmt w:val="lowerLetter"/>
      <w:lvlText w:val="%8."/>
      <w:lvlJc w:val="left"/>
      <w:pPr>
        <w:ind w:left="5260" w:hanging="360"/>
      </w:pPr>
    </w:lvl>
    <w:lvl w:ilvl="8" w:tentative="0">
      <w:start w:val="1"/>
      <w:numFmt w:val="lowerRoman"/>
      <w:lvlText w:val="%9."/>
      <w:lvlJc w:val="right"/>
      <w:pPr>
        <w:ind w:left="5980" w:hanging="180"/>
      </w:pPr>
    </w:lvl>
  </w:abstractNum>
  <w:abstractNum w:abstractNumId="7">
    <w:nsid w:val="49C07F87"/>
    <w:multiLevelType w:val="multilevel"/>
    <w:tmpl w:val="49C07F87"/>
    <w:lvl w:ilvl="0" w:tentative="0">
      <w:start w:val="1"/>
      <w:numFmt w:val="bullet"/>
      <w:lvlText w:val="●"/>
      <w:lvlJc w:val="left"/>
      <w:pPr>
        <w:ind w:left="1788" w:hanging="360"/>
      </w:pPr>
      <w:rPr>
        <w:rFonts w:ascii="Noto Sans Symbols" w:hAnsi="Noto Sans Symbols" w:eastAsia="Noto Sans Symbols" w:cs="Noto Sans Symbols"/>
      </w:rPr>
    </w:lvl>
    <w:lvl w:ilvl="1" w:tentative="0">
      <w:start w:val="1"/>
      <w:numFmt w:val="bullet"/>
      <w:lvlText w:val="o"/>
      <w:lvlJc w:val="left"/>
      <w:pPr>
        <w:ind w:left="2508" w:hanging="360"/>
      </w:pPr>
      <w:rPr>
        <w:rFonts w:ascii="Courier New" w:hAnsi="Courier New" w:eastAsia="Courier New" w:cs="Courier New"/>
      </w:rPr>
    </w:lvl>
    <w:lvl w:ilvl="2" w:tentative="0">
      <w:start w:val="1"/>
      <w:numFmt w:val="bullet"/>
      <w:lvlText w:val="▪"/>
      <w:lvlJc w:val="left"/>
      <w:pPr>
        <w:ind w:left="3228" w:hanging="360"/>
      </w:pPr>
      <w:rPr>
        <w:rFonts w:ascii="Noto Sans Symbols" w:hAnsi="Noto Sans Symbols" w:eastAsia="Noto Sans Symbols" w:cs="Noto Sans Symbols"/>
      </w:rPr>
    </w:lvl>
    <w:lvl w:ilvl="3" w:tentative="0">
      <w:start w:val="1"/>
      <w:numFmt w:val="bullet"/>
      <w:lvlText w:val="●"/>
      <w:lvlJc w:val="left"/>
      <w:pPr>
        <w:ind w:left="3948" w:hanging="360"/>
      </w:pPr>
      <w:rPr>
        <w:rFonts w:ascii="Noto Sans Symbols" w:hAnsi="Noto Sans Symbols" w:eastAsia="Noto Sans Symbols" w:cs="Noto Sans Symbols"/>
      </w:rPr>
    </w:lvl>
    <w:lvl w:ilvl="4" w:tentative="0">
      <w:start w:val="1"/>
      <w:numFmt w:val="bullet"/>
      <w:lvlText w:val="o"/>
      <w:lvlJc w:val="left"/>
      <w:pPr>
        <w:ind w:left="4668" w:hanging="360"/>
      </w:pPr>
      <w:rPr>
        <w:rFonts w:ascii="Courier New" w:hAnsi="Courier New" w:eastAsia="Courier New" w:cs="Courier New"/>
      </w:rPr>
    </w:lvl>
    <w:lvl w:ilvl="5" w:tentative="0">
      <w:start w:val="1"/>
      <w:numFmt w:val="bullet"/>
      <w:lvlText w:val="▪"/>
      <w:lvlJc w:val="left"/>
      <w:pPr>
        <w:ind w:left="5388" w:hanging="360"/>
      </w:pPr>
      <w:rPr>
        <w:rFonts w:ascii="Noto Sans Symbols" w:hAnsi="Noto Sans Symbols" w:eastAsia="Noto Sans Symbols" w:cs="Noto Sans Symbols"/>
      </w:rPr>
    </w:lvl>
    <w:lvl w:ilvl="6" w:tentative="0">
      <w:start w:val="1"/>
      <w:numFmt w:val="bullet"/>
      <w:lvlText w:val="●"/>
      <w:lvlJc w:val="left"/>
      <w:pPr>
        <w:ind w:left="6108" w:hanging="360"/>
      </w:pPr>
      <w:rPr>
        <w:rFonts w:ascii="Noto Sans Symbols" w:hAnsi="Noto Sans Symbols" w:eastAsia="Noto Sans Symbols" w:cs="Noto Sans Symbols"/>
      </w:rPr>
    </w:lvl>
    <w:lvl w:ilvl="7" w:tentative="0">
      <w:start w:val="1"/>
      <w:numFmt w:val="bullet"/>
      <w:lvlText w:val="o"/>
      <w:lvlJc w:val="left"/>
      <w:pPr>
        <w:ind w:left="6828" w:hanging="360"/>
      </w:pPr>
      <w:rPr>
        <w:rFonts w:ascii="Courier New" w:hAnsi="Courier New" w:eastAsia="Courier New" w:cs="Courier New"/>
      </w:rPr>
    </w:lvl>
    <w:lvl w:ilvl="8" w:tentative="0">
      <w:start w:val="1"/>
      <w:numFmt w:val="bullet"/>
      <w:lvlText w:val="▪"/>
      <w:lvlJc w:val="left"/>
      <w:pPr>
        <w:ind w:left="7548" w:hanging="360"/>
      </w:pPr>
      <w:rPr>
        <w:rFonts w:ascii="Noto Sans Symbols" w:hAnsi="Noto Sans Symbols" w:eastAsia="Noto Sans Symbols" w:cs="Noto Sans Symbols"/>
      </w:rPr>
    </w:lvl>
  </w:abstractNum>
  <w:abstractNum w:abstractNumId="8">
    <w:nsid w:val="50F9238E"/>
    <w:multiLevelType w:val="multilevel"/>
    <w:tmpl w:val="50F9238E"/>
    <w:lvl w:ilvl="0" w:tentative="0">
      <w:start w:val="1"/>
      <w:numFmt w:val="bullet"/>
      <w:lvlText w:val="●"/>
      <w:lvlJc w:val="left"/>
      <w:pPr>
        <w:ind w:left="1440" w:hanging="360"/>
      </w:pPr>
      <w:rPr>
        <w:rFonts w:ascii="Noto Sans Symbols" w:hAnsi="Noto Sans Symbols" w:eastAsia="Noto Sans Symbols" w:cs="Noto Sans Symbols"/>
      </w:rPr>
    </w:lvl>
    <w:lvl w:ilvl="1" w:tentative="0">
      <w:start w:val="1"/>
      <w:numFmt w:val="bullet"/>
      <w:lvlText w:val="o"/>
      <w:lvlJc w:val="left"/>
      <w:pPr>
        <w:ind w:left="2160" w:hanging="360"/>
      </w:pPr>
      <w:rPr>
        <w:rFonts w:ascii="Courier New" w:hAnsi="Courier New" w:eastAsia="Courier New" w:cs="Courier New"/>
      </w:rPr>
    </w:lvl>
    <w:lvl w:ilvl="2" w:tentative="0">
      <w:start w:val="1"/>
      <w:numFmt w:val="bullet"/>
      <w:lvlText w:val="▪"/>
      <w:lvlJc w:val="left"/>
      <w:pPr>
        <w:ind w:left="2880" w:hanging="360"/>
      </w:pPr>
      <w:rPr>
        <w:rFonts w:ascii="Noto Sans Symbols" w:hAnsi="Noto Sans Symbols" w:eastAsia="Noto Sans Symbols" w:cs="Noto Sans Symbols"/>
      </w:rPr>
    </w:lvl>
    <w:lvl w:ilvl="3" w:tentative="0">
      <w:start w:val="1"/>
      <w:numFmt w:val="bullet"/>
      <w:lvlText w:val="●"/>
      <w:lvlJc w:val="left"/>
      <w:pPr>
        <w:ind w:left="3600" w:hanging="360"/>
      </w:pPr>
      <w:rPr>
        <w:rFonts w:ascii="Noto Sans Symbols" w:hAnsi="Noto Sans Symbols" w:eastAsia="Noto Sans Symbols" w:cs="Noto Sans Symbols"/>
      </w:rPr>
    </w:lvl>
    <w:lvl w:ilvl="4" w:tentative="0">
      <w:start w:val="1"/>
      <w:numFmt w:val="bullet"/>
      <w:lvlText w:val="o"/>
      <w:lvlJc w:val="left"/>
      <w:pPr>
        <w:ind w:left="4320" w:hanging="360"/>
      </w:pPr>
      <w:rPr>
        <w:rFonts w:ascii="Courier New" w:hAnsi="Courier New" w:eastAsia="Courier New" w:cs="Courier New"/>
      </w:rPr>
    </w:lvl>
    <w:lvl w:ilvl="5" w:tentative="0">
      <w:start w:val="1"/>
      <w:numFmt w:val="bullet"/>
      <w:lvlText w:val="▪"/>
      <w:lvlJc w:val="left"/>
      <w:pPr>
        <w:ind w:left="5040" w:hanging="360"/>
      </w:pPr>
      <w:rPr>
        <w:rFonts w:ascii="Noto Sans Symbols" w:hAnsi="Noto Sans Symbols" w:eastAsia="Noto Sans Symbols" w:cs="Noto Sans Symbols"/>
      </w:rPr>
    </w:lvl>
    <w:lvl w:ilvl="6" w:tentative="0">
      <w:start w:val="1"/>
      <w:numFmt w:val="bullet"/>
      <w:lvlText w:val="●"/>
      <w:lvlJc w:val="left"/>
      <w:pPr>
        <w:ind w:left="5760" w:hanging="360"/>
      </w:pPr>
      <w:rPr>
        <w:rFonts w:ascii="Noto Sans Symbols" w:hAnsi="Noto Sans Symbols" w:eastAsia="Noto Sans Symbols" w:cs="Noto Sans Symbols"/>
      </w:rPr>
    </w:lvl>
    <w:lvl w:ilvl="7" w:tentative="0">
      <w:start w:val="1"/>
      <w:numFmt w:val="bullet"/>
      <w:lvlText w:val="o"/>
      <w:lvlJc w:val="left"/>
      <w:pPr>
        <w:ind w:left="6480" w:hanging="360"/>
      </w:pPr>
      <w:rPr>
        <w:rFonts w:ascii="Courier New" w:hAnsi="Courier New" w:eastAsia="Courier New" w:cs="Courier New"/>
      </w:rPr>
    </w:lvl>
    <w:lvl w:ilvl="8" w:tentative="0">
      <w:start w:val="1"/>
      <w:numFmt w:val="bullet"/>
      <w:lvlText w:val="▪"/>
      <w:lvlJc w:val="left"/>
      <w:pPr>
        <w:ind w:left="7200" w:hanging="360"/>
      </w:pPr>
      <w:rPr>
        <w:rFonts w:ascii="Noto Sans Symbols" w:hAnsi="Noto Sans Symbols" w:eastAsia="Noto Sans Symbols" w:cs="Noto Sans Symbols"/>
      </w:rPr>
    </w:lvl>
  </w:abstractNum>
  <w:abstractNum w:abstractNumId="9">
    <w:nsid w:val="715C37C5"/>
    <w:multiLevelType w:val="multilevel"/>
    <w:tmpl w:val="715C37C5"/>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7B3B4FB2"/>
    <w:multiLevelType w:val="multilevel"/>
    <w:tmpl w:val="7B3B4FB2"/>
    <w:lvl w:ilvl="0" w:tentative="0">
      <w:start w:val="1"/>
      <w:numFmt w:val="bullet"/>
      <w:lvlText w:val="●"/>
      <w:lvlJc w:val="left"/>
      <w:pPr>
        <w:ind w:left="360" w:hanging="360"/>
      </w:pPr>
      <w:rPr>
        <w:rFonts w:ascii="Noto Sans Symbols" w:hAnsi="Noto Sans Symbols" w:eastAsia="Noto Sans Symbols" w:cs="Noto Sans Symbols"/>
      </w:rPr>
    </w:lvl>
    <w:lvl w:ilvl="1" w:tentative="0">
      <w:start w:val="1"/>
      <w:numFmt w:val="bullet"/>
      <w:lvlText w:val="o"/>
      <w:lvlJc w:val="left"/>
      <w:pPr>
        <w:ind w:left="1080" w:hanging="360"/>
      </w:pPr>
      <w:rPr>
        <w:rFonts w:ascii="Courier New" w:hAnsi="Courier New" w:eastAsia="Courier New" w:cs="Courier New"/>
      </w:rPr>
    </w:lvl>
    <w:lvl w:ilvl="2" w:tentative="0">
      <w:start w:val="1"/>
      <w:numFmt w:val="bullet"/>
      <w:lvlText w:val="▪"/>
      <w:lvlJc w:val="left"/>
      <w:pPr>
        <w:ind w:left="1800" w:hanging="360"/>
      </w:pPr>
      <w:rPr>
        <w:rFonts w:ascii="Noto Sans Symbols" w:hAnsi="Noto Sans Symbols" w:eastAsia="Noto Sans Symbols" w:cs="Noto Sans Symbols"/>
      </w:rPr>
    </w:lvl>
    <w:lvl w:ilvl="3" w:tentative="0">
      <w:start w:val="1"/>
      <w:numFmt w:val="bullet"/>
      <w:lvlText w:val="●"/>
      <w:lvlJc w:val="left"/>
      <w:pPr>
        <w:ind w:left="2520" w:hanging="360"/>
      </w:pPr>
      <w:rPr>
        <w:rFonts w:ascii="Noto Sans Symbols" w:hAnsi="Noto Sans Symbols" w:eastAsia="Noto Sans Symbols" w:cs="Noto Sans Symbols"/>
      </w:rPr>
    </w:lvl>
    <w:lvl w:ilvl="4" w:tentative="0">
      <w:start w:val="1"/>
      <w:numFmt w:val="bullet"/>
      <w:lvlText w:val="o"/>
      <w:lvlJc w:val="left"/>
      <w:pPr>
        <w:ind w:left="3240" w:hanging="360"/>
      </w:pPr>
      <w:rPr>
        <w:rFonts w:ascii="Courier New" w:hAnsi="Courier New" w:eastAsia="Courier New" w:cs="Courier New"/>
      </w:rPr>
    </w:lvl>
    <w:lvl w:ilvl="5" w:tentative="0">
      <w:start w:val="1"/>
      <w:numFmt w:val="bullet"/>
      <w:lvlText w:val="▪"/>
      <w:lvlJc w:val="left"/>
      <w:pPr>
        <w:ind w:left="3960" w:hanging="360"/>
      </w:pPr>
      <w:rPr>
        <w:rFonts w:ascii="Noto Sans Symbols" w:hAnsi="Noto Sans Symbols" w:eastAsia="Noto Sans Symbols" w:cs="Noto Sans Symbols"/>
      </w:rPr>
    </w:lvl>
    <w:lvl w:ilvl="6" w:tentative="0">
      <w:start w:val="1"/>
      <w:numFmt w:val="bullet"/>
      <w:lvlText w:val="●"/>
      <w:lvlJc w:val="left"/>
      <w:pPr>
        <w:ind w:left="4680" w:hanging="360"/>
      </w:pPr>
      <w:rPr>
        <w:rFonts w:ascii="Noto Sans Symbols" w:hAnsi="Noto Sans Symbols" w:eastAsia="Noto Sans Symbols" w:cs="Noto Sans Symbols"/>
      </w:rPr>
    </w:lvl>
    <w:lvl w:ilvl="7" w:tentative="0">
      <w:start w:val="1"/>
      <w:numFmt w:val="bullet"/>
      <w:lvlText w:val="o"/>
      <w:lvlJc w:val="left"/>
      <w:pPr>
        <w:ind w:left="5400" w:hanging="360"/>
      </w:pPr>
      <w:rPr>
        <w:rFonts w:ascii="Courier New" w:hAnsi="Courier New" w:eastAsia="Courier New" w:cs="Courier New"/>
      </w:rPr>
    </w:lvl>
    <w:lvl w:ilvl="8" w:tentative="0">
      <w:start w:val="1"/>
      <w:numFmt w:val="bullet"/>
      <w:lvlText w:val="▪"/>
      <w:lvlJc w:val="left"/>
      <w:pPr>
        <w:ind w:left="6120" w:hanging="360"/>
      </w:pPr>
      <w:rPr>
        <w:rFonts w:ascii="Noto Sans Symbols" w:hAnsi="Noto Sans Symbols" w:eastAsia="Noto Sans Symbols" w:cs="Noto Sans Symbols"/>
      </w:rPr>
    </w:lvl>
  </w:abstractNum>
  <w:abstractNum w:abstractNumId="11">
    <w:nsid w:val="7C134778"/>
    <w:multiLevelType w:val="multilevel"/>
    <w:tmpl w:val="7C134778"/>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num w:numId="1">
    <w:abstractNumId w:val="6"/>
  </w:num>
  <w:num w:numId="2">
    <w:abstractNumId w:val="1"/>
  </w:num>
  <w:num w:numId="3">
    <w:abstractNumId w:val="9"/>
  </w:num>
  <w:num w:numId="4">
    <w:abstractNumId w:val="8"/>
  </w:num>
  <w:num w:numId="5">
    <w:abstractNumId w:val="7"/>
  </w:num>
  <w:num w:numId="6">
    <w:abstractNumId w:val="4"/>
  </w:num>
  <w:num w:numId="7">
    <w:abstractNumId w:val="0"/>
  </w:num>
  <w:num w:numId="8">
    <w:abstractNumId w:val="11"/>
  </w:num>
  <w:num w:numId="9">
    <w:abstractNumId w:val="3"/>
  </w:num>
  <w:num w:numId="10">
    <w:abstractNumId w:val="2"/>
  </w:num>
  <w:num w:numId="11">
    <w:abstractNumId w:val="5"/>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586A"/>
    <w:rsid w:val="0007586A"/>
    <w:rsid w:val="00075F75"/>
    <w:rsid w:val="00196CD7"/>
    <w:rsid w:val="00580318"/>
    <w:rsid w:val="0FBB3305"/>
    <w:rsid w:val="11F95C99"/>
    <w:rsid w:val="3E8F265B"/>
    <w:rsid w:val="67760E66"/>
    <w:rsid w:val="678C6669"/>
    <w:rsid w:val="6BD925AE"/>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nhideWhenUsed="0" w:uiPriority="0" w:name="footnote text"/>
    <w:lsdException w:unhideWhenUsed="0" w:uiPriority="99" w:name="annotation text"/>
    <w:lsdException w:qFormat="1" w:unhideWhenUsed="0" w:uiPriority="99" w:semiHidden="0" w:name="header"/>
    <w:lsdException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nhideWhenUsed="0" w:uiPriority="99" w:name="footnote reference"/>
    <w:lsdException w:qFormat="1" w:unhideWhenUsed="0" w:uiPriority="99" w:name="annotation reference"/>
    <w:lsdException w:uiPriority="99" w:name="line number"/>
    <w:lsdException w:qFormat="1" w:unhideWhenUsed="0"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name="HTML Preformatted"/>
    <w:lsdException w:uiPriority="99" w:name="HTML Sample"/>
    <w:lsdException w:uiPriority="99" w:name="HTML Typewriter"/>
    <w:lsdException w:uiPriority="99" w:name="HTML Variable"/>
    <w:lsdException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0" w:semiHidden="0" w:name="Table Grid"/>
    <w:lsdException w:uiPriority="99" w:name="Table Theme"/>
    <w:lsdException w:qFormat="1" w:unhideWhenUsed="0" w:uiPriority="99" w:semiHidden="0" w:name="List Paragraph"/>
  </w:latentStyles>
  <w:style w:type="paragraph" w:default="1" w:styleId="1">
    <w:name w:val="Normal"/>
    <w:qFormat/>
    <w:uiPriority w:val="0"/>
    <w:pPr>
      <w:spacing w:after="200" w:line="276" w:lineRule="auto"/>
    </w:pPr>
    <w:rPr>
      <w:rFonts w:ascii="Calibri" w:hAnsi="Calibri" w:eastAsia="Calibri" w:cs="Calibri"/>
      <w:sz w:val="22"/>
      <w:szCs w:val="22"/>
      <w:lang w:val="uk-UA" w:eastAsia="uk-UA" w:bidi="ar-SA"/>
    </w:rPr>
  </w:style>
  <w:style w:type="paragraph" w:styleId="2">
    <w:name w:val="heading 1"/>
    <w:basedOn w:val="1"/>
    <w:next w:val="1"/>
    <w:link w:val="28"/>
    <w:qFormat/>
    <w:uiPriority w:val="9"/>
    <w:pPr>
      <w:keepNext/>
      <w:spacing w:after="0" w:line="240" w:lineRule="auto"/>
      <w:outlineLvl w:val="0"/>
    </w:pPr>
    <w:rPr>
      <w:rFonts w:ascii="Times New Roman" w:hAnsi="Times New Roman"/>
      <w:b/>
      <w:sz w:val="32"/>
      <w:szCs w:val="20"/>
      <w:lang w:val="en-US" w:eastAsia="ru-RU"/>
    </w:rPr>
  </w:style>
  <w:style w:type="paragraph" w:styleId="3">
    <w:name w:val="heading 2"/>
    <w:basedOn w:val="1"/>
    <w:next w:val="1"/>
    <w:link w:val="29"/>
    <w:semiHidden/>
    <w:unhideWhenUsed/>
    <w:qFormat/>
    <w:uiPriority w:val="9"/>
    <w:pPr>
      <w:keepNext/>
      <w:spacing w:after="0" w:line="240" w:lineRule="auto"/>
      <w:jc w:val="both"/>
      <w:outlineLvl w:val="1"/>
    </w:pPr>
    <w:rPr>
      <w:rFonts w:ascii="Times New Roman" w:hAnsi="Times New Roman"/>
      <w:sz w:val="24"/>
      <w:szCs w:val="20"/>
      <w:lang w:val="ru-RU" w:eastAsia="ru-RU"/>
    </w:rPr>
  </w:style>
  <w:style w:type="paragraph" w:styleId="4">
    <w:name w:val="heading 3"/>
    <w:basedOn w:val="1"/>
    <w:next w:val="1"/>
    <w:link w:val="30"/>
    <w:semiHidden/>
    <w:unhideWhenUsed/>
    <w:qFormat/>
    <w:uiPriority w:val="9"/>
    <w:pPr>
      <w:keepNext/>
      <w:spacing w:before="240" w:after="120" w:line="240" w:lineRule="auto"/>
      <w:ind w:firstLine="720"/>
      <w:jc w:val="both"/>
      <w:outlineLvl w:val="2"/>
    </w:pPr>
    <w:rPr>
      <w:rFonts w:ascii="Arial" w:hAnsi="Arial"/>
      <w:b/>
      <w:i/>
      <w:sz w:val="28"/>
      <w:szCs w:val="28"/>
      <w:lang w:val="ru-RU" w:eastAsia="ru-RU"/>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styleId="10">
    <w:name w:val="footnote reference"/>
    <w:basedOn w:val="8"/>
    <w:semiHidden/>
    <w:uiPriority w:val="99"/>
    <w:rPr>
      <w:rFonts w:cs="Times New Roman"/>
      <w:vertAlign w:val="superscript"/>
    </w:rPr>
  </w:style>
  <w:style w:type="character" w:styleId="11">
    <w:name w:val="annotation reference"/>
    <w:basedOn w:val="8"/>
    <w:semiHidden/>
    <w:qFormat/>
    <w:uiPriority w:val="99"/>
    <w:rPr>
      <w:rFonts w:cs="Times New Roman"/>
      <w:sz w:val="16"/>
    </w:rPr>
  </w:style>
  <w:style w:type="character" w:styleId="12">
    <w:name w:val="Emphasis"/>
    <w:basedOn w:val="8"/>
    <w:qFormat/>
    <w:uiPriority w:val="20"/>
    <w:rPr>
      <w:rFonts w:cs="Times New Roman"/>
      <w:i/>
    </w:rPr>
  </w:style>
  <w:style w:type="character" w:styleId="13">
    <w:name w:val="Hyperlink"/>
    <w:basedOn w:val="8"/>
    <w:uiPriority w:val="99"/>
    <w:rPr>
      <w:rFonts w:cs="Times New Roman"/>
      <w:color w:val="0000FF"/>
      <w:u w:val="single"/>
    </w:rPr>
  </w:style>
  <w:style w:type="character" w:styleId="14">
    <w:name w:val="page number"/>
    <w:basedOn w:val="8"/>
    <w:semiHidden/>
    <w:qFormat/>
    <w:uiPriority w:val="99"/>
    <w:rPr>
      <w:rFonts w:cs="Times New Roman"/>
    </w:rPr>
  </w:style>
  <w:style w:type="paragraph" w:styleId="15">
    <w:name w:val="Balloon Text"/>
    <w:basedOn w:val="1"/>
    <w:link w:val="40"/>
    <w:semiHidden/>
    <w:qFormat/>
    <w:uiPriority w:val="99"/>
    <w:pPr>
      <w:spacing w:after="0" w:line="240" w:lineRule="auto"/>
    </w:pPr>
    <w:rPr>
      <w:rFonts w:ascii="Tahoma" w:hAnsi="Tahoma" w:cs="Tahoma"/>
      <w:sz w:val="16"/>
      <w:szCs w:val="16"/>
    </w:rPr>
  </w:style>
  <w:style w:type="paragraph" w:styleId="16">
    <w:name w:val="annotation text"/>
    <w:basedOn w:val="1"/>
    <w:link w:val="62"/>
    <w:semiHidden/>
    <w:uiPriority w:val="99"/>
    <w:rPr>
      <w:sz w:val="20"/>
      <w:szCs w:val="20"/>
      <w:lang w:val="ru-RU" w:eastAsia="en-US"/>
    </w:rPr>
  </w:style>
  <w:style w:type="paragraph" w:styleId="17">
    <w:name w:val="annotation subject"/>
    <w:basedOn w:val="16"/>
    <w:next w:val="16"/>
    <w:link w:val="63"/>
    <w:semiHidden/>
    <w:qFormat/>
    <w:uiPriority w:val="99"/>
    <w:rPr>
      <w:b/>
      <w:bCs/>
    </w:rPr>
  </w:style>
  <w:style w:type="paragraph" w:styleId="18">
    <w:name w:val="footnote text"/>
    <w:basedOn w:val="1"/>
    <w:link w:val="41"/>
    <w:semiHidden/>
    <w:uiPriority w:val="0"/>
    <w:rPr>
      <w:sz w:val="20"/>
      <w:szCs w:val="20"/>
      <w:lang w:eastAsia="en-US"/>
    </w:rPr>
  </w:style>
  <w:style w:type="paragraph" w:styleId="19">
    <w:name w:val="header"/>
    <w:basedOn w:val="1"/>
    <w:link w:val="37"/>
    <w:qFormat/>
    <w:uiPriority w:val="99"/>
    <w:pPr>
      <w:tabs>
        <w:tab w:val="center" w:pos="4153"/>
        <w:tab w:val="right" w:pos="8306"/>
      </w:tabs>
      <w:spacing w:after="0" w:line="240" w:lineRule="auto"/>
      <w:ind w:firstLine="720"/>
      <w:jc w:val="both"/>
    </w:pPr>
    <w:rPr>
      <w:rFonts w:ascii="1251 Times" w:hAnsi="1251 Times"/>
      <w:sz w:val="28"/>
      <w:szCs w:val="28"/>
      <w:lang w:val="en-US"/>
    </w:rPr>
  </w:style>
  <w:style w:type="paragraph" w:styleId="20">
    <w:name w:val="Body Text"/>
    <w:basedOn w:val="1"/>
    <w:link w:val="33"/>
    <w:uiPriority w:val="99"/>
    <w:pPr>
      <w:shd w:val="clear" w:color="auto" w:fill="FFFFFF"/>
      <w:spacing w:after="0" w:line="235" w:lineRule="exact"/>
      <w:ind w:hanging="200"/>
    </w:pPr>
    <w:rPr>
      <w:rFonts w:ascii="Times New Roman" w:hAnsi="Times New Roman"/>
      <w:sz w:val="18"/>
      <w:szCs w:val="18"/>
      <w:lang w:eastAsia="en-US"/>
    </w:rPr>
  </w:style>
  <w:style w:type="paragraph" w:styleId="21">
    <w:name w:val="Title"/>
    <w:basedOn w:val="1"/>
    <w:next w:val="1"/>
    <w:qFormat/>
    <w:uiPriority w:val="10"/>
    <w:pPr>
      <w:keepNext/>
      <w:keepLines/>
      <w:spacing w:before="480" w:after="120"/>
    </w:pPr>
    <w:rPr>
      <w:b/>
      <w:sz w:val="72"/>
      <w:szCs w:val="72"/>
    </w:rPr>
  </w:style>
  <w:style w:type="paragraph" w:styleId="22">
    <w:name w:val="footer"/>
    <w:basedOn w:val="1"/>
    <w:link w:val="38"/>
    <w:uiPriority w:val="99"/>
    <w:pPr>
      <w:tabs>
        <w:tab w:val="center" w:pos="4819"/>
        <w:tab w:val="right" w:pos="9639"/>
      </w:tabs>
      <w:spacing w:after="0" w:line="240" w:lineRule="auto"/>
    </w:pPr>
    <w:rPr>
      <w:lang w:eastAsia="en-US"/>
    </w:rPr>
  </w:style>
  <w:style w:type="paragraph" w:styleId="23">
    <w:name w:val="Normal (Web)"/>
    <w:basedOn w:val="1"/>
    <w:uiPriority w:val="99"/>
    <w:pPr>
      <w:spacing w:before="100" w:beforeAutospacing="1" w:after="100" w:afterAutospacing="1" w:line="240" w:lineRule="auto"/>
    </w:pPr>
    <w:rPr>
      <w:rFonts w:ascii="Times New Roman" w:hAnsi="Times New Roman"/>
      <w:sz w:val="24"/>
      <w:szCs w:val="24"/>
      <w:lang w:val="ru-RU" w:eastAsia="ru-RU"/>
    </w:rPr>
  </w:style>
  <w:style w:type="paragraph" w:styleId="24">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25">
    <w:name w:val="HTML Preformatted"/>
    <w:basedOn w:val="1"/>
    <w:link w:val="64"/>
    <w:semiHidden/>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ru-RU" w:eastAsia="ru-RU"/>
    </w:rPr>
  </w:style>
  <w:style w:type="table" w:styleId="26">
    <w:name w:val="Table Grid"/>
    <w:basedOn w:val="9"/>
    <w:qFormat/>
    <w:uiPriority w:val="0"/>
    <w:rP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
    <w:name w:val="Table Normal"/>
    <w:qFormat/>
    <w:uiPriority w:val="0"/>
    <w:tblPr>
      <w:tblCellMar>
        <w:top w:w="0" w:type="dxa"/>
        <w:left w:w="0" w:type="dxa"/>
        <w:bottom w:w="0" w:type="dxa"/>
        <w:right w:w="0" w:type="dxa"/>
      </w:tblCellMar>
    </w:tblPr>
  </w:style>
  <w:style w:type="character" w:customStyle="1" w:styleId="28">
    <w:name w:val="Заголовок 1 Знак"/>
    <w:basedOn w:val="8"/>
    <w:link w:val="2"/>
    <w:locked/>
    <w:uiPriority w:val="99"/>
    <w:rPr>
      <w:rFonts w:ascii="Times New Roman" w:hAnsi="Times New Roman" w:cs="Times New Roman"/>
      <w:b/>
      <w:sz w:val="20"/>
      <w:szCs w:val="20"/>
      <w:lang w:val="en-US" w:eastAsia="ru-RU"/>
    </w:rPr>
  </w:style>
  <w:style w:type="character" w:customStyle="1" w:styleId="29">
    <w:name w:val="Заголовок 2 Знак"/>
    <w:basedOn w:val="8"/>
    <w:link w:val="3"/>
    <w:qFormat/>
    <w:locked/>
    <w:uiPriority w:val="99"/>
    <w:rPr>
      <w:rFonts w:ascii="Times New Roman" w:hAnsi="Times New Roman" w:cs="Times New Roman"/>
      <w:sz w:val="20"/>
      <w:szCs w:val="20"/>
    </w:rPr>
  </w:style>
  <w:style w:type="character" w:customStyle="1" w:styleId="30">
    <w:name w:val="Заголовок 3 Знак"/>
    <w:basedOn w:val="8"/>
    <w:link w:val="4"/>
    <w:qFormat/>
    <w:locked/>
    <w:uiPriority w:val="99"/>
    <w:rPr>
      <w:rFonts w:ascii="Arial" w:hAnsi="Arial" w:cs="Times New Roman"/>
      <w:b/>
      <w:i/>
      <w:sz w:val="28"/>
      <w:szCs w:val="28"/>
      <w:lang w:eastAsia="ru-RU"/>
    </w:rPr>
  </w:style>
  <w:style w:type="paragraph" w:styleId="31">
    <w:name w:val="List Paragraph"/>
    <w:basedOn w:val="1"/>
    <w:qFormat/>
    <w:uiPriority w:val="99"/>
    <w:pPr>
      <w:ind w:left="720"/>
      <w:contextualSpacing/>
    </w:pPr>
    <w:rPr>
      <w:lang w:eastAsia="en-US"/>
    </w:rPr>
  </w:style>
  <w:style w:type="character" w:customStyle="1" w:styleId="32">
    <w:name w:val="rvts0"/>
    <w:basedOn w:val="8"/>
    <w:uiPriority w:val="99"/>
    <w:rPr>
      <w:rFonts w:cs="Times New Roman"/>
    </w:rPr>
  </w:style>
  <w:style w:type="character" w:customStyle="1" w:styleId="33">
    <w:name w:val="Основной текст Знак"/>
    <w:basedOn w:val="8"/>
    <w:link w:val="20"/>
    <w:qFormat/>
    <w:locked/>
    <w:uiPriority w:val="99"/>
    <w:rPr>
      <w:rFonts w:ascii="Times New Roman" w:hAnsi="Times New Roman" w:eastAsia="Times New Roman" w:cs="Times New Roman"/>
      <w:sz w:val="18"/>
      <w:szCs w:val="18"/>
      <w:shd w:val="clear" w:color="auto" w:fill="FFFFFF"/>
      <w:lang w:eastAsia="en-US"/>
    </w:rPr>
  </w:style>
  <w:style w:type="paragraph" w:customStyle="1" w:styleId="34">
    <w:name w:val="caaieiaie 1"/>
    <w:basedOn w:val="1"/>
    <w:next w:val="1"/>
    <w:qFormat/>
    <w:uiPriority w:val="99"/>
    <w:pPr>
      <w:keepNext/>
      <w:widowControl w:val="0"/>
      <w:overflowPunct w:val="0"/>
      <w:autoSpaceDE w:val="0"/>
      <w:autoSpaceDN w:val="0"/>
      <w:adjustRightInd w:val="0"/>
      <w:spacing w:after="0" w:line="240" w:lineRule="auto"/>
      <w:jc w:val="right"/>
      <w:textAlignment w:val="baseline"/>
    </w:pPr>
    <w:rPr>
      <w:rFonts w:ascii="Times New Roman" w:hAnsi="Times New Roman"/>
      <w:b/>
      <w:sz w:val="28"/>
      <w:szCs w:val="20"/>
    </w:rPr>
  </w:style>
  <w:style w:type="paragraph" w:customStyle="1" w:styleId="35">
    <w:name w:val="Обычный с отступом"/>
    <w:basedOn w:val="1"/>
    <w:autoRedefine/>
    <w:uiPriority w:val="99"/>
    <w:pPr>
      <w:spacing w:after="0" w:line="240" w:lineRule="auto"/>
      <w:ind w:left="681" w:hanging="321"/>
      <w:jc w:val="both"/>
    </w:pPr>
    <w:rPr>
      <w:rFonts w:ascii="Times New Roman" w:hAnsi="Times New Roman"/>
      <w:color w:val="00FFFF"/>
      <w:sz w:val="28"/>
      <w:szCs w:val="28"/>
    </w:rPr>
  </w:style>
  <w:style w:type="paragraph" w:customStyle="1" w:styleId="36">
    <w:name w:val="rvps2"/>
    <w:basedOn w:val="1"/>
    <w:uiPriority w:val="0"/>
    <w:pPr>
      <w:spacing w:before="100" w:beforeAutospacing="1" w:after="100" w:afterAutospacing="1" w:line="240" w:lineRule="auto"/>
    </w:pPr>
    <w:rPr>
      <w:rFonts w:ascii="Times New Roman" w:hAnsi="Times New Roman"/>
      <w:sz w:val="24"/>
      <w:szCs w:val="24"/>
    </w:rPr>
  </w:style>
  <w:style w:type="character" w:customStyle="1" w:styleId="37">
    <w:name w:val="Верхний колонтитул Знак"/>
    <w:basedOn w:val="8"/>
    <w:link w:val="19"/>
    <w:qFormat/>
    <w:locked/>
    <w:uiPriority w:val="99"/>
    <w:rPr>
      <w:rFonts w:ascii="1251 Times" w:hAnsi="1251 Times" w:cs="Times New Roman"/>
      <w:sz w:val="28"/>
      <w:szCs w:val="28"/>
      <w:lang w:val="en-US"/>
    </w:rPr>
  </w:style>
  <w:style w:type="character" w:customStyle="1" w:styleId="38">
    <w:name w:val="Нижний колонтитул Знак"/>
    <w:basedOn w:val="8"/>
    <w:link w:val="22"/>
    <w:locked/>
    <w:uiPriority w:val="99"/>
    <w:rPr>
      <w:rFonts w:ascii="Calibri" w:hAnsi="Calibri" w:cs="Times New Roman"/>
      <w:lang w:eastAsia="en-US"/>
    </w:rPr>
  </w:style>
  <w:style w:type="paragraph" w:customStyle="1" w:styleId="39">
    <w:name w:val="Абзац списка1"/>
    <w:basedOn w:val="1"/>
    <w:qFormat/>
    <w:uiPriority w:val="99"/>
    <w:pPr>
      <w:ind w:left="720"/>
      <w:contextualSpacing/>
    </w:pPr>
    <w:rPr>
      <w:lang w:eastAsia="en-US"/>
    </w:rPr>
  </w:style>
  <w:style w:type="character" w:customStyle="1" w:styleId="40">
    <w:name w:val="Текст выноски Знак"/>
    <w:basedOn w:val="8"/>
    <w:link w:val="15"/>
    <w:semiHidden/>
    <w:qFormat/>
    <w:locked/>
    <w:uiPriority w:val="99"/>
    <w:rPr>
      <w:rFonts w:ascii="Tahoma" w:hAnsi="Tahoma" w:cs="Tahoma"/>
      <w:sz w:val="16"/>
      <w:szCs w:val="16"/>
    </w:rPr>
  </w:style>
  <w:style w:type="character" w:customStyle="1" w:styleId="41">
    <w:name w:val="Текст сноски Знак"/>
    <w:basedOn w:val="8"/>
    <w:link w:val="18"/>
    <w:semiHidden/>
    <w:locked/>
    <w:uiPriority w:val="0"/>
    <w:rPr>
      <w:rFonts w:ascii="Calibri" w:hAnsi="Calibri" w:eastAsia="Times New Roman" w:cs="Times New Roman"/>
      <w:sz w:val="20"/>
      <w:szCs w:val="20"/>
      <w:lang w:eastAsia="en-US"/>
    </w:rPr>
  </w:style>
  <w:style w:type="character" w:customStyle="1" w:styleId="42">
    <w:name w:val="Сноска_"/>
    <w:link w:val="43"/>
    <w:qFormat/>
    <w:locked/>
    <w:uiPriority w:val="99"/>
    <w:rPr>
      <w:rFonts w:ascii="Arial" w:hAnsi="Arial"/>
      <w:sz w:val="16"/>
      <w:shd w:val="clear" w:color="auto" w:fill="FFFFFF"/>
    </w:rPr>
  </w:style>
  <w:style w:type="paragraph" w:customStyle="1" w:styleId="43">
    <w:name w:val="Сноска1"/>
    <w:basedOn w:val="1"/>
    <w:link w:val="42"/>
    <w:qFormat/>
    <w:uiPriority w:val="99"/>
    <w:pPr>
      <w:shd w:val="clear" w:color="auto" w:fill="FFFFFF"/>
      <w:spacing w:after="0" w:line="230" w:lineRule="exact"/>
    </w:pPr>
    <w:rPr>
      <w:rFonts w:ascii="Arial" w:hAnsi="Arial"/>
      <w:sz w:val="16"/>
      <w:szCs w:val="16"/>
      <w:lang w:val="ru-RU" w:eastAsia="ru-RU"/>
    </w:rPr>
  </w:style>
  <w:style w:type="paragraph" w:customStyle="1" w:styleId="44">
    <w:name w:val="Мой стиль"/>
    <w:basedOn w:val="1"/>
    <w:uiPriority w:val="99"/>
    <w:pPr>
      <w:spacing w:after="0" w:line="240" w:lineRule="auto"/>
      <w:ind w:firstLine="425"/>
      <w:jc w:val="both"/>
    </w:pPr>
    <w:rPr>
      <w:rFonts w:ascii="Times New Roman" w:hAnsi="Times New Roman"/>
      <w:sz w:val="28"/>
      <w:szCs w:val="20"/>
      <w:lang w:eastAsia="ru-RU"/>
    </w:rPr>
  </w:style>
  <w:style w:type="paragraph" w:customStyle="1" w:styleId="45">
    <w:name w:val="Style6"/>
    <w:basedOn w:val="1"/>
    <w:uiPriority w:val="99"/>
    <w:pPr>
      <w:widowControl w:val="0"/>
      <w:autoSpaceDE w:val="0"/>
      <w:autoSpaceDN w:val="0"/>
      <w:adjustRightInd w:val="0"/>
      <w:spacing w:after="0" w:line="230" w:lineRule="exact"/>
      <w:ind w:hanging="182"/>
    </w:pPr>
    <w:rPr>
      <w:rFonts w:ascii="Times New Roman" w:hAnsi="Times New Roman"/>
      <w:sz w:val="24"/>
      <w:szCs w:val="24"/>
      <w:lang w:val="ru-RU" w:eastAsia="ru-RU"/>
    </w:rPr>
  </w:style>
  <w:style w:type="character" w:customStyle="1" w:styleId="46">
    <w:name w:val="Font Style19"/>
    <w:qFormat/>
    <w:uiPriority w:val="99"/>
    <w:rPr>
      <w:rFonts w:ascii="Times New Roman" w:hAnsi="Times New Roman"/>
      <w:sz w:val="18"/>
    </w:rPr>
  </w:style>
  <w:style w:type="character" w:customStyle="1" w:styleId="47">
    <w:name w:val="Font Style25"/>
    <w:qFormat/>
    <w:uiPriority w:val="99"/>
    <w:rPr>
      <w:rFonts w:ascii="Times New Roman" w:hAnsi="Times New Roman"/>
      <w:sz w:val="26"/>
    </w:rPr>
  </w:style>
  <w:style w:type="paragraph" w:customStyle="1" w:styleId="48">
    <w:name w:val="Style8"/>
    <w:basedOn w:val="1"/>
    <w:qFormat/>
    <w:uiPriority w:val="99"/>
    <w:pPr>
      <w:widowControl w:val="0"/>
      <w:suppressAutoHyphens/>
      <w:autoSpaceDE w:val="0"/>
      <w:spacing w:after="0" w:line="324" w:lineRule="exact"/>
      <w:ind w:firstLine="706"/>
      <w:jc w:val="both"/>
    </w:pPr>
    <w:rPr>
      <w:rFonts w:ascii="Times New Roman" w:hAnsi="Times New Roman"/>
      <w:sz w:val="24"/>
      <w:szCs w:val="24"/>
      <w:lang w:val="ru-RU" w:eastAsia="ar-SA"/>
    </w:rPr>
  </w:style>
  <w:style w:type="paragraph" w:customStyle="1" w:styleId="49">
    <w:name w:val="Style12"/>
    <w:basedOn w:val="1"/>
    <w:qFormat/>
    <w:uiPriority w:val="99"/>
    <w:pPr>
      <w:widowControl w:val="0"/>
      <w:suppressAutoHyphens/>
      <w:autoSpaceDE w:val="0"/>
      <w:spacing w:after="0" w:line="326" w:lineRule="exact"/>
      <w:ind w:firstLine="725"/>
    </w:pPr>
    <w:rPr>
      <w:rFonts w:ascii="Times New Roman" w:hAnsi="Times New Roman"/>
      <w:sz w:val="24"/>
      <w:szCs w:val="24"/>
      <w:lang w:val="ru-RU" w:eastAsia="ar-SA"/>
    </w:rPr>
  </w:style>
  <w:style w:type="paragraph" w:customStyle="1" w:styleId="50">
    <w:name w:val="Style16"/>
    <w:basedOn w:val="1"/>
    <w:qFormat/>
    <w:uiPriority w:val="99"/>
    <w:pPr>
      <w:widowControl w:val="0"/>
      <w:suppressAutoHyphens/>
      <w:autoSpaceDE w:val="0"/>
      <w:spacing w:after="0" w:line="322" w:lineRule="exact"/>
      <w:ind w:firstLine="374"/>
      <w:jc w:val="both"/>
    </w:pPr>
    <w:rPr>
      <w:rFonts w:ascii="Times New Roman" w:hAnsi="Times New Roman"/>
      <w:sz w:val="24"/>
      <w:szCs w:val="24"/>
      <w:lang w:val="ru-RU" w:eastAsia="ar-SA"/>
    </w:rPr>
  </w:style>
  <w:style w:type="paragraph" w:customStyle="1" w:styleId="51">
    <w:name w:val="Style11"/>
    <w:basedOn w:val="1"/>
    <w:qFormat/>
    <w:uiPriority w:val="99"/>
    <w:pPr>
      <w:widowControl w:val="0"/>
      <w:suppressAutoHyphens/>
      <w:autoSpaceDE w:val="0"/>
      <w:spacing w:after="0" w:line="322" w:lineRule="exact"/>
      <w:jc w:val="both"/>
    </w:pPr>
    <w:rPr>
      <w:rFonts w:ascii="Times New Roman" w:hAnsi="Times New Roman"/>
      <w:sz w:val="24"/>
      <w:szCs w:val="24"/>
      <w:lang w:val="ru-RU" w:eastAsia="ar-SA"/>
    </w:rPr>
  </w:style>
  <w:style w:type="character" w:customStyle="1" w:styleId="52">
    <w:name w:val="rvts13"/>
    <w:basedOn w:val="8"/>
    <w:qFormat/>
    <w:uiPriority w:val="99"/>
    <w:rPr>
      <w:rFonts w:cs="Times New Roman"/>
    </w:rPr>
  </w:style>
  <w:style w:type="character" w:customStyle="1" w:styleId="53">
    <w:name w:val="rvts12"/>
    <w:basedOn w:val="8"/>
    <w:qFormat/>
    <w:uiPriority w:val="99"/>
    <w:rPr>
      <w:rFonts w:cs="Times New Roman"/>
    </w:rPr>
  </w:style>
  <w:style w:type="character" w:customStyle="1" w:styleId="54">
    <w:name w:val="rvts9"/>
    <w:basedOn w:val="8"/>
    <w:qFormat/>
    <w:uiPriority w:val="99"/>
    <w:rPr>
      <w:rFonts w:cs="Times New Roman"/>
    </w:rPr>
  </w:style>
  <w:style w:type="character" w:customStyle="1" w:styleId="55">
    <w:name w:val="Знак Знак3"/>
    <w:qFormat/>
    <w:uiPriority w:val="99"/>
    <w:rPr>
      <w:rFonts w:ascii="Times New Roman" w:hAnsi="Times New Roman"/>
      <w:b/>
      <w:sz w:val="20"/>
      <w:lang w:val="en-US" w:eastAsia="ru-RU"/>
    </w:rPr>
  </w:style>
  <w:style w:type="character" w:customStyle="1" w:styleId="56">
    <w:name w:val="Основной текст_"/>
    <w:link w:val="57"/>
    <w:qFormat/>
    <w:locked/>
    <w:uiPriority w:val="99"/>
    <w:rPr>
      <w:spacing w:val="6"/>
      <w:sz w:val="19"/>
      <w:shd w:val="clear" w:color="auto" w:fill="FFFFFF"/>
    </w:rPr>
  </w:style>
  <w:style w:type="paragraph" w:customStyle="1" w:styleId="57">
    <w:name w:val="Основной текст1"/>
    <w:basedOn w:val="1"/>
    <w:link w:val="56"/>
    <w:qFormat/>
    <w:uiPriority w:val="99"/>
    <w:pPr>
      <w:widowControl w:val="0"/>
      <w:shd w:val="clear" w:color="auto" w:fill="FFFFFF"/>
      <w:spacing w:after="180" w:line="240" w:lineRule="atLeast"/>
      <w:ind w:hanging="1000"/>
    </w:pPr>
    <w:rPr>
      <w:spacing w:val="6"/>
      <w:sz w:val="19"/>
      <w:szCs w:val="19"/>
      <w:shd w:val="clear" w:color="auto" w:fill="FFFFFF"/>
      <w:lang w:val="ru-RU" w:eastAsia="ru-RU"/>
    </w:rPr>
  </w:style>
  <w:style w:type="character" w:customStyle="1" w:styleId="58">
    <w:name w:val="apple-converted-space"/>
    <w:basedOn w:val="8"/>
    <w:qFormat/>
    <w:uiPriority w:val="99"/>
    <w:rPr>
      <w:rFonts w:cs="Times New Roman"/>
    </w:rPr>
  </w:style>
  <w:style w:type="character" w:customStyle="1" w:styleId="59">
    <w:name w:val="Основной текст (2) Exact"/>
    <w:qFormat/>
    <w:uiPriority w:val="99"/>
    <w:rPr>
      <w:rFonts w:ascii="Times New Roman" w:hAnsi="Times New Roman"/>
      <w:sz w:val="28"/>
      <w:u w:val="none"/>
    </w:rPr>
  </w:style>
  <w:style w:type="character" w:customStyle="1" w:styleId="60">
    <w:name w:val="Основной текст (2)_"/>
    <w:link w:val="61"/>
    <w:qFormat/>
    <w:locked/>
    <w:uiPriority w:val="99"/>
    <w:rPr>
      <w:rFonts w:ascii="Times New Roman" w:hAnsi="Times New Roman"/>
      <w:sz w:val="28"/>
      <w:shd w:val="clear" w:color="auto" w:fill="FFFFFF"/>
    </w:rPr>
  </w:style>
  <w:style w:type="paragraph" w:customStyle="1" w:styleId="61">
    <w:name w:val="Основной текст (2)"/>
    <w:basedOn w:val="1"/>
    <w:link w:val="60"/>
    <w:qFormat/>
    <w:uiPriority w:val="99"/>
    <w:pPr>
      <w:widowControl w:val="0"/>
      <w:shd w:val="clear" w:color="auto" w:fill="FFFFFF"/>
      <w:spacing w:after="240" w:line="317" w:lineRule="exact"/>
      <w:ind w:hanging="3660"/>
      <w:jc w:val="both"/>
    </w:pPr>
    <w:rPr>
      <w:rFonts w:ascii="Times New Roman" w:hAnsi="Times New Roman"/>
      <w:sz w:val="28"/>
      <w:szCs w:val="28"/>
      <w:lang w:val="ru-RU" w:eastAsia="ru-RU"/>
    </w:rPr>
  </w:style>
  <w:style w:type="character" w:customStyle="1" w:styleId="62">
    <w:name w:val="Текст примечания Знак"/>
    <w:basedOn w:val="8"/>
    <w:link w:val="16"/>
    <w:semiHidden/>
    <w:qFormat/>
    <w:locked/>
    <w:uiPriority w:val="99"/>
    <w:rPr>
      <w:rFonts w:ascii="Calibri" w:hAnsi="Calibri" w:eastAsia="Times New Roman" w:cs="Times New Roman"/>
      <w:sz w:val="20"/>
      <w:szCs w:val="20"/>
      <w:lang w:val="ru-RU" w:eastAsia="en-US"/>
    </w:rPr>
  </w:style>
  <w:style w:type="character" w:customStyle="1" w:styleId="63">
    <w:name w:val="Тема примечания Знак"/>
    <w:basedOn w:val="62"/>
    <w:link w:val="17"/>
    <w:semiHidden/>
    <w:qFormat/>
    <w:locked/>
    <w:uiPriority w:val="99"/>
    <w:rPr>
      <w:rFonts w:ascii="Calibri" w:hAnsi="Calibri" w:eastAsia="Times New Roman" w:cs="Times New Roman"/>
      <w:b/>
      <w:bCs/>
      <w:sz w:val="20"/>
      <w:szCs w:val="20"/>
      <w:lang w:val="ru-RU" w:eastAsia="en-US"/>
    </w:rPr>
  </w:style>
  <w:style w:type="character" w:customStyle="1" w:styleId="64">
    <w:name w:val="Стандартный HTML Знак"/>
    <w:basedOn w:val="8"/>
    <w:link w:val="25"/>
    <w:semiHidden/>
    <w:qFormat/>
    <w:locked/>
    <w:uiPriority w:val="99"/>
    <w:rPr>
      <w:rFonts w:ascii="Courier New" w:hAnsi="Courier New" w:cs="Times New Roman"/>
      <w:sz w:val="20"/>
      <w:szCs w:val="20"/>
    </w:rPr>
  </w:style>
  <w:style w:type="character" w:customStyle="1" w:styleId="65">
    <w:name w:val="spelle"/>
    <w:qFormat/>
    <w:uiPriority w:val="99"/>
  </w:style>
  <w:style w:type="paragraph" w:customStyle="1" w:styleId="66">
    <w:name w:val="Default"/>
    <w:qFormat/>
    <w:uiPriority w:val="99"/>
    <w:pPr>
      <w:autoSpaceDE w:val="0"/>
      <w:autoSpaceDN w:val="0"/>
      <w:adjustRightInd w:val="0"/>
      <w:spacing w:after="200" w:line="276" w:lineRule="auto"/>
    </w:pPr>
    <w:rPr>
      <w:rFonts w:ascii="Arial" w:hAnsi="Arial" w:eastAsia="Calibri" w:cs="Arial"/>
      <w:color w:val="000000"/>
      <w:sz w:val="24"/>
      <w:szCs w:val="24"/>
      <w:lang w:val="en-GB" w:eastAsia="en-GB" w:bidi="ar-SA"/>
    </w:rPr>
  </w:style>
  <w:style w:type="character" w:customStyle="1" w:styleId="67">
    <w:name w:val="short_text"/>
    <w:basedOn w:val="8"/>
    <w:qFormat/>
    <w:uiPriority w:val="0"/>
    <w:rPr>
      <w:rFonts w:cs="Times New Roman"/>
    </w:rPr>
  </w:style>
  <w:style w:type="character" w:customStyle="1" w:styleId="68">
    <w:name w:val="st"/>
    <w:basedOn w:val="8"/>
    <w:qFormat/>
    <w:uiPriority w:val="0"/>
  </w:style>
  <w:style w:type="paragraph" w:customStyle="1" w:styleId="69">
    <w:name w:val="Абзац списка2"/>
    <w:basedOn w:val="1"/>
    <w:qFormat/>
    <w:uiPriority w:val="0"/>
    <w:pPr>
      <w:ind w:left="720"/>
      <w:contextualSpacing/>
    </w:pPr>
    <w:rPr>
      <w:rFonts w:ascii="Times New Roman" w:hAnsi="Times New Roman"/>
      <w:sz w:val="24"/>
      <w:lang w:eastAsia="en-US"/>
    </w:rPr>
  </w:style>
  <w:style w:type="table" w:customStyle="1" w:styleId="70">
    <w:name w:val="_Style 76"/>
    <w:basedOn w:val="27"/>
    <w:qFormat/>
    <w:uiPriority w:val="0"/>
    <w:rPr>
      <w:sz w:val="20"/>
      <w:szCs w:val="20"/>
      <w:lang w:eastAsia="uk-UA"/>
    </w:rPr>
    <w:tblPr>
      <w:tblCellMar>
        <w:top w:w="0" w:type="dxa"/>
        <w:left w:w="115" w:type="dxa"/>
        <w:bottom w:w="0" w:type="dxa"/>
        <w:right w:w="115" w:type="dxa"/>
      </w:tblCellMar>
    </w:tblPr>
  </w:style>
  <w:style w:type="table" w:customStyle="1" w:styleId="71">
    <w:name w:val="_Style 77"/>
    <w:basedOn w:val="27"/>
    <w:qFormat/>
    <w:uiPriority w:val="0"/>
    <w:rPr>
      <w:sz w:val="20"/>
      <w:szCs w:val="20"/>
    </w:rPr>
    <w:tblPr>
      <w:tblCellMar>
        <w:top w:w="0" w:type="dxa"/>
        <w:left w:w="115" w:type="dxa"/>
        <w:bottom w:w="0" w:type="dxa"/>
        <w:right w:w="115" w:type="dxa"/>
      </w:tblCellMar>
    </w:tblPr>
  </w:style>
  <w:style w:type="table" w:customStyle="1" w:styleId="72">
    <w:name w:val="_Style 71"/>
    <w:basedOn w:val="27"/>
    <w:qFormat/>
    <w:uiPriority w:val="0"/>
    <w:tblPr>
      <w:tblCellMar>
        <w:top w:w="0" w:type="dxa"/>
        <w:left w:w="115" w:type="dxa"/>
        <w:bottom w:w="0" w:type="dxa"/>
        <w:right w:w="115" w:type="dxa"/>
      </w:tblCellMar>
    </w:tblPr>
  </w:style>
  <w:style w:type="table" w:customStyle="1" w:styleId="73">
    <w:name w:val="_Style 72"/>
    <w:basedOn w:val="27"/>
    <w:qFormat/>
    <w:uiPriority w:val="0"/>
    <w:rPr>
      <w:sz w:val="20"/>
      <w:szCs w:val="20"/>
    </w:rPr>
    <w:tblPr>
      <w:tblCellMar>
        <w:top w:w="0" w:type="dxa"/>
        <w:left w:w="115" w:type="dxa"/>
        <w:bottom w:w="0" w:type="dxa"/>
        <w:right w:w="115" w:type="dxa"/>
      </w:tblCellMar>
    </w:tblPr>
  </w:style>
  <w:style w:type="table" w:customStyle="1" w:styleId="74">
    <w:name w:val="_Style 73"/>
    <w:basedOn w:val="27"/>
    <w:qFormat/>
    <w:uiPriority w:val="0"/>
    <w:rPr>
      <w:sz w:val="20"/>
      <w:szCs w:val="20"/>
    </w:rPr>
    <w:tblPr>
      <w:tblCellMar>
        <w:top w:w="0" w:type="dxa"/>
        <w:left w:w="115" w:type="dxa"/>
        <w:bottom w:w="0" w:type="dxa"/>
        <w:right w:w="115" w:type="dxa"/>
      </w:tblCellMar>
    </w:tblPr>
  </w:style>
  <w:style w:type="table" w:customStyle="1" w:styleId="75">
    <w:name w:val="_Style 74"/>
    <w:basedOn w:val="27"/>
    <w:qFormat/>
    <w:uiPriority w:val="0"/>
    <w:tblPr>
      <w:tblCellMar>
        <w:top w:w="100" w:type="dxa"/>
        <w:left w:w="100" w:type="dxa"/>
        <w:bottom w:w="100" w:type="dxa"/>
        <w:right w:w="100" w:type="dxa"/>
      </w:tblCellMar>
    </w:tblPr>
  </w:style>
  <w:style w:type="table" w:customStyle="1" w:styleId="76">
    <w:name w:val="_Style 75"/>
    <w:basedOn w:val="27"/>
    <w:qFormat/>
    <w:uiPriority w:val="0"/>
    <w:tblPr>
      <w:tblCellMar>
        <w:top w:w="0" w:type="dxa"/>
        <w:left w:w="28" w:type="dxa"/>
        <w:bottom w:w="0" w:type="dxa"/>
        <w:right w:w="28" w:type="dxa"/>
      </w:tblCellMar>
    </w:tblPr>
  </w:style>
  <w:style w:type="table" w:customStyle="1" w:styleId="77">
    <w:name w:val="_Style 78"/>
    <w:basedOn w:val="27"/>
    <w:qFormat/>
    <w:uiPriority w:val="0"/>
    <w:tblPr>
      <w:tblCellMar>
        <w:top w:w="0" w:type="dxa"/>
        <w:left w:w="115" w:type="dxa"/>
        <w:bottom w:w="0" w:type="dxa"/>
        <w:right w:w="115" w:type="dxa"/>
      </w:tblCellMar>
    </w:tblPr>
  </w:style>
  <w:style w:type="table" w:customStyle="1" w:styleId="78">
    <w:name w:val="_Style 79"/>
    <w:basedOn w:val="27"/>
    <w:qFormat/>
    <w:uiPriority w:val="0"/>
    <w:tblPr>
      <w:tblCellMar>
        <w:top w:w="0" w:type="dxa"/>
        <w:left w:w="115" w:type="dxa"/>
        <w:bottom w:w="0" w:type="dxa"/>
        <w:right w:w="115" w:type="dxa"/>
      </w:tblCellMar>
    </w:tblPr>
  </w:style>
  <w:style w:type="table" w:customStyle="1" w:styleId="79">
    <w:name w:val="_Style 80"/>
    <w:basedOn w:val="27"/>
    <w:qFormat/>
    <w:uiPriority w:val="0"/>
    <w:tblPr>
      <w:tblCellMar>
        <w:top w:w="100" w:type="dxa"/>
        <w:left w:w="100" w:type="dxa"/>
        <w:bottom w:w="100" w:type="dxa"/>
        <w:right w:w="100" w:type="dxa"/>
      </w:tblCellMar>
    </w:tblPr>
  </w:style>
  <w:style w:type="table" w:customStyle="1" w:styleId="80">
    <w:name w:val="_Style 81"/>
    <w:basedOn w:val="27"/>
    <w:qFormat/>
    <w:uiPriority w:val="0"/>
    <w:tblPr>
      <w:tblCellMar>
        <w:top w:w="100" w:type="dxa"/>
        <w:left w:w="100" w:type="dxa"/>
        <w:bottom w:w="100" w:type="dxa"/>
        <w:right w:w="100" w:type="dxa"/>
      </w:tblCellMar>
    </w:tblPr>
  </w:style>
  <w:style w:type="table" w:customStyle="1" w:styleId="81">
    <w:name w:val="_Style 82"/>
    <w:basedOn w:val="27"/>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2.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o3Vc8vdgq80GC0/DAXrTgFUFA==">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</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24</Pages>
  <Words>7043</Words>
  <Characters>40151</Characters>
  <Lines>334</Lines>
  <Paragraphs>94</Paragraphs>
  <TotalTime>0</TotalTime>
  <ScaleCrop>false</ScaleCrop>
  <LinksUpToDate>false</LinksUpToDate>
  <CharactersWithSpaces>47100</CharactersWithSpaces>
  <Application>WPS Office_12.2.0.16909_F1E327BC-269C-435d-A152-05C5408002CA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2024-05-15T10:18:00Z</dcterms:created>
  <dc:creator>Пользователь</dc:creator>
  <cp:lastModifiedBy>Світлана Дідусе�</cp:lastModifiedBy>
  <dcterms:modified xsi:type="dcterms:W3CDTF">2024-05-16T17:11:51Z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1049-12.2.0.16909</vt:lpwstr>
  </property>
  <property fmtid="{D5CDD505-2E9C-101B-9397-08002B2CF9AE}" pid="3" name="ICV">
    <vt:lpwstr>66A68F52C9E74AFB99C5C304F7ADCA7E_13</vt:lpwstr>
  </property>
</Properties>
</file>