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74" w:rsidRDefault="00893DA0">
      <w:pPr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:rsidR="00166574" w:rsidRDefault="00893DA0">
      <w:pPr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Комісією з питань розподілу коштів для задоволення потреб освіти і науки</w:t>
      </w:r>
    </w:p>
    <w:p w:rsidR="00166574" w:rsidRDefault="00893DA0">
      <w:pPr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від 08 квітня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166574" w:rsidRDefault="00166574">
      <w:pPr>
        <w:spacing w:after="100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6574" w:rsidRDefault="00893DA0">
      <w:pPr>
        <w:spacing w:after="100"/>
        <w:ind w:left="450" w:right="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ФОРМА ЗВЕРНЕНЬ,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що подаються заявниками для задоволення потреб освіти і науки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головного розпорядника бюджетних коштів: _____________________________________________________________________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  головного розпорядника бюджетних коштів: _____________________________________________________________________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звище, власне ім’я, по батькові (за наявності) керівника одержувача або особи, яка його заміщує, посада: ________________________________________</w:t>
      </w:r>
    </w:p>
    <w:p w:rsidR="00166574" w:rsidRDefault="00893DA0">
      <w:p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_____________________________________________________________________Реквізити рахунка спеціального фонду 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авного бюджету:________________ ____________________________________________________________________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IBAN: UA ________________________________________________________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(найменування установи банку/органу Казначейства)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згідно з ЄДРПОУ: ______________________________________________</w:t>
      </w:r>
    </w:p>
    <w:p w:rsidR="00166574" w:rsidRDefault="00893DA0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Контактні дані особи, відповідальної подання звернення.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власне ім’я, по батькові (за наявності), посада:________________</w:t>
      </w:r>
    </w:p>
    <w:p w:rsidR="00166574" w:rsidRDefault="00893DA0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66574" w:rsidRDefault="00893DA0">
      <w:pPr>
        <w:spacing w:after="100"/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контактний номер телефону: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електронної пошти:__________________________________________</w:t>
      </w:r>
    </w:p>
    <w:p w:rsidR="00166574" w:rsidRDefault="00166574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9"/>
        <w:gridCol w:w="6427"/>
        <w:gridCol w:w="1869"/>
      </w:tblGrid>
      <w:tr w:rsidR="00166574"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Порядковий номер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Напрям, визначений у пункті 2 Порядку використання коштів з рахунка для задоволення потреб освіти і науки, затвердженого постановою Кабінету Міністрів України від 8 листопада 2022 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№ 1256 (в редакції постанови Кабінету Міністрів України від 21 липня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р. № 762) 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Необхідний обсяг коштів, гривень</w:t>
            </w:r>
          </w:p>
        </w:tc>
      </w:tr>
      <w:tr w:rsidR="00166574"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6574"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6574"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6574"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6574"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574" w:rsidRDefault="00893DA0">
            <w:pPr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УСЬОГО: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6574" w:rsidRDefault="00166574">
      <w:pPr>
        <w:spacing w:after="100"/>
        <w:jc w:val="both"/>
        <w:rPr>
          <w:rFonts w:ascii="Times New Roman" w:eastAsia="Times New Roman" w:hAnsi="Times New Roman" w:cs="Times New Roman"/>
        </w:rPr>
      </w:pP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Звернення має обов’язково містити зобов’язання головного розпорядника бюджетних коштів щодо недопущення повторного звернення та/або використання коштів державного чи місцевого бюджетів на реалізацію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напрямом використання коштів, що є предметом д</w:t>
      </w:r>
      <w:r>
        <w:rPr>
          <w:rFonts w:ascii="Times New Roman" w:eastAsia="Times New Roman" w:hAnsi="Times New Roman" w:cs="Times New Roman"/>
          <w:sz w:val="28"/>
          <w:szCs w:val="28"/>
        </w:rPr>
        <w:t>аного звернення.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зазначеної інформації додаються (обрати те, що підходить до </w:t>
      </w:r>
      <w:r>
        <w:rPr>
          <w:rFonts w:ascii="Times New Roman" w:eastAsia="Times New Roman" w:hAnsi="Times New Roman" w:cs="Times New Roman"/>
          <w:sz w:val="28"/>
          <w:szCs w:val="28"/>
        </w:rPr>
        <w:t>обраного напряму)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потреби — відповідальний виконавець бюджетної програми, розпорядники бюджетних коштів нижчого рівня, одержувачі бюджетних коштів та код економічної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ласифікації видатків бюджету; 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деталізований розрахунок витрат у розрізі напрямів, календарний план робіт та заходів;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про пошкоджене та знищене майно, внесена до Державного реєстру майна, пошкодженого та знищеного внаслідок бойових дій, терорист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ичних актів, диверсій, спричинених збройною агресією Російської Федерації проти України, відповідно до Порядку подання інформаційного повідомлення про пошкоджене та знищене нерухоме майно внаслідок бойових дій, терористичних актів, диверсій, спричинених 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ройною агресією Російської Федерації проти України, затвердженого постановою Кабінету Міністрів України від 26 березня 2022 р. № 380 “Про збір, обробку та облік інформації про пошкоджене та знищене нерухоме майно внаслідок бойових дій, терористичних актів,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диверсій, спричинених збройною агресією Російської Федерації проти України” (Офіційний вісник України, 2022 р., № 28, ст. 1539; 2023 р., № 61, ст. 3437).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 має право подавати інші документи, які на його розсуд можуть бути необхідні для прийняття ріш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 щодо розподілу коштів.</w:t>
      </w:r>
    </w:p>
    <w:p w:rsidR="00166574" w:rsidRDefault="00893DA0">
      <w:pPr>
        <w:spacing w:after="10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подання в повному обсязі та/або подання документів (або інформації), що не відповідає встановленим вимогам, є підставою для відмови в прийнятті рішення про розподіл та перерахування коштів.</w:t>
      </w:r>
    </w:p>
    <w:p w:rsidR="00166574" w:rsidRDefault="00166574">
      <w:pPr>
        <w:spacing w:after="10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574" w:rsidRDefault="00166574">
      <w:pPr>
        <w:spacing w:after="10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5"/>
        <w:gridCol w:w="4560"/>
      </w:tblGrid>
      <w:tr w:rsidR="00166574">
        <w:trPr>
          <w:trHeight w:val="854"/>
        </w:trPr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74" w:rsidRDefault="00893DA0">
            <w:pPr>
              <w:spacing w:after="100"/>
              <w:ind w:righ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Генеральний директор директорату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міжнародної співпраці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74" w:rsidRDefault="00166574">
            <w:pPr>
              <w:rPr>
                <w:rFonts w:ascii="Times New Roman" w:eastAsia="Times New Roman" w:hAnsi="Times New Roman" w:cs="Times New Roman"/>
              </w:rPr>
            </w:pPr>
          </w:p>
          <w:p w:rsidR="00166574" w:rsidRDefault="00893DA0">
            <w:pPr>
              <w:spacing w:after="100"/>
              <w:ind w:right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Альбіна ЦЯТКОВСЬКА</w:t>
            </w:r>
          </w:p>
        </w:tc>
      </w:tr>
    </w:tbl>
    <w:p w:rsidR="00166574" w:rsidRDefault="00166574">
      <w:bookmarkStart w:id="1" w:name="_GoBack"/>
      <w:bookmarkEnd w:id="1"/>
    </w:p>
    <w:sectPr w:rsidR="00166574">
      <w:footerReference w:type="default" r:id="rId7"/>
      <w:pgSz w:w="11906" w:h="16838"/>
      <w:pgMar w:top="1440" w:right="685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A0" w:rsidRDefault="00893DA0">
      <w:r>
        <w:separator/>
      </w:r>
    </w:p>
  </w:endnote>
  <w:endnote w:type="continuationSeparator" w:id="0">
    <w:p w:rsidR="00893DA0" w:rsidRDefault="008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74" w:rsidRDefault="00166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A0" w:rsidRDefault="00893DA0">
      <w:r>
        <w:separator/>
      </w:r>
    </w:p>
  </w:footnote>
  <w:footnote w:type="continuationSeparator" w:id="0">
    <w:p w:rsidR="00893DA0" w:rsidRDefault="0089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4"/>
    <w:rsid w:val="000D6C4E"/>
    <w:rsid w:val="00166574"/>
    <w:rsid w:val="008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3F92"/>
  <w15:docId w15:val="{B8D522FA-EDEC-4C7B-B686-1380F57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456C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456C57"/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8">
    <w:name w:val="Table Grid"/>
    <w:basedOn w:val="a1"/>
    <w:uiPriority w:val="39"/>
    <w:rsid w:val="003E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liChQUxkoqGhT7w0XesOVo+ig==">CgMxLjAyCGguZ2pkZ3hzOAByITFja2NWUkNnRUdXYlVwLTgtcXE0ZnFOZEhrdzBFTGMyTg==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2396</Words>
  <Characters>1367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Альбіна Цятковська</dc:creator>
  <cp:lastModifiedBy>Волик Іван Анатолійович</cp:lastModifiedBy>
  <cp:revision>2</cp:revision>
  <dcterms:created xsi:type="dcterms:W3CDTF">2023-08-16T08:35:00Z</dcterms:created>
  <dcterms:modified xsi:type="dcterms:W3CDTF">2024-05-28T09:32:00Z</dcterms:modified>
</cp:coreProperties>
</file>