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widowControl w:val="0"/>
        <w:shd w:val="clear" w:fill="FFFFFF"/>
        <w:spacing w:lineRule="auto" w:line="240" w:after="0" w:beforeAutospacing="0" w:afterAutospacing="0"/>
        <w:ind w:firstLine="709"/>
        <w:jc w:val="center"/>
        <w:rPr>
          <w:rFonts w:ascii="Times New Roman" w:hAnsi="Times New Roman"/>
          <w:b w:val="1"/>
          <w:bCs w:val="1"/>
          <w:color w:val="000000" w:themeColor="text1"/>
          <w:sz w:val="28"/>
          <w:szCs w:val="28"/>
          <w:lang w:eastAsia="ru-RU"/>
        </w:rPr>
      </w:pPr>
      <w:r>
        <w:rPr>
          <w:rFonts w:ascii="Times New Roman" w:hAnsi="Times New Roman"/>
          <w:b w:val="1"/>
          <w:bCs w:val="1"/>
          <w:color w:val="000000" w:themeColor="text1"/>
          <w:sz w:val="28"/>
          <w:szCs w:val="28"/>
          <w:lang w:eastAsia="ru-RU"/>
        </w:rPr>
        <w:t>АНАЛІЗ РЕГУЛЯТОРНОГО ВПЛИВУ</w:t>
      </w:r>
    </w:p>
    <w:p>
      <w:pPr>
        <w:widowControl w:val="0"/>
        <w:spacing w:lineRule="auto" w:line="240" w:after="0" w:beforeAutospacing="0" w:afterAutospacing="0"/>
        <w:ind w:firstLine="709"/>
        <w:jc w:val="center"/>
        <w:rPr>
          <w:rFonts w:ascii="Times New Roman" w:hAnsi="Times New Roman"/>
          <w:b w:val="1"/>
          <w:bCs w:val="1"/>
          <w:color w:val="000000" w:themeColor="text1"/>
          <w:sz w:val="28"/>
          <w:szCs w:val="28"/>
          <w:lang w:eastAsia="ru-RU"/>
        </w:rPr>
      </w:pPr>
      <w:r>
        <w:rPr>
          <w:rFonts w:ascii="Times New Roman" w:hAnsi="Times New Roman"/>
          <w:b w:val="1"/>
          <w:bCs w:val="1"/>
          <w:color w:val="000000" w:themeColor="text1"/>
          <w:sz w:val="28"/>
          <w:szCs w:val="28"/>
          <w:lang w:eastAsia="ru-RU"/>
        </w:rPr>
        <w:t xml:space="preserve">проєкту наказу Міністерства освіти і науки України </w:t>
      </w:r>
    </w:p>
    <w:p>
      <w:pPr>
        <w:shd w:val="clear" w:fill="FFFFFF"/>
        <w:spacing w:lineRule="auto" w:line="240" w:after="0" w:beforeAutospacing="0" w:afterAutospacing="0"/>
        <w:jc w:val="center"/>
        <w:rPr>
          <w:rFonts w:ascii="Times New Roman" w:hAnsi="Times New Roman"/>
          <w:b w:val="1"/>
          <w:bCs w:val="1"/>
          <w:sz w:val="28"/>
          <w:szCs w:val="28"/>
          <w:spacing w:val="-2"/>
        </w:rPr>
      </w:pPr>
      <w:r>
        <w:rPr>
          <w:rFonts w:ascii="Times New Roman" w:hAnsi="Times New Roman"/>
          <w:b w:val="1"/>
          <w:bCs w:val="1"/>
          <w:color w:val="000000" w:themeColor="text1"/>
          <w:sz w:val="28"/>
          <w:szCs w:val="28"/>
          <w:lang w:eastAsia="uk-UA"/>
        </w:rPr>
        <w:t>«</w:t>
      </w:r>
      <w:r>
        <w:rPr>
          <w:rFonts w:ascii="Times New Roman" w:hAnsi="Times New Roman"/>
          <w:b w:val="1"/>
          <w:sz w:val="28"/>
          <w:szCs w:val="28"/>
          <w:spacing w:val="-2"/>
        </w:rPr>
        <w:t xml:space="preserve">Про внесення змін до наказу </w:t>
      </w:r>
      <w:r>
        <w:rPr>
          <w:rFonts w:ascii="Times New Roman" w:hAnsi="Times New Roman"/>
          <w:b w:val="1"/>
          <w:bCs w:val="1"/>
          <w:sz w:val="28"/>
          <w:szCs w:val="28"/>
          <w:spacing w:val="-2"/>
        </w:rPr>
        <w:t xml:space="preserve">Міністерства освіти і науки України </w:t>
      </w:r>
    </w:p>
    <w:p>
      <w:pPr>
        <w:shd w:val="clear" w:fill="FFFFFF"/>
        <w:spacing w:lineRule="auto" w:line="240" w:after="0" w:beforeAutospacing="0" w:afterAutospacing="0"/>
        <w:jc w:val="center"/>
        <w:rPr>
          <w:rFonts w:ascii="Times New Roman" w:hAnsi="Times New Roman"/>
          <w:b w:val="1"/>
          <w:bCs w:val="1"/>
          <w:sz w:val="28"/>
          <w:szCs w:val="28"/>
          <w:spacing w:val="-2"/>
        </w:rPr>
      </w:pPr>
      <w:r>
        <w:rPr>
          <w:rFonts w:ascii="Times New Roman" w:hAnsi="Times New Roman"/>
          <w:b w:val="1"/>
          <w:bCs w:val="1"/>
          <w:sz w:val="28"/>
          <w:szCs w:val="28"/>
          <w:spacing w:val="-2"/>
        </w:rPr>
        <w:t>від 13 березня 2014 року № 221</w:t>
      </w:r>
      <w:r>
        <w:rPr>
          <w:rFonts w:ascii="Times New Roman" w:hAnsi="Times New Roman"/>
          <w:b w:val="1"/>
          <w:bCs w:val="1"/>
          <w:color w:val="000000" w:themeColor="text1"/>
          <w:sz w:val="28"/>
          <w:szCs w:val="28"/>
          <w:lang w:eastAsia="uk-UA"/>
        </w:rPr>
        <w:t>»</w:t>
      </w:r>
    </w:p>
    <w:p>
      <w:pPr>
        <w:widowControl w:val="0"/>
        <w:spacing w:lineRule="auto" w:line="192" w:after="0" w:beforeAutospacing="0" w:afterAutospacing="0"/>
        <w:ind w:firstLine="709"/>
        <w:contextualSpacing w:val="1"/>
        <w:jc w:val="center"/>
        <w:rPr>
          <w:rFonts w:ascii="Times New Roman" w:hAnsi="Times New Roman"/>
          <w:b w:val="1"/>
          <w:bCs w:val="1"/>
          <w:color w:val="000000" w:themeColor="text1"/>
          <w:sz w:val="28"/>
          <w:szCs w:val="28"/>
          <w:lang w:eastAsia="ru-RU"/>
        </w:rPr>
      </w:pPr>
    </w:p>
    <w:p>
      <w:pPr>
        <w:widowControl w:val="0"/>
        <w:spacing w:lineRule="auto" w:line="240" w:after="0" w:beforeAutospacing="0" w:afterAutospacing="0"/>
        <w:ind w:firstLine="709"/>
        <w:contextualSpacing w:val="1"/>
        <w:jc w:val="both"/>
        <w:rPr>
          <w:rFonts w:ascii="Times New Roman" w:hAnsi="Times New Roman"/>
          <w:b w:val="1"/>
          <w:bCs w:val="1"/>
          <w:color w:val="000000" w:themeColor="text1"/>
          <w:sz w:val="28"/>
          <w:szCs w:val="28"/>
          <w:lang w:eastAsia="ru-RU"/>
        </w:rPr>
      </w:pPr>
      <w:r>
        <w:rPr>
          <w:rFonts w:ascii="Times New Roman" w:hAnsi="Times New Roman"/>
          <w:b w:val="1"/>
          <w:bCs w:val="1"/>
          <w:color w:val="000000" w:themeColor="text1"/>
          <w:sz w:val="28"/>
          <w:szCs w:val="28"/>
          <w:lang w:eastAsia="ru-RU"/>
        </w:rPr>
        <w:t>І. Визначення проблеми</w:t>
      </w:r>
    </w:p>
    <w:p>
      <w:pPr>
        <w:spacing w:lineRule="auto" w:line="240" w:after="0" w:beforeAutospacing="0" w:afterAutospacing="0"/>
        <w:ind w:firstLine="709"/>
        <w:contextualSpacing w:val="1"/>
        <w:jc w:val="both"/>
        <w:rPr>
          <w:rFonts w:ascii="Times New Roman" w:hAnsi="Times New Roman"/>
          <w:color w:val="000000"/>
          <w:sz w:val="28"/>
          <w:szCs w:val="28"/>
        </w:rPr>
      </w:pPr>
      <w:r>
        <w:rPr>
          <w:rFonts w:ascii="Times New Roman" w:hAnsi="Times New Roman"/>
          <w:color w:val="000000"/>
          <w:sz w:val="28"/>
          <w:szCs w:val="28"/>
          <w:spacing w:val="6"/>
        </w:rPr>
        <w:t>Відповідно до пункту 1 Положення про Міністерство освіти і науки України, затвердженого постановою Кабінету Міністрів України від 16 жовтня 2014 року № 630,</w:t>
      </w:r>
      <w:r>
        <w:rPr>
          <w:rFonts w:ascii="Times New Roman" w:hAnsi="Times New Roman"/>
          <w:color w:val="000000"/>
          <w:sz w:val="28"/>
          <w:szCs w:val="28"/>
        </w:rPr>
        <w:t xml:space="preserve"> МОН є головним органом у системі центральних органів виконавчої влади, що забезпечує формування та реалізує державну політику у сфері трансферу (передачі) технологій. Згідно з підпунктом 5 пункту 4 вказаного Положення МОН, зокрема, здійснює нормативно-правове регулювання у сфері трансферу (передачі) технологій.</w:t>
      </w:r>
    </w:p>
    <w:p>
      <w:pPr>
        <w:spacing w:lineRule="auto" w:line="240" w:after="0"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 xml:space="preserve">Відповідно до пункту 3 Порядку і напрямів використання коштів, одержаних у результаті трансферу технологій, створених за рахунок коштів державного бюджету, затверджених постановою Кабінету Міністрів України від 22 квітня 2013 року № 300, пункту 6 Порядку здійснення контролю за виплатою винагороди авторам технологій та/або їх складових, затвердженого постановою Кабінету Міністрів України від 22 травня 2013 року № 351, та з метою здійснення контролю за напрямами використання коштів, одержаних у результаті трансферу технологій, створених за рахунок коштів державного бюджету, і виплатою винагороди авторам таких технологій органи державної влади, Національна академія наук та національні галузеві академії наук, які здійснювали фінансування науково-дослідних та дослідно-конструкторських робіт щороку до 15 квітня подають МОН узагальнену звітну інформацію за формами, які затверджені наказом Міністерства освіти і науки України від 13 березня 2014 року № 221 «Про затвердження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таких технологій». </w:t>
      </w:r>
    </w:p>
    <w:p>
      <w:pPr>
        <w:spacing w:lineRule="auto" w:line="240" w:after="0"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З метою упорядкування та удосконалення правового регулювання процедури здійснення контролю за напрямами використання коштів, одержаних у результаті трансферу технологій, створених за рахунок коштів державного бюджету, і виплатою винагороди авторам таких технологій та особам, що здійснюють їх трансфер, наказом МОН від 12 січня 2021 року № 32 було внесено відповідні зміни до наказу МОН від 13 березня 2014 року № 221 обумовлен</w:t>
      </w:r>
      <w:r>
        <w:rPr>
          <w:rFonts w:ascii="Times New Roman" w:hAnsi="Times New Roman"/>
          <w:color w:val="000000"/>
          <w:sz w:val="28"/>
          <w:szCs w:val="28"/>
        </w:rPr>
        <w:t>і схваленням постанови Кабінету Міністрів України від 22 липня 2020 року № 625, якою внесено зміни до постанов Кабінету Міністрів України від 22 квітня 2013 року № 300, від 22 травня 2013 року № 351 та від 04 грудня 2019 року № 1030, в частині внесення змін до форм, які затверджені зазначеним наказом.</w:t>
      </w:r>
    </w:p>
    <w:p>
      <w:pPr>
        <w:spacing w:lineRule="auto" w:line="240" w:after="0"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 xml:space="preserve">Проблема полягає в тому, що у 2022 році, в ході проведення моніторингу порядку і напрямів використання коштів, одержаних у результаті трансферу технологій, створених за рахунок коштів державного бюджету, від розпорядників бюджетних коштів отримано пропозиції щодо внесення змін у затверджені наказом МОН від 12 січня 2021 року № 32 форми та інструкцію щодо їх заповнення з метою усунення дублювання відомостей, які подаються у зазначених формах, а також урахування усіх можливих видів доходів, отриманих за договорами про трансфер технологій, що матиме позитивний вплив на подальше формування політики у сфері трансферу технологій. </w:t>
      </w:r>
    </w:p>
    <w:p>
      <w:pPr>
        <w:spacing w:lineRule="auto" w:line="240" w:after="0"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З метою упорядкування та удосконалення правового регулювання процедури здійснення контролю за напрямами використання коштів, одержаних у результаті трансферу технологій, створених за рахунок коштів державного бюджету, і виплатою винагороди авторам таких технологій та особам, що здійснюють їх трансфер, виникла необхідність внести зміни до наказу МОН від 13 березня 2014 року № 221 «Про затвердження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таких технологій».</w:t>
      </w:r>
    </w:p>
    <w:p>
      <w:pPr>
        <w:widowControl w:val="0"/>
        <w:spacing w:lineRule="auto" w:line="240" w:after="0" w:beforeAutospacing="0" w:afterAutospacing="0"/>
        <w:ind w:firstLine="709"/>
        <w:contextualSpacing w:val="1"/>
        <w:jc w:val="both"/>
        <w:rPr>
          <w:rFonts w:ascii="Times New Roman" w:hAnsi="Times New Roman"/>
          <w:b w:val="1"/>
          <w:bCs w:val="1"/>
          <w:color w:val="000000" w:themeColor="text1"/>
          <w:sz w:val="28"/>
          <w:szCs w:val="28"/>
          <w:lang w:eastAsia="ru-RU"/>
        </w:rPr>
      </w:pPr>
    </w:p>
    <w:p>
      <w:pPr>
        <w:widowControl w:val="0"/>
        <w:spacing w:lineRule="auto" w:line="240" w:after="0" w:beforeAutospacing="0" w:afterAutospacing="0"/>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Основні групи (підгрупи), на які проблема здійснює вплив:</w:t>
      </w:r>
    </w:p>
    <w:tbl>
      <w:tblPr>
        <w:tblStyle w:val="T2"/>
        <w:tblW w:w="9464" w:type="dxa"/>
        <w:jc w:val="center"/>
        <w:tblLook w:val="04A0"/>
      </w:tblPr>
      <w:tblGrid/>
      <w:tr>
        <w:trPr>
          <w:jc w:val="center"/>
        </w:trPr>
        <w:tc>
          <w:tcPr>
            <w:tcW w:w="3510" w:type="dxa"/>
          </w:tcPr>
          <w:p>
            <w:pPr>
              <w:widowControl w:val="0"/>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Групи (підгрупи)</w:t>
            </w:r>
          </w:p>
        </w:tc>
        <w:tc>
          <w:tcPr>
            <w:tcW w:w="2977" w:type="dxa"/>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Так</w:t>
            </w:r>
          </w:p>
        </w:tc>
        <w:tc>
          <w:tcPr>
            <w:tcW w:w="2977" w:type="dxa"/>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Ні</w:t>
            </w:r>
          </w:p>
        </w:tc>
      </w:tr>
      <w:tr>
        <w:trPr>
          <w:jc w:val="center"/>
        </w:trPr>
        <w:tc>
          <w:tcPr>
            <w:tcW w:w="3510" w:type="dxa"/>
          </w:tcPr>
          <w:p>
            <w:pPr>
              <w:widowControl w:val="0"/>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Громадяни, іноземці</w:t>
            </w:r>
          </w:p>
        </w:tc>
        <w:tc>
          <w:tcPr>
            <w:tcW w:w="2977" w:type="dxa"/>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w:t>
            </w:r>
          </w:p>
        </w:tc>
        <w:tc>
          <w:tcPr>
            <w:tcW w:w="2977" w:type="dxa"/>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w:t>
            </w:r>
          </w:p>
        </w:tc>
      </w:tr>
      <w:tr>
        <w:trPr>
          <w:jc w:val="center"/>
        </w:trPr>
        <w:tc>
          <w:tcPr>
            <w:tcW w:w="3510" w:type="dxa"/>
          </w:tcPr>
          <w:p>
            <w:pPr>
              <w:widowControl w:val="0"/>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Держава</w:t>
            </w:r>
          </w:p>
        </w:tc>
        <w:tc>
          <w:tcPr>
            <w:tcW w:w="2977" w:type="dxa"/>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w:t>
            </w:r>
          </w:p>
        </w:tc>
        <w:tc>
          <w:tcPr>
            <w:tcW w:w="2977" w:type="dxa"/>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w:t>
            </w:r>
          </w:p>
        </w:tc>
      </w:tr>
      <w:tr>
        <w:trPr>
          <w:jc w:val="center"/>
        </w:trPr>
        <w:tc>
          <w:tcPr>
            <w:tcW w:w="3510" w:type="dxa"/>
          </w:tcPr>
          <w:p>
            <w:pPr>
              <w:widowControl w:val="0"/>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Суб’єкти господарювання</w:t>
            </w:r>
          </w:p>
        </w:tc>
        <w:tc>
          <w:tcPr>
            <w:tcW w:w="2977" w:type="dxa"/>
            <w:tcBorders>
              <w:bottom w:val="single" w:sz="4" w:space="0" w:shadow="0" w:frame="0"/>
            </w:tcBorders>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w:t>
            </w:r>
          </w:p>
        </w:tc>
        <w:tc>
          <w:tcPr>
            <w:tcW w:w="2977" w:type="dxa"/>
            <w:tcBorders>
              <w:bottom w:val="single" w:sz="4" w:space="0" w:shadow="0" w:frame="0"/>
            </w:tcBorders>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w:t>
            </w:r>
          </w:p>
        </w:tc>
      </w:tr>
      <w:tr>
        <w:trPr>
          <w:jc w:val="center"/>
        </w:trPr>
        <w:tc>
          <w:tcPr>
            <w:tcW w:w="3510" w:type="dxa"/>
          </w:tcPr>
          <w:p>
            <w:pPr>
              <w:widowControl w:val="0"/>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у тому числі суб’єкти малого підприємництва*</w:t>
            </w:r>
          </w:p>
        </w:tc>
        <w:tc>
          <w:tcPr>
            <w:tcW w:w="2977" w:type="dxa"/>
            <w:tcBorders>
              <w:bottom w:val="single" w:sz="4" w:space="0" w:shadow="0" w:frame="0"/>
            </w:tcBorders>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w:t>
            </w:r>
          </w:p>
        </w:tc>
        <w:tc>
          <w:tcPr>
            <w:tcW w:w="2977" w:type="dxa"/>
            <w:tcBorders>
              <w:bottom w:val="single" w:sz="4" w:space="0" w:shadow="0" w:frame="0"/>
            </w:tcBorders>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w:t>
            </w:r>
          </w:p>
        </w:tc>
      </w:tr>
    </w:tbl>
    <w:p>
      <w:pPr>
        <w:widowControl w:val="0"/>
        <w:spacing w:lineRule="auto" w:line="240" w:after="0" w:beforeAutospacing="0" w:afterAutospacing="0"/>
        <w:ind w:firstLine="709"/>
        <w:contextualSpacing w:val="1"/>
        <w:jc w:val="both"/>
        <w:rPr>
          <w:rFonts w:ascii="Times New Roman" w:hAnsi="Times New Roman"/>
          <w:bCs w:val="1"/>
          <w:color w:val="000000" w:themeColor="text1"/>
          <w:sz w:val="28"/>
          <w:szCs w:val="28"/>
          <w:lang w:eastAsia="ru-RU"/>
        </w:rPr>
      </w:pPr>
      <w:r>
        <w:rPr>
          <w:rFonts w:ascii="Times New Roman" w:hAnsi="Times New Roman"/>
          <w:bCs w:val="1"/>
          <w:color w:val="000000" w:themeColor="text1"/>
          <w:sz w:val="28"/>
          <w:szCs w:val="28"/>
          <w:lang w:eastAsia="ru-RU"/>
        </w:rPr>
        <w:t>Зазначена проблема не може бути розв’язана за допомогою ринкових механізмів і чинних регуляторних актів, оскільки узгодження регуляторних актів може бути здійснене лише шляхом внесення до них змін або їх скасування.</w:t>
      </w:r>
    </w:p>
    <w:p>
      <w:pPr>
        <w:shd w:val="clear" w:fill="FFFFFF"/>
        <w:spacing w:lineRule="auto" w:line="192" w:after="0" w:beforeAutospacing="0" w:afterAutospacing="0"/>
        <w:ind w:firstLine="709"/>
        <w:contextualSpacing w:val="1"/>
        <w:jc w:val="both"/>
        <w:rPr>
          <w:rFonts w:ascii="Times New Roman" w:hAnsi="Times New Roman"/>
          <w:b w:val="1"/>
          <w:bCs w:val="1"/>
          <w:color w:val="000000" w:themeColor="text1"/>
          <w:sz w:val="28"/>
          <w:szCs w:val="28"/>
          <w:spacing w:val="-1"/>
        </w:rPr>
      </w:pPr>
    </w:p>
    <w:p>
      <w:pPr>
        <w:shd w:val="clear" w:fill="FFFFFF"/>
        <w:spacing w:lineRule="auto" w:line="240" w:after="0" w:beforeAutospacing="0" w:afterAutospacing="0"/>
        <w:ind w:firstLine="709"/>
        <w:contextualSpacing w:val="1"/>
        <w:jc w:val="both"/>
        <w:rPr>
          <w:rFonts w:ascii="Times New Roman" w:hAnsi="Times New Roman"/>
          <w:b w:val="1"/>
          <w:bCs w:val="1"/>
          <w:color w:val="000000" w:themeColor="text1"/>
          <w:sz w:val="28"/>
          <w:szCs w:val="28"/>
          <w:spacing w:val="-1"/>
        </w:rPr>
      </w:pPr>
      <w:r>
        <w:rPr>
          <w:rFonts w:ascii="Times New Roman" w:hAnsi="Times New Roman"/>
          <w:b w:val="1"/>
          <w:bCs w:val="1"/>
          <w:color w:val="000000" w:themeColor="text1"/>
          <w:sz w:val="28"/>
          <w:szCs w:val="28"/>
          <w:spacing w:val="-1"/>
        </w:rPr>
        <w:t>ІІ. Цілі державного регулювання</w:t>
      </w:r>
    </w:p>
    <w:p>
      <w:pPr>
        <w:spacing w:lineRule="auto" w:line="240" w:after="0" w:beforeAutospacing="0" w:afterAutospacing="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lang w:eastAsia="uk-UA"/>
        </w:rPr>
        <w:t>Метою державного регулювання</w:t>
      </w:r>
      <w:r>
        <w:rPr>
          <w:rFonts w:ascii="Times New Roman" w:hAnsi="Times New Roman"/>
          <w:color w:val="000000"/>
          <w:sz w:val="28"/>
          <w:szCs w:val="28"/>
          <w:shd w:val="clear" w:color="auto" w:fill="FFFFFF"/>
        </w:rPr>
        <w:t xml:space="preserve"> є </w:t>
      </w:r>
      <w:r>
        <w:rPr>
          <w:rFonts w:ascii="Times New Roman" w:hAnsi="Times New Roman"/>
          <w:color w:val="000000"/>
          <w:sz w:val="28"/>
          <w:szCs w:val="28"/>
        </w:rPr>
        <w:t xml:space="preserve">забезпечення моніторингових досліджень, </w:t>
      </w:r>
      <w:r>
        <w:rPr>
          <w:rFonts w:ascii="Times New Roman" w:hAnsi="Times New Roman"/>
          <w:color w:val="000000"/>
          <w:sz w:val="28"/>
          <w:szCs w:val="28"/>
          <w:shd w:val="clear" w:color="auto" w:fill="FFFFFF"/>
        </w:rPr>
        <w:t>удосконалення правового регулювання здійснення контролю за напрямами використання коштів, одержаних у результаті трансферу технологій, створених за рахунок коштів державного бюджету, і виплатою винагороди авторам таких технологій та особам, що здійснюють їх трансфер.</w:t>
      </w:r>
    </w:p>
    <w:p>
      <w:pPr>
        <w:spacing w:lineRule="auto" w:line="240" w:after="0" w:beforeAutospacing="0" w:afterAutospacing="0"/>
        <w:ind w:firstLine="709"/>
        <w:jc w:val="both"/>
        <w:rPr>
          <w:rFonts w:ascii="Times New Roman" w:hAnsi="Times New Roman"/>
          <w:bCs w:val="1"/>
          <w:color w:val="000000"/>
          <w:sz w:val="28"/>
          <w:szCs w:val="28"/>
        </w:rPr>
      </w:pPr>
      <w:r>
        <w:rPr>
          <w:rFonts w:ascii="Times New Roman" w:hAnsi="Times New Roman"/>
          <w:color w:val="000000"/>
          <w:sz w:val="28"/>
          <w:szCs w:val="28"/>
          <w:shd w:val="clear" w:color="auto" w:fill="FFFFFF"/>
        </w:rPr>
        <w:t xml:space="preserve">Вказану мету планується досягти за допомогою внесення змін до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таких технологій </w:t>
      </w:r>
      <w:r>
        <w:rPr>
          <w:rFonts w:ascii="Times New Roman" w:hAnsi="Times New Roman"/>
          <w:color w:val="000000"/>
          <w:sz w:val="28"/>
          <w:szCs w:val="28"/>
        </w:rPr>
        <w:t xml:space="preserve">шляхом прийняття наказу МОН «Про внесення змін до наказу </w:t>
      </w:r>
      <w:r>
        <w:rPr>
          <w:rFonts w:ascii="Times New Roman" w:hAnsi="Times New Roman"/>
          <w:bCs w:val="1"/>
          <w:color w:val="000000"/>
          <w:sz w:val="28"/>
          <w:szCs w:val="28"/>
        </w:rPr>
        <w:t>Міністерства освіти і науки України від 13 березня 2014 року № 221</w:t>
      </w:r>
      <w:r>
        <w:rPr>
          <w:rFonts w:ascii="Times New Roman" w:hAnsi="Times New Roman"/>
          <w:color w:val="000000"/>
          <w:sz w:val="28"/>
          <w:szCs w:val="28"/>
        </w:rPr>
        <w:t>».</w:t>
      </w:r>
    </w:p>
    <w:p>
      <w:pPr>
        <w:widowControl w:val="0"/>
        <w:shd w:val="clear" w:fill="FFFFFF"/>
        <w:spacing w:lineRule="auto" w:line="192" w:after="0" w:beforeAutospacing="0" w:afterAutospacing="0"/>
        <w:jc w:val="both"/>
        <w:rPr>
          <w:rFonts w:ascii="Times New Roman" w:hAnsi="Times New Roman"/>
          <w:b w:val="1"/>
          <w:color w:val="000000" w:themeColor="text1"/>
          <w:sz w:val="28"/>
          <w:szCs w:val="28"/>
          <w:lang w:eastAsia="ru-RU"/>
        </w:rPr>
      </w:pPr>
    </w:p>
    <w:p>
      <w:pPr>
        <w:widowControl w:val="0"/>
        <w:shd w:val="clear" w:fill="FFFFFF"/>
        <w:spacing w:lineRule="auto" w:line="240" w:after="0" w:beforeAutospacing="0" w:afterAutospacing="0"/>
        <w:ind w:firstLine="709"/>
        <w:jc w:val="both"/>
        <w:rPr>
          <w:rFonts w:ascii="Times New Roman" w:hAnsi="Times New Roman"/>
          <w:b w:val="1"/>
          <w:color w:val="000000" w:themeColor="text1"/>
          <w:sz w:val="28"/>
          <w:szCs w:val="28"/>
          <w:lang w:eastAsia="ru-RU"/>
        </w:rPr>
      </w:pPr>
      <w:r>
        <w:rPr>
          <w:rFonts w:ascii="Times New Roman" w:hAnsi="Times New Roman"/>
          <w:b w:val="1"/>
          <w:color w:val="000000" w:themeColor="text1"/>
          <w:sz w:val="28"/>
          <w:szCs w:val="28"/>
          <w:lang w:eastAsia="ru-RU"/>
        </w:rPr>
        <w:t>ІІІ. Визначення та оцінка альтернативних способів досягнення цілей</w:t>
      </w:r>
    </w:p>
    <w:p>
      <w:pPr>
        <w:widowControl w:val="0"/>
        <w:numPr>
          <w:ilvl w:val="0"/>
          <w:numId w:val="2"/>
        </w:numPr>
        <w:shd w:val="clear" w:fill="FFFFFF"/>
        <w:spacing w:lineRule="auto" w:line="240" w:after="0" w:beforeAutospacing="0" w:afterAutospacing="0"/>
        <w:ind w:firstLine="709" w:left="0"/>
        <w:contextualSpacing w:val="1"/>
        <w:jc w:val="both"/>
        <w:rPr>
          <w:rFonts w:ascii="Times New Roman" w:hAnsi="Times New Roman"/>
          <w:color w:val="000000" w:themeColor="text1"/>
          <w:sz w:val="28"/>
          <w:szCs w:val="28"/>
        </w:rPr>
      </w:pPr>
      <w:r>
        <w:rPr>
          <w:rFonts w:ascii="Times New Roman" w:hAnsi="Times New Roman"/>
          <w:color w:val="000000" w:themeColor="text1"/>
          <w:sz w:val="28"/>
          <w:szCs w:val="28"/>
        </w:rPr>
        <w:t>Визначення альтернативних способів.</w:t>
      </w:r>
    </w:p>
    <w:p>
      <w:pPr>
        <w:widowControl w:val="0"/>
        <w:shd w:val="clear" w:fill="FFFFFF"/>
        <w:spacing w:lineRule="auto" w:line="240" w:after="0" w:beforeAutospacing="0" w:afterAutospacing="0"/>
        <w:contextualSpacing w:val="1"/>
        <w:jc w:val="both"/>
        <w:rPr>
          <w:rFonts w:ascii="Times New Roman" w:hAnsi="Times New Roman"/>
          <w:color w:val="000000" w:themeColor="text1"/>
          <w:sz w:val="28"/>
          <w:szCs w:val="28"/>
        </w:rPr>
      </w:pPr>
    </w:p>
    <w:p>
      <w:pPr>
        <w:widowControl w:val="0"/>
        <w:shd w:val="clear" w:fill="FFFFFF"/>
        <w:spacing w:lineRule="auto" w:line="240" w:after="0" w:beforeAutospacing="0" w:afterAutospacing="0"/>
        <w:contextualSpacing w:val="1"/>
        <w:jc w:val="both"/>
        <w:rPr>
          <w:rFonts w:ascii="Times New Roman" w:hAnsi="Times New Roman"/>
          <w:color w:val="000000" w:themeColor="text1"/>
          <w:sz w:val="28"/>
          <w:szCs w:val="28"/>
        </w:rPr>
      </w:pPr>
    </w:p>
    <w:tbl>
      <w:tblPr>
        <w:tblStyle w:val="T2"/>
        <w:tblW w:w="0" w:type="auto"/>
        <w:tblInd w:w="108" w:type="dxa"/>
        <w:tblLook w:val="04A0"/>
      </w:tblPr>
      <w:tblGrid/>
      <w:tr>
        <w:trPr>
          <w:trHeight w:hRule="atLeast" w:val="131"/>
        </w:trPr>
        <w:tc>
          <w:tcPr>
            <w:tcW w:w="3544" w:type="dxa"/>
          </w:tcPr>
          <w:p>
            <w:pPr>
              <w:widowControl w:val="0"/>
              <w:jc w:val="both"/>
              <w:rPr>
                <w:rFonts w:ascii="Times New Roman" w:hAnsi="Times New Roman"/>
                <w:color w:val="000000" w:themeColor="text1"/>
                <w:sz w:val="28"/>
                <w:szCs w:val="28"/>
                <w:spacing w:val="-3"/>
                <w:lang w:val="uk-UA" w:eastAsia="ru-RU"/>
              </w:rPr>
            </w:pPr>
            <w:r>
              <w:rPr>
                <w:rFonts w:ascii="Times New Roman" w:hAnsi="Times New Roman"/>
                <w:color w:val="000000" w:themeColor="text1"/>
                <w:sz w:val="28"/>
                <w:szCs w:val="28"/>
                <w:lang w:val="uk-UA" w:eastAsia="ru-RU"/>
              </w:rPr>
              <w:t>Вид альтернативи</w:t>
            </w:r>
          </w:p>
        </w:tc>
        <w:tc>
          <w:tcPr>
            <w:tcW w:w="5919" w:type="dxa"/>
          </w:tcPr>
          <w:p>
            <w:pPr>
              <w:widowControl w:val="0"/>
              <w:jc w:val="both"/>
              <w:rPr>
                <w:rFonts w:ascii="Times New Roman" w:hAnsi="Times New Roman"/>
                <w:color w:val="000000" w:themeColor="text1"/>
                <w:sz w:val="28"/>
                <w:szCs w:val="28"/>
                <w:spacing w:val="-3"/>
                <w:lang w:val="uk-UA" w:eastAsia="ru-RU"/>
              </w:rPr>
            </w:pPr>
            <w:r>
              <w:rPr>
                <w:rFonts w:ascii="Times New Roman" w:hAnsi="Times New Roman"/>
                <w:color w:val="000000" w:themeColor="text1"/>
                <w:sz w:val="28"/>
                <w:szCs w:val="28"/>
                <w:lang w:val="uk-UA" w:eastAsia="ru-RU"/>
              </w:rPr>
              <w:t>Опис альтернативи</w:t>
            </w:r>
          </w:p>
        </w:tc>
      </w:tr>
      <w:tr>
        <w:tc>
          <w:tcPr>
            <w:tcW w:w="3544" w:type="dxa"/>
          </w:tcPr>
          <w:p>
            <w:pPr>
              <w:widowControl w:val="0"/>
              <w:jc w:val="both"/>
              <w:rPr>
                <w:rFonts w:ascii="Times New Roman" w:hAnsi="Times New Roman"/>
                <w:color w:val="000000" w:themeColor="text1"/>
                <w:sz w:val="28"/>
                <w:szCs w:val="28"/>
                <w:spacing w:val="-3"/>
                <w:lang w:val="uk-UA" w:eastAsia="ru-RU"/>
              </w:rPr>
            </w:pPr>
            <w:r>
              <w:rPr>
                <w:rFonts w:ascii="Times New Roman" w:hAnsi="Times New Roman"/>
                <w:color w:val="000000" w:themeColor="text1"/>
                <w:sz w:val="28"/>
                <w:szCs w:val="28"/>
                <w:lang w:val="uk-UA" w:eastAsia="ru-RU"/>
              </w:rPr>
              <w:t xml:space="preserve">Альтернатива 1 </w:t>
            </w:r>
          </w:p>
        </w:tc>
        <w:tc>
          <w:tcPr>
            <w:tcW w:w="5919" w:type="dxa"/>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Збереження чинного регулювання</w:t>
            </w:r>
          </w:p>
        </w:tc>
      </w:tr>
      <w:tr>
        <w:tc>
          <w:tcPr>
            <w:tcW w:w="3544" w:type="dxa"/>
          </w:tcPr>
          <w:p>
            <w:pPr>
              <w:widowControl w:val="0"/>
              <w:jc w:val="both"/>
              <w:rPr>
                <w:rFonts w:ascii="Times New Roman" w:hAnsi="Times New Roman"/>
                <w:color w:val="000000" w:themeColor="text1"/>
                <w:sz w:val="28"/>
                <w:szCs w:val="28"/>
                <w:spacing w:val="-3"/>
                <w:lang w:val="uk-UA" w:eastAsia="ru-RU"/>
              </w:rPr>
            </w:pPr>
            <w:r>
              <w:rPr>
                <w:rFonts w:ascii="Times New Roman" w:hAnsi="Times New Roman"/>
                <w:color w:val="000000" w:themeColor="text1"/>
                <w:sz w:val="28"/>
                <w:szCs w:val="28"/>
                <w:lang w:val="uk-UA" w:eastAsia="ru-RU"/>
              </w:rPr>
              <w:t xml:space="preserve">Альтернатива 2 </w:t>
            </w:r>
          </w:p>
        </w:tc>
        <w:tc>
          <w:tcPr>
            <w:tcW w:w="5919" w:type="dxa"/>
          </w:tcPr>
          <w:p>
            <w:pPr>
              <w:widowControl w:val="0"/>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Прийняття проєкту акта</w:t>
            </w:r>
            <w:r>
              <w:rPr>
                <w:rFonts w:ascii="Times New Roman" w:hAnsi="Times New Roman"/>
                <w:color w:val="000000" w:themeColor="text1"/>
                <w:sz w:val="28"/>
                <w:szCs w:val="28"/>
                <w:spacing w:val="-4"/>
                <w:lang w:val="uk-UA" w:eastAsia="ru-RU"/>
              </w:rPr>
              <w:t xml:space="preserve"> забезпечить усунення існуючої проблеми шляхом отримання можливості </w:t>
            </w:r>
            <w:r>
              <w:rPr>
                <w:rFonts w:ascii="Times New Roman" w:hAnsi="Times New Roman"/>
                <w:bCs w:val="1"/>
                <w:color w:val="000000" w:themeColor="text1"/>
                <w:sz w:val="28"/>
                <w:szCs w:val="28"/>
                <w:spacing w:val="-4"/>
                <w:lang w:val="uk-UA" w:eastAsia="ru-RU"/>
              </w:rPr>
              <w:t>ефективно здійснювати контроль за використанням коштів, одержаних у результаті трансферу технологій, створених за рахунок коштів державного бюджету та обсягів виплат винагород авторам технологій та особам, які здійснюють їх трансфер</w:t>
            </w:r>
            <w:r>
              <w:rPr>
                <w:rFonts w:ascii="Times New Roman" w:hAnsi="Times New Roman"/>
                <w:bCs w:val="1"/>
                <w:color w:val="000000" w:themeColor="text1"/>
                <w:sz w:val="28"/>
                <w:szCs w:val="28"/>
                <w:lang w:val="uk-UA" w:eastAsia="ru-RU"/>
              </w:rPr>
              <w:t>, що сприятиме прийняттю обґрунтованих державницьких рішень у сферах цих політик</w:t>
            </w:r>
          </w:p>
        </w:tc>
      </w:tr>
    </w:tbl>
    <w:p>
      <w:pPr>
        <w:widowControl w:val="0"/>
        <w:shd w:val="clear" w:fill="FFFFFF"/>
        <w:spacing w:lineRule="auto" w:line="192" w:after="0" w:beforeAutospacing="0" w:afterAutospacing="0"/>
        <w:ind w:firstLine="709"/>
        <w:jc w:val="both"/>
        <w:rPr>
          <w:rFonts w:ascii="Times New Roman" w:hAnsi="Times New Roman"/>
          <w:color w:val="000000" w:themeColor="text1"/>
          <w:sz w:val="28"/>
          <w:szCs w:val="28"/>
          <w:spacing w:val="-3"/>
          <w:lang w:eastAsia="ru-RU"/>
        </w:rPr>
      </w:pPr>
    </w:p>
    <w:p>
      <w:pPr>
        <w:widowControl w:val="0"/>
        <w:numPr>
          <w:ilvl w:val="0"/>
          <w:numId w:val="2"/>
        </w:numPr>
        <w:shd w:val="clear" w:fill="FFFFFF"/>
        <w:spacing w:lineRule="auto" w:line="240" w:after="0" w:beforeAutospacing="0" w:afterAutospacing="0"/>
        <w:ind w:firstLine="709" w:left="0"/>
        <w:contextualSpacing w:val="1"/>
        <w:jc w:val="both"/>
        <w:rPr>
          <w:rFonts w:ascii="Times New Roman" w:hAnsi="Times New Roman"/>
          <w:color w:val="000000" w:themeColor="text1"/>
          <w:sz w:val="28"/>
          <w:szCs w:val="28"/>
        </w:rPr>
      </w:pPr>
      <w:r>
        <w:rPr>
          <w:rFonts w:ascii="Times New Roman" w:hAnsi="Times New Roman"/>
          <w:color w:val="000000" w:themeColor="text1"/>
          <w:sz w:val="28"/>
          <w:szCs w:val="28"/>
        </w:rPr>
        <w:t>Оцінка обраних альтернативних способів досягнення цілей</w:t>
      </w:r>
    </w:p>
    <w:p>
      <w:pPr>
        <w:shd w:val="clear" w:fill="FFFFFF"/>
        <w:spacing w:lineRule="auto" w:line="192" w:after="0" w:beforeAutospacing="0" w:afterAutospacing="0"/>
        <w:ind w:firstLine="709"/>
        <w:contextualSpacing w:val="1"/>
        <w:jc w:val="both"/>
        <w:rPr>
          <w:rFonts w:ascii="Times New Roman" w:hAnsi="Times New Roman"/>
          <w:color w:val="000000" w:themeColor="text1"/>
          <w:sz w:val="24"/>
          <w:szCs w:val="24"/>
        </w:rPr>
      </w:pPr>
    </w:p>
    <w:p>
      <w:pPr>
        <w:shd w:val="clear" w:fill="FFFFFF"/>
        <w:spacing w:lineRule="auto" w:line="240" w:after="0" w:beforeAutospacing="0" w:afterAutospacing="0"/>
        <w:ind w:firstLine="709"/>
        <w:contextualSpacing w:val="1"/>
        <w:jc w:val="both"/>
        <w:rPr>
          <w:rFonts w:ascii="Times New Roman" w:hAnsi="Times New Roman"/>
          <w:color w:val="000000" w:themeColor="text1"/>
          <w:sz w:val="28"/>
          <w:szCs w:val="28"/>
        </w:rPr>
      </w:pPr>
      <w:r>
        <w:rPr>
          <w:rFonts w:ascii="Times New Roman" w:hAnsi="Times New Roman"/>
          <w:color w:val="000000" w:themeColor="text1"/>
          <w:sz w:val="28"/>
          <w:szCs w:val="28"/>
        </w:rPr>
        <w:t>Оцінка впливу на сферу інтересів держави.</w:t>
      </w:r>
    </w:p>
    <w:tbl>
      <w:tblPr>
        <w:tblStyle w:val="T2"/>
        <w:tblW w:w="0" w:type="auto"/>
        <w:tblInd w:w="108" w:type="dxa"/>
        <w:tblLook w:val="04A0"/>
      </w:tblPr>
      <w:tblGrid/>
      <w:tr>
        <w:tc>
          <w:tcPr>
            <w:tcW w:w="2268" w:type="dxa"/>
            <w:tcBorders>
              <w:top w:val="single" w:sz="4" w:space="0" w:shadow="0" w:frame="0"/>
              <w:left w:val="single" w:sz="4" w:space="0" w:shadow="0" w:frame="0"/>
              <w:bottom w:val="single" w:sz="4" w:space="0" w:shadow="0" w:frame="0"/>
              <w:right w:val="single" w:sz="4" w:space="0" w:shadow="0" w:frame="0"/>
            </w:tcBorders>
            <w:vAlign w:val="center"/>
          </w:tcPr>
          <w:p>
            <w:pPr>
              <w:contextualSpacing w:val="1"/>
              <w:jc w:val="center"/>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Вид альтернативи</w:t>
            </w:r>
          </w:p>
        </w:tc>
        <w:tc>
          <w:tcPr>
            <w:tcW w:w="3543" w:type="dxa"/>
            <w:tcBorders>
              <w:top w:val="single" w:sz="4" w:space="0" w:shadow="0" w:frame="0"/>
              <w:left w:val="single" w:sz="4" w:space="0" w:shadow="0" w:frame="0"/>
              <w:bottom w:val="single" w:sz="4" w:space="0" w:shadow="0" w:frame="0"/>
              <w:right w:val="single" w:sz="4" w:space="0" w:shadow="0" w:frame="0"/>
            </w:tcBorders>
            <w:vAlign w:val="center"/>
          </w:tcPr>
          <w:p>
            <w:pPr>
              <w:widowControl w:val="0"/>
              <w:jc w:val="center"/>
              <w:rPr>
                <w:rFonts w:ascii="Times New Roman" w:hAnsi="Times New Roman"/>
                <w:color w:val="000000" w:themeColor="text1"/>
                <w:sz w:val="28"/>
                <w:szCs w:val="28"/>
                <w:spacing w:val="-3"/>
                <w:lang w:val="uk-UA" w:eastAsia="ru-RU"/>
              </w:rPr>
            </w:pPr>
            <w:r>
              <w:rPr>
                <w:rFonts w:ascii="Times New Roman" w:hAnsi="Times New Roman"/>
                <w:color w:val="000000" w:themeColor="text1"/>
                <w:sz w:val="28"/>
                <w:szCs w:val="28"/>
                <w:lang w:val="uk-UA" w:eastAsia="ru-RU"/>
              </w:rPr>
              <w:t>Вигоди</w:t>
            </w:r>
          </w:p>
        </w:tc>
        <w:tc>
          <w:tcPr>
            <w:tcW w:w="3793" w:type="dxa"/>
            <w:tcBorders>
              <w:top w:val="single" w:sz="4" w:space="0" w:shadow="0" w:frame="0"/>
              <w:left w:val="single" w:sz="4" w:space="0" w:shadow="0" w:frame="0"/>
              <w:bottom w:val="single" w:sz="4" w:space="0" w:shadow="0" w:frame="0"/>
              <w:right w:val="single" w:sz="4" w:space="0" w:shadow="0" w:frame="0"/>
            </w:tcBorders>
            <w:vAlign w:val="center"/>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Витрати</w:t>
            </w:r>
          </w:p>
        </w:tc>
      </w:tr>
      <w:tr>
        <w:tc>
          <w:tcPr>
            <w:tcW w:w="2268" w:type="dxa"/>
            <w:tcBorders>
              <w:top w:val="single" w:sz="4" w:space="0" w:shadow="0" w:frame="0"/>
            </w:tcBorders>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 xml:space="preserve">Альтернатива 1 </w:t>
            </w:r>
          </w:p>
        </w:tc>
        <w:tc>
          <w:tcPr>
            <w:tcW w:w="3543" w:type="dxa"/>
            <w:tcBorders>
              <w:top w:val="single" w:sz="4" w:space="0" w:shadow="0" w:frame="0"/>
            </w:tcBorders>
          </w:tcPr>
          <w:p>
            <w:pPr>
              <w:widowControl w:val="0"/>
              <w:jc w:val="both"/>
              <w:rPr>
                <w:rFonts w:ascii="Times New Roman" w:hAnsi="Times New Roman"/>
                <w:color w:val="000000" w:themeColor="text1"/>
                <w:sz w:val="28"/>
                <w:szCs w:val="28"/>
                <w:spacing w:val="-10"/>
                <w:lang w:val="uk-UA" w:eastAsia="ru-RU"/>
              </w:rPr>
            </w:pPr>
            <w:r>
              <w:rPr>
                <w:rFonts w:ascii="Times New Roman" w:hAnsi="Times New Roman"/>
                <w:color w:val="000000" w:themeColor="text1"/>
                <w:sz w:val="28"/>
                <w:szCs w:val="28"/>
                <w:spacing w:val="-10"/>
                <w:lang w:val="uk-UA" w:eastAsia="ru-RU"/>
              </w:rPr>
              <w:t>Відсутні.</w:t>
            </w:r>
          </w:p>
          <w:p>
            <w:pPr>
              <w:widowControl w:val="0"/>
              <w:jc w:val="both"/>
              <w:rPr>
                <w:rFonts w:ascii="Times New Roman" w:hAnsi="Times New Roman"/>
                <w:color w:val="000000" w:themeColor="text1"/>
                <w:sz w:val="28"/>
                <w:szCs w:val="28"/>
                <w:spacing w:val="-10"/>
                <w:lang w:val="uk-UA" w:eastAsia="ru-RU"/>
              </w:rPr>
            </w:pPr>
            <w:r>
              <w:rPr>
                <w:rFonts w:ascii="Times New Roman" w:hAnsi="Times New Roman"/>
                <w:color w:val="000000" w:themeColor="text1"/>
                <w:sz w:val="28"/>
                <w:szCs w:val="28"/>
                <w:spacing w:val="-10"/>
                <w:lang w:val="uk-UA" w:eastAsia="ru-RU"/>
              </w:rPr>
              <w:t xml:space="preserve">Подальше невирішення зазначеного питання унеможливлює здійснення контролю за  напрямами використання коштів, одержаних у результаті трансферу технологій, та  виплатою винагороди авторам технологій та особам, які здійснюють їх трансфер, а також ускладнює процес здійснення ефективних заходів з формування державної політики у сфері трансферу технологій (за відсутності результатів об’єктивних досліджень)</w:t>
            </w:r>
          </w:p>
        </w:tc>
        <w:tc>
          <w:tcPr>
            <w:tcW w:w="3793" w:type="dxa"/>
            <w:tcBorders>
              <w:top w:val="single" w:sz="4" w:space="0" w:shadow="0" w:frame="0"/>
            </w:tcBorders>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Додаткові витрати відсутні</w:t>
            </w:r>
            <w:r>
              <w:rPr>
                <w:rFonts w:ascii="Times New Roman" w:hAnsi="Times New Roman"/>
                <w:color w:val="000000" w:themeColor="text1"/>
                <w:sz w:val="28"/>
                <w:szCs w:val="28"/>
                <w:lang w:val="uk-UA"/>
              </w:rPr>
              <w:t xml:space="preserve"> </w:t>
            </w:r>
          </w:p>
        </w:tc>
      </w:tr>
      <w:tr>
        <w:tc>
          <w:tcPr>
            <w:tcW w:w="2268" w:type="dxa"/>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 xml:space="preserve">Альтернатива 2 </w:t>
            </w:r>
          </w:p>
        </w:tc>
        <w:tc>
          <w:tcPr>
            <w:tcW w:w="3543" w:type="dxa"/>
          </w:tcPr>
          <w:p>
            <w:pPr>
              <w:contextualSpacing w:val="1"/>
              <w:jc w:val="both"/>
              <w:rPr>
                <w:rFonts w:ascii="Times New Roman" w:hAnsi="Times New Roman"/>
                <w:color w:val="000000" w:themeColor="text1"/>
                <w:sz w:val="28"/>
                <w:szCs w:val="28"/>
                <w:spacing w:val="-4"/>
                <w:lang w:val="uk-UA"/>
              </w:rPr>
            </w:pPr>
            <w:r>
              <w:rPr>
                <w:rFonts w:ascii="Times New Roman" w:hAnsi="Times New Roman"/>
                <w:color w:val="000000" w:themeColor="text1"/>
                <w:sz w:val="28"/>
                <w:szCs w:val="28"/>
                <w:spacing w:val="-4"/>
                <w:lang w:val="uk-UA"/>
              </w:rPr>
              <w:t xml:space="preserve">Внесення змін до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технологій, та особам, що здійснюють їх трансфер,   забезпечить якість моніторингових досліджень.</w:t>
            </w:r>
          </w:p>
          <w:p>
            <w:pPr>
              <w:contextualSpacing w:val="1"/>
              <w:jc w:val="both"/>
              <w:rPr>
                <w:rFonts w:ascii="Times New Roman" w:hAnsi="Times New Roman"/>
                <w:color w:val="000000" w:themeColor="text1"/>
                <w:sz w:val="28"/>
                <w:szCs w:val="28"/>
                <w:spacing w:val="-4"/>
                <w:lang w:val="uk-UA"/>
              </w:rPr>
            </w:pPr>
            <w:r>
              <w:rPr>
                <w:rFonts w:ascii="Times New Roman" w:hAnsi="Times New Roman"/>
                <w:color w:val="000000" w:themeColor="text1"/>
                <w:sz w:val="28"/>
                <w:szCs w:val="28"/>
                <w:spacing w:val="-4"/>
                <w:lang w:val="uk-UA"/>
              </w:rPr>
              <w:t>Крім того, сприятиме удосконаленню процесу здійснення ефективних заходів з формування державної політики у сфері трансферу технологій (за наявності результатів об’єктивних досліджень)</w:t>
            </w:r>
          </w:p>
        </w:tc>
        <w:tc>
          <w:tcPr>
            <w:tcW w:w="3793" w:type="dxa"/>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Відсутні</w:t>
            </w:r>
          </w:p>
        </w:tc>
      </w:tr>
    </w:tbl>
    <w:p>
      <w:pPr>
        <w:shd w:val="clear" w:fill="FFFFFF"/>
        <w:spacing w:lineRule="auto" w:line="192" w:after="0" w:beforeAutospacing="0" w:afterAutospacing="0"/>
        <w:ind w:firstLine="709"/>
        <w:contextualSpacing w:val="1"/>
        <w:jc w:val="both"/>
        <w:rPr>
          <w:rFonts w:ascii="Times New Roman" w:hAnsi="Times New Roman"/>
          <w:color w:val="000000" w:themeColor="text1"/>
          <w:sz w:val="28"/>
          <w:szCs w:val="28"/>
          <w:spacing w:val="-3"/>
        </w:rPr>
      </w:pPr>
    </w:p>
    <w:p>
      <w:pPr>
        <w:shd w:val="clear" w:fill="FFFFFF"/>
        <w:spacing w:lineRule="auto" w:line="240" w:after="0" w:beforeAutospacing="0" w:afterAutospacing="0"/>
        <w:ind w:firstLine="709"/>
        <w:contextualSpacing w:val="1"/>
        <w:jc w:val="both"/>
        <w:rPr>
          <w:rFonts w:ascii="Times New Roman" w:hAnsi="Times New Roman"/>
          <w:color w:val="000000" w:themeColor="text1"/>
          <w:sz w:val="28"/>
          <w:szCs w:val="28"/>
        </w:rPr>
      </w:pPr>
      <w:r>
        <w:rPr>
          <w:rFonts w:ascii="Times New Roman" w:hAnsi="Times New Roman"/>
          <w:color w:val="000000" w:themeColor="text1"/>
          <w:sz w:val="28"/>
          <w:szCs w:val="28"/>
        </w:rPr>
        <w:t>Оцінка впливу на сферу інтересів громадян.</w:t>
      </w:r>
    </w:p>
    <w:tbl>
      <w:tblPr>
        <w:tblStyle w:val="T2"/>
        <w:tblW w:w="0" w:type="auto"/>
        <w:tblInd w:w="108" w:type="dxa"/>
        <w:tblLook w:val="04A0"/>
      </w:tblPr>
      <w:tblGrid/>
      <w:tr>
        <w:tc>
          <w:tcPr>
            <w:tcW w:w="2127" w:type="dxa"/>
            <w:vAlign w:val="center"/>
          </w:tcPr>
          <w:p>
            <w:pPr>
              <w:contextualSpacing w:val="1"/>
              <w:jc w:val="center"/>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Вид альтернативи</w:t>
            </w:r>
          </w:p>
        </w:tc>
        <w:tc>
          <w:tcPr>
            <w:tcW w:w="3543" w:type="dxa"/>
            <w:vAlign w:val="center"/>
          </w:tcPr>
          <w:p>
            <w:pPr>
              <w:widowControl w:val="0"/>
              <w:jc w:val="center"/>
              <w:rPr>
                <w:rFonts w:ascii="Times New Roman" w:hAnsi="Times New Roman"/>
                <w:color w:val="000000" w:themeColor="text1"/>
                <w:sz w:val="28"/>
                <w:szCs w:val="28"/>
                <w:spacing w:val="-3"/>
                <w:lang w:val="uk-UA" w:eastAsia="ru-RU"/>
              </w:rPr>
            </w:pPr>
            <w:r>
              <w:rPr>
                <w:rFonts w:ascii="Times New Roman" w:hAnsi="Times New Roman"/>
                <w:color w:val="000000" w:themeColor="text1"/>
                <w:sz w:val="28"/>
                <w:szCs w:val="28"/>
                <w:lang w:val="uk-UA" w:eastAsia="ru-RU"/>
              </w:rPr>
              <w:t>Вигоди</w:t>
            </w:r>
          </w:p>
        </w:tc>
        <w:tc>
          <w:tcPr>
            <w:tcW w:w="3793" w:type="dxa"/>
            <w:vAlign w:val="center"/>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Витрати</w:t>
            </w:r>
          </w:p>
        </w:tc>
      </w:tr>
      <w:tr>
        <w:tc>
          <w:tcPr>
            <w:tcW w:w="2127" w:type="dxa"/>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 xml:space="preserve">Альтернатива 1 </w:t>
            </w:r>
          </w:p>
        </w:tc>
        <w:tc>
          <w:tcPr>
            <w:tcW w:w="3543" w:type="dxa"/>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Відсутні</w:t>
            </w:r>
          </w:p>
        </w:tc>
        <w:tc>
          <w:tcPr>
            <w:tcW w:w="3793" w:type="dxa"/>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Додаткові витрати відсутні</w:t>
            </w:r>
          </w:p>
        </w:tc>
      </w:tr>
      <w:tr>
        <w:tc>
          <w:tcPr>
            <w:tcW w:w="2127" w:type="dxa"/>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 xml:space="preserve">Альтернатива 2 </w:t>
            </w:r>
          </w:p>
        </w:tc>
        <w:tc>
          <w:tcPr>
            <w:tcW w:w="3543" w:type="dxa"/>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Контроль за спрямуванням коштів на важливі напрями для інноваційної діяльності та діяльності у сфері трансферу технологій стимулюватиме розвиток діяльності з трансферу технологій та матиме позитивний ефект на впровадження новітніх вітчизняних технологій, створених за бюджетні кошти, у виробництво, покращення якості продукції (товарів, які виробляються і послуг, які надаються), створеної з використанням новітніх вітчизняних технологій</w:t>
            </w:r>
          </w:p>
        </w:tc>
        <w:tc>
          <w:tcPr>
            <w:tcW w:w="3793" w:type="dxa"/>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Додаткові витрати відсутні</w:t>
            </w:r>
          </w:p>
        </w:tc>
      </w:tr>
    </w:tbl>
    <w:p>
      <w:pPr>
        <w:shd w:val="clear" w:fill="FFFFFF"/>
        <w:spacing w:lineRule="auto" w:line="192" w:after="0" w:beforeAutospacing="0" w:afterAutospacing="0"/>
        <w:ind w:firstLine="709"/>
        <w:contextualSpacing w:val="1"/>
        <w:jc w:val="both"/>
        <w:rPr>
          <w:rFonts w:ascii="Times New Roman" w:hAnsi="Times New Roman"/>
          <w:color w:val="000000" w:themeColor="text1"/>
          <w:sz w:val="28"/>
          <w:szCs w:val="28"/>
          <w:spacing w:val="-3"/>
          <w:lang w:eastAsia="ru-RU"/>
        </w:rPr>
      </w:pPr>
    </w:p>
    <w:p>
      <w:pPr>
        <w:shd w:val="clear" w:fill="FFFFFF"/>
        <w:spacing w:lineRule="auto" w:line="240" w:after="0" w:beforeAutospacing="0" w:afterAutospacing="0"/>
        <w:ind w:firstLine="709"/>
        <w:contextualSpacing w:val="1"/>
        <w:rPr>
          <w:rFonts w:ascii="Times New Roman" w:hAnsi="Times New Roman"/>
          <w:color w:val="000000" w:themeColor="text1"/>
          <w:sz w:val="28"/>
          <w:szCs w:val="28"/>
        </w:rPr>
      </w:pPr>
      <w:r>
        <w:rPr>
          <w:rFonts w:ascii="Times New Roman" w:hAnsi="Times New Roman"/>
          <w:color w:val="000000" w:themeColor="text1"/>
          <w:sz w:val="28"/>
          <w:szCs w:val="28"/>
        </w:rPr>
        <w:t>Оцінка впливу на сферу інтересів суб’єктів господарювання.</w:t>
      </w:r>
    </w:p>
    <w:p>
      <w:pPr>
        <w:shd w:val="clear" w:fill="FFFFFF"/>
        <w:spacing w:lineRule="auto" w:line="240" w:after="0" w:beforeAutospacing="0" w:afterAutospacing="0"/>
        <w:ind w:firstLine="709"/>
        <w:contextualSpacing w:val="1"/>
        <w:jc w:val="both"/>
        <w:rPr>
          <w:rFonts w:ascii="Times New Roman" w:hAnsi="Times New Roman"/>
          <w:color w:val="000000" w:themeColor="text1"/>
          <w:sz w:val="28"/>
          <w:szCs w:val="28"/>
        </w:rPr>
      </w:pPr>
      <w:r>
        <w:rPr>
          <w:rFonts w:ascii="Times New Roman" w:hAnsi="Times New Roman"/>
          <w:color w:val="000000" w:themeColor="text1"/>
          <w:sz w:val="28"/>
          <w:szCs w:val="28"/>
        </w:rPr>
        <w:t>Проєкт наказу передбачає внесення змін до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виплату винагороди авторам та особам, які здійснюють їх трансфер, а також до інструкції по їх заповненню.</w:t>
      </w:r>
    </w:p>
    <w:tbl>
      <w:tblPr>
        <w:tblStyle w:val="T2"/>
        <w:tblW w:w="0" w:type="auto"/>
        <w:tblInd w:w="137" w:type="dxa"/>
        <w:tblLook w:val="04A0"/>
      </w:tblPr>
      <w:tblGrid/>
      <w:tr>
        <w:tc>
          <w:tcPr>
            <w:tcW w:w="3686" w:type="dxa"/>
            <w:vAlign w:val="center"/>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Показник</w:t>
            </w:r>
          </w:p>
        </w:tc>
        <w:tc>
          <w:tcPr>
            <w:tcW w:w="1417" w:type="dxa"/>
            <w:vAlign w:val="center"/>
          </w:tcPr>
          <w:p>
            <w:pPr>
              <w:widowControl w:val="0"/>
              <w:shd w:val="clear" w:fill="FFFFFF"/>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Великі та середні</w:t>
            </w:r>
          </w:p>
        </w:tc>
        <w:tc>
          <w:tcPr>
            <w:tcW w:w="1418" w:type="dxa"/>
            <w:vAlign w:val="center"/>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Малі</w:t>
            </w:r>
          </w:p>
        </w:tc>
        <w:tc>
          <w:tcPr>
            <w:tcW w:w="1559" w:type="dxa"/>
            <w:vAlign w:val="center"/>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Мікро</w:t>
            </w:r>
          </w:p>
        </w:tc>
        <w:tc>
          <w:tcPr>
            <w:tcW w:w="1412" w:type="dxa"/>
            <w:vAlign w:val="center"/>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Разом</w:t>
            </w:r>
          </w:p>
        </w:tc>
      </w:tr>
      <w:tr>
        <w:tc>
          <w:tcPr>
            <w:tcW w:w="3686" w:type="dxa"/>
          </w:tcPr>
          <w:p>
            <w:pPr>
              <w:widowControl w:val="0"/>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Кількість суб’єктів господарювання, що підпадають під дію регулювання, одиниць</w:t>
            </w:r>
          </w:p>
        </w:tc>
        <w:tc>
          <w:tcPr>
            <w:tcW w:w="1417" w:type="dxa"/>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769</w:t>
            </w:r>
          </w:p>
        </w:tc>
        <w:tc>
          <w:tcPr>
            <w:tcW w:w="1418" w:type="dxa"/>
          </w:tcPr>
          <w:p>
            <w:pPr>
              <w:widowControl w:val="0"/>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w:t>
            </w:r>
          </w:p>
        </w:tc>
        <w:tc>
          <w:tcPr>
            <w:tcW w:w="1559" w:type="dxa"/>
          </w:tcPr>
          <w:p>
            <w:pPr>
              <w:widowControl w:val="0"/>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w:t>
            </w:r>
          </w:p>
        </w:tc>
        <w:tc>
          <w:tcPr>
            <w:tcW w:w="1412" w:type="dxa"/>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769</w:t>
            </w:r>
          </w:p>
        </w:tc>
      </w:tr>
      <w:tr>
        <w:tc>
          <w:tcPr>
            <w:tcW w:w="3686" w:type="dxa"/>
          </w:tcPr>
          <w:p>
            <w:pPr>
              <w:widowControl w:val="0"/>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Питома вага групи у загальній кількості, відсотків</w:t>
            </w:r>
          </w:p>
        </w:tc>
        <w:tc>
          <w:tcPr>
            <w:tcW w:w="1417" w:type="dxa"/>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100%</w:t>
            </w:r>
          </w:p>
        </w:tc>
        <w:tc>
          <w:tcPr>
            <w:tcW w:w="1418" w:type="dxa"/>
          </w:tcPr>
          <w:p>
            <w:pPr>
              <w:widowControl w:val="0"/>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w:t>
            </w:r>
          </w:p>
        </w:tc>
        <w:tc>
          <w:tcPr>
            <w:tcW w:w="1559" w:type="dxa"/>
          </w:tcPr>
          <w:p>
            <w:pPr>
              <w:widowControl w:val="0"/>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w:t>
            </w:r>
          </w:p>
        </w:tc>
        <w:tc>
          <w:tcPr>
            <w:tcW w:w="1412" w:type="dxa"/>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100%</w:t>
            </w:r>
          </w:p>
        </w:tc>
      </w:tr>
    </w:tbl>
    <w:p>
      <w:pPr>
        <w:widowControl w:val="0"/>
        <w:shd w:val="clear" w:fill="FFFFFF"/>
        <w:spacing w:lineRule="auto" w:line="192" w:after="0" w:beforeAutospacing="0" w:afterAutospacing="0"/>
        <w:ind w:firstLine="709"/>
        <w:jc w:val="both"/>
        <w:rPr>
          <w:rFonts w:ascii="Times New Roman" w:hAnsi="Times New Roman"/>
          <w:color w:val="000000" w:themeColor="text1"/>
          <w:sz w:val="28"/>
          <w:szCs w:val="28"/>
          <w:lang w:eastAsia="ru-RU"/>
        </w:rPr>
      </w:pPr>
    </w:p>
    <w:p>
      <w:pPr>
        <w:widowControl w:val="0"/>
        <w:shd w:val="clear" w:fill="FFFFFF"/>
        <w:spacing w:lineRule="auto" w:line="240" w:after="0" w:beforeAutospacing="0" w:afterAutospacing="0"/>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Регуляторна дія акта поширюється на підприємства, установи та організації (серед яких найчисленнішу групу становлять заклади вищої освіти та наукові установи), що здійснюють наукові дослідження і розробки, в результаті яких створюються технології. За даними Держстату, в Україні упродовж 2020 року науково-дослідні роботи (НДР) виконували </w:t>
      </w:r>
      <w:r>
        <w:rPr>
          <w:rFonts w:ascii="Times New Roman" w:hAnsi="Times New Roman"/>
          <w:b w:val="1"/>
          <w:color w:val="000000" w:themeColor="text1"/>
          <w:sz w:val="28"/>
          <w:szCs w:val="28"/>
          <w:lang w:eastAsia="ru-RU"/>
        </w:rPr>
        <w:t>769</w:t>
      </w:r>
      <w:r>
        <w:rPr>
          <w:rFonts w:ascii="Times New Roman" w:hAnsi="Times New Roman"/>
          <w:color w:val="000000" w:themeColor="text1"/>
          <w:sz w:val="28"/>
          <w:szCs w:val="28"/>
          <w:lang w:eastAsia="ru-RU"/>
        </w:rPr>
        <w:t xml:space="preserve"> організацій, з яких </w:t>
      </w:r>
      <w:bookmarkStart w:id="0" w:name="_Hlk114062624"/>
      <w:r>
        <w:rPr>
          <w:rFonts w:ascii="Times New Roman" w:hAnsi="Times New Roman"/>
          <w:i w:val="1"/>
          <w:color w:val="000000" w:themeColor="text1"/>
          <w:sz w:val="28"/>
          <w:szCs w:val="28"/>
          <w:lang w:eastAsia="ru-RU"/>
        </w:rPr>
        <w:t>54,1 %</w:t>
      </w:r>
      <w:r>
        <w:rPr>
          <w:rFonts w:ascii="Times New Roman" w:hAnsi="Times New Roman"/>
          <w:color w:val="000000" w:themeColor="text1"/>
          <w:sz w:val="28"/>
          <w:szCs w:val="28"/>
          <w:lang w:eastAsia="ru-RU"/>
        </w:rPr>
        <w:t xml:space="preserve"> (416 установ) відносилися до державного сектору економіки (зокрема, наукові інститути НАН України та національних галузевих академій наук України), </w:t>
      </w:r>
      <w:r>
        <w:rPr>
          <w:rFonts w:ascii="Times New Roman" w:hAnsi="Times New Roman"/>
          <w:i w:val="1"/>
          <w:color w:val="000000" w:themeColor="text1"/>
          <w:sz w:val="28"/>
          <w:szCs w:val="28"/>
          <w:lang w:eastAsia="ru-RU"/>
        </w:rPr>
        <w:t xml:space="preserve">25,7% </w:t>
      </w:r>
      <w:r>
        <w:rPr>
          <w:rFonts w:ascii="Times New Roman" w:hAnsi="Times New Roman"/>
          <w:color w:val="000000" w:themeColor="text1"/>
          <w:sz w:val="28"/>
          <w:szCs w:val="28"/>
          <w:lang w:eastAsia="ru-RU"/>
        </w:rPr>
        <w:t xml:space="preserve">(198 суб’єкт господарювання) – суб’єкти підприємницької діяльності, </w:t>
      </w:r>
      <w:r>
        <w:rPr>
          <w:rFonts w:ascii="Times New Roman" w:hAnsi="Times New Roman"/>
          <w:i w:val="1"/>
          <w:color w:val="000000" w:themeColor="text1"/>
          <w:sz w:val="28"/>
          <w:szCs w:val="28"/>
          <w:lang w:eastAsia="ru-RU"/>
        </w:rPr>
        <w:t>20,2%</w:t>
      </w:r>
      <w:r>
        <w:rPr>
          <w:rFonts w:ascii="Times New Roman" w:hAnsi="Times New Roman"/>
          <w:color w:val="000000" w:themeColor="text1"/>
          <w:sz w:val="28"/>
          <w:szCs w:val="28"/>
          <w:lang w:eastAsia="ru-RU"/>
        </w:rPr>
        <w:t xml:space="preserve"> (155 суб’єкти господарювання) – заклади вищої освіти</w:t>
      </w:r>
      <w:bookmarkEnd w:id="0"/>
      <w:r>
        <w:rPr>
          <w:rFonts w:ascii="Times New Roman" w:hAnsi="Times New Roman"/>
          <w:color w:val="000000" w:themeColor="text1"/>
          <w:sz w:val="28"/>
          <w:szCs w:val="28"/>
          <w:lang w:eastAsia="ru-RU"/>
        </w:rPr>
        <w:t>.</w:t>
      </w:r>
    </w:p>
    <w:p>
      <w:pPr>
        <w:widowControl w:val="0"/>
        <w:shd w:val="clear" w:fill="FFFFFF"/>
        <w:spacing w:lineRule="auto" w:line="240" w:after="0" w:beforeAutospacing="0" w:afterAutospacing="0"/>
        <w:jc w:val="both"/>
        <w:rPr>
          <w:rFonts w:ascii="Times New Roman" w:hAnsi="Times New Roman"/>
          <w:color w:val="000000" w:themeColor="text1"/>
          <w:sz w:val="28"/>
          <w:szCs w:val="28"/>
          <w:lang w:eastAsia="ru-RU"/>
        </w:rPr>
      </w:pPr>
    </w:p>
    <w:tbl>
      <w:tblPr>
        <w:tblStyle w:val="T2"/>
        <w:tblW w:w="0" w:type="auto"/>
        <w:tblInd w:w="108" w:type="dxa"/>
        <w:tblLook w:val="04A0"/>
      </w:tblPr>
      <w:tblGrid/>
      <w:tr>
        <w:trPr>
          <w:trHeight w:hRule="atLeast" w:val="330"/>
        </w:trPr>
        <w:tc>
          <w:tcPr>
            <w:tcW w:w="2127" w:type="dxa"/>
            <w:vAlign w:val="center"/>
          </w:tcPr>
          <w:p>
            <w:pPr>
              <w:contextualSpacing w:val="1"/>
              <w:jc w:val="center"/>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Вид альтернативи</w:t>
            </w:r>
          </w:p>
        </w:tc>
        <w:tc>
          <w:tcPr>
            <w:tcW w:w="3543" w:type="dxa"/>
            <w:vAlign w:val="center"/>
          </w:tcPr>
          <w:p>
            <w:pPr>
              <w:widowControl w:val="0"/>
              <w:jc w:val="center"/>
              <w:rPr>
                <w:rFonts w:ascii="Times New Roman" w:hAnsi="Times New Roman"/>
                <w:color w:val="000000" w:themeColor="text1"/>
                <w:sz w:val="28"/>
                <w:szCs w:val="28"/>
                <w:spacing w:val="-3"/>
                <w:lang w:val="uk-UA" w:eastAsia="ru-RU"/>
              </w:rPr>
            </w:pPr>
            <w:r>
              <w:rPr>
                <w:rFonts w:ascii="Times New Roman" w:hAnsi="Times New Roman"/>
                <w:color w:val="000000" w:themeColor="text1"/>
                <w:sz w:val="28"/>
                <w:szCs w:val="28"/>
                <w:lang w:val="uk-UA" w:eastAsia="ru-RU"/>
              </w:rPr>
              <w:t>Вигоди</w:t>
            </w:r>
          </w:p>
        </w:tc>
        <w:tc>
          <w:tcPr>
            <w:tcW w:w="3793" w:type="dxa"/>
            <w:vAlign w:val="center"/>
          </w:tcPr>
          <w:p>
            <w:pPr>
              <w:widowControl w:val="0"/>
              <w:jc w:val="center"/>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Витрати</w:t>
            </w:r>
          </w:p>
        </w:tc>
      </w:tr>
      <w:tr>
        <w:tc>
          <w:tcPr>
            <w:tcW w:w="2127" w:type="dxa"/>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 xml:space="preserve">Альтернатива 1 </w:t>
            </w:r>
          </w:p>
        </w:tc>
        <w:tc>
          <w:tcPr>
            <w:tcW w:w="3543" w:type="dxa"/>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 xml:space="preserve">Відсутні, оскільки чинні форми містять показники щодо напрямів використання коштів, одержаних у результаті трансферу технологій, які втратили актуальність та не дають можливості оцінити фінансування сучасних напрямів для здійснення наукової та інноваційної діяльності закладами вищої освіти та науковими установами, </w:t>
            </w:r>
            <w:r>
              <w:rPr>
                <w:rFonts w:ascii="Times New Roman" w:hAnsi="Times New Roman"/>
                <w:sz w:val="28"/>
                <w:szCs w:val="28"/>
                <w:lang w:val="uk-UA"/>
              </w:rPr>
              <w:t>з огляду на що є ймовірність зниження активності такої діяльності</w:t>
            </w:r>
          </w:p>
        </w:tc>
        <w:tc>
          <w:tcPr>
            <w:tcW w:w="3793" w:type="dxa"/>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Додаткові витрати відсутні</w:t>
            </w:r>
          </w:p>
          <w:p>
            <w:pPr>
              <w:contextualSpacing w:val="1"/>
              <w:jc w:val="both"/>
              <w:rPr>
                <w:rFonts w:ascii="Times New Roman" w:hAnsi="Times New Roman"/>
                <w:color w:val="000000" w:themeColor="text1"/>
                <w:sz w:val="28"/>
                <w:szCs w:val="28"/>
                <w:lang w:val="uk-UA"/>
              </w:rPr>
            </w:pPr>
          </w:p>
        </w:tc>
      </w:tr>
      <w:tr>
        <w:tc>
          <w:tcPr>
            <w:tcW w:w="2127" w:type="dxa"/>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 xml:space="preserve">Альтернатива 2 </w:t>
            </w:r>
          </w:p>
        </w:tc>
        <w:tc>
          <w:tcPr>
            <w:tcW w:w="3543" w:type="dxa"/>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Актуалізація даних щодо напрямів використання коштів, одержаних у результаті трансферу технологій, сприятиме удосконаленню процедури здійснення контролю за напрямами використання коштів, одержаних у результаті трансферу технологій, створених за рахунок коштів державного бюджету, і виплату винагороди авторам таких технологій та особам, які здійснюють їх трансфер, а також сприятиме  процесу здійснення ефективних заходів з формування державної політики у сфері трансферу технологій</w:t>
            </w:r>
          </w:p>
        </w:tc>
        <w:tc>
          <w:tcPr>
            <w:tcW w:w="3793" w:type="dxa"/>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Витрати у великих і середніх суб’єктів господарювання за 1 рік становитимуть – 112 566,22 грн, за 5 років – 562 831,10 грн. Зазначені витрати не стануть додатковим фінансовим навантаженням для закладів вищої освіти і наукових установ, оскільки на сьогодні вони і так здійснюють, шляхом подачі в МОН відповідних щорічних звітів. Проте, витрати часу на заповнення форм зменшаться за рахунок видалення з форм інформації, яка дублюється та зняття вимоги щодо проведення додаткових розрахунків</w:t>
            </w:r>
          </w:p>
        </w:tc>
      </w:tr>
    </w:tbl>
    <w:p>
      <w:pPr>
        <w:widowControl w:val="0"/>
        <w:spacing w:lineRule="auto" w:line="192" w:after="0" w:beforeAutospacing="0" w:afterAutospacing="0"/>
        <w:ind w:firstLine="709"/>
        <w:jc w:val="both"/>
        <w:rPr>
          <w:rFonts w:ascii="Times New Roman" w:hAnsi="Times New Roman"/>
          <w:i w:val="1"/>
          <w:color w:val="000000" w:themeColor="text1"/>
          <w:sz w:val="28"/>
          <w:szCs w:val="28"/>
          <w:lang w:eastAsia="ru-RU"/>
        </w:rPr>
      </w:pPr>
    </w:p>
    <w:p>
      <w:pPr>
        <w:widowControl w:val="0"/>
        <w:spacing w:lineRule="auto" w:line="240" w:after="0" w:beforeAutospacing="0" w:afterAutospacing="0"/>
        <w:ind w:firstLine="709"/>
        <w:jc w:val="both"/>
        <w:rPr>
          <w:rFonts w:ascii="Times New Roman" w:hAnsi="Times New Roman"/>
          <w:color w:val="000000"/>
          <w:sz w:val="28"/>
          <w:szCs w:val="28"/>
        </w:rPr>
      </w:pPr>
    </w:p>
    <w:tbl>
      <w:tblPr>
        <w:tblW w:w="9639"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2410" w:type="dxa"/>
            <w:shd w:val="clear" w:color="auto" w:fill="auto"/>
          </w:tcPr>
          <w:p>
            <w:pPr>
              <w:spacing w:lineRule="auto" w:line="240" w:after="0" w:beforeAutospacing="0" w:afterAutospacing="0"/>
              <w:jc w:val="center"/>
              <w:rPr>
                <w:rFonts w:ascii="Times New Roman" w:hAnsi="Times New Roman"/>
                <w:color w:val="000000"/>
                <w:sz w:val="28"/>
                <w:szCs w:val="28"/>
                <w:lang w:eastAsia="uk-UA"/>
              </w:rPr>
            </w:pPr>
            <w:r>
              <w:rPr>
                <w:rFonts w:ascii="Times New Roman" w:hAnsi="Times New Roman"/>
                <w:color w:val="000000"/>
                <w:sz w:val="28"/>
                <w:szCs w:val="28"/>
                <w:lang w:eastAsia="uk-UA"/>
              </w:rPr>
              <w:t>Сумарні витрати за альтернативами</w:t>
            </w:r>
          </w:p>
        </w:tc>
        <w:tc>
          <w:tcPr>
            <w:tcW w:w="7229" w:type="dxa"/>
            <w:shd w:val="clear" w:color="auto" w:fill="auto"/>
          </w:tcPr>
          <w:p>
            <w:pPr>
              <w:spacing w:lineRule="auto" w:line="240" w:after="0" w:beforeAutospacing="0" w:afterAutospacing="0"/>
              <w:ind w:firstLine="709"/>
              <w:jc w:val="center"/>
              <w:rPr>
                <w:rFonts w:ascii="Times New Roman" w:hAnsi="Times New Roman"/>
                <w:color w:val="000000"/>
                <w:sz w:val="28"/>
                <w:szCs w:val="28"/>
                <w:lang w:eastAsia="uk-UA"/>
              </w:rPr>
            </w:pPr>
            <w:r>
              <w:rPr>
                <w:rFonts w:ascii="Times New Roman" w:hAnsi="Times New Roman"/>
                <w:color w:val="000000"/>
                <w:sz w:val="28"/>
                <w:szCs w:val="28"/>
                <w:lang w:eastAsia="uk-UA"/>
              </w:rPr>
              <w:t>Сума витрат, гривень</w:t>
            </w:r>
          </w:p>
        </w:tc>
      </w:tr>
      <w:tr>
        <w:tc>
          <w:tcPr>
            <w:tcW w:w="2410" w:type="dxa"/>
            <w:shd w:val="clear" w:color="auto" w:fill="auto"/>
          </w:tcPr>
          <w:p>
            <w:pPr>
              <w:spacing w:lineRule="auto" w:line="240" w:after="0" w:beforeAutospacing="0" w:afterAutospacing="0"/>
              <w:rPr>
                <w:rFonts w:ascii="Times New Roman" w:hAnsi="Times New Roman"/>
                <w:color w:val="000000"/>
                <w:sz w:val="28"/>
                <w:szCs w:val="28"/>
                <w:lang w:eastAsia="uk-UA"/>
              </w:rPr>
            </w:pPr>
            <w:r>
              <w:rPr>
                <w:rFonts w:ascii="Times New Roman" w:hAnsi="Times New Roman"/>
                <w:color w:val="000000"/>
                <w:sz w:val="28"/>
                <w:szCs w:val="28"/>
                <w:lang w:eastAsia="uk-UA"/>
              </w:rPr>
              <w:t>Альтернатива 1</w:t>
            </w:r>
          </w:p>
        </w:tc>
        <w:tc>
          <w:tcPr>
            <w:tcW w:w="7229" w:type="dxa"/>
            <w:shd w:val="clear" w:color="auto" w:fill="auto"/>
          </w:tcPr>
          <w:p>
            <w:pPr>
              <w:spacing w:lineRule="auto" w:line="276" w:after="200" w:beforeAutospacing="0" w:afterAutospacing="0"/>
              <w:rPr>
                <w:rFonts w:ascii="Calibri" w:hAnsi="Calibri"/>
                <w:color w:val="000000"/>
              </w:rPr>
            </w:pPr>
            <w:r>
              <w:rPr>
                <w:rFonts w:ascii="Times New Roman" w:hAnsi="Times New Roman"/>
                <w:color w:val="000000"/>
                <w:sz w:val="28"/>
                <w:szCs w:val="28"/>
                <w:lang w:eastAsia="uk-UA"/>
              </w:rPr>
              <w:t>Додаткові витрати відсутні</w:t>
            </w:r>
          </w:p>
        </w:tc>
      </w:tr>
      <w:tr>
        <w:tc>
          <w:tcPr>
            <w:tcW w:w="2410" w:type="dxa"/>
            <w:shd w:val="clear" w:color="auto" w:fill="auto"/>
          </w:tcPr>
          <w:p>
            <w:pPr>
              <w:spacing w:lineRule="auto" w:line="240" w:after="0" w:beforeAutospacing="0" w:afterAutospacing="0"/>
              <w:rPr>
                <w:rFonts w:ascii="Times New Roman" w:hAnsi="Times New Roman"/>
                <w:color w:val="000000"/>
                <w:sz w:val="28"/>
                <w:szCs w:val="28"/>
                <w:lang w:eastAsia="uk-UA"/>
              </w:rPr>
            </w:pPr>
            <w:r>
              <w:rPr>
                <w:rFonts w:ascii="Times New Roman" w:hAnsi="Times New Roman"/>
                <w:color w:val="000000"/>
                <w:sz w:val="28"/>
                <w:szCs w:val="28"/>
                <w:lang w:eastAsia="uk-UA"/>
              </w:rPr>
              <w:t>Альтернатива 2</w:t>
            </w:r>
          </w:p>
        </w:tc>
        <w:tc>
          <w:tcPr>
            <w:tcW w:w="7229" w:type="dxa"/>
            <w:shd w:val="clear" w:color="auto" w:fill="auto"/>
          </w:tcPr>
          <w:p>
            <w:pPr>
              <w:spacing w:lineRule="auto" w:line="276" w:after="200" w:beforeAutospacing="0" w:afterAutospacing="0"/>
              <w:jc w:val="both"/>
              <w:rPr>
                <w:rFonts w:ascii="Calibri" w:hAnsi="Calibri"/>
                <w:color w:val="000000"/>
              </w:rPr>
            </w:pPr>
            <w:r>
              <w:rPr>
                <w:rFonts w:ascii="Times New Roman" w:hAnsi="Times New Roman"/>
                <w:color w:val="000000"/>
                <w:sz w:val="28"/>
                <w:szCs w:val="28"/>
                <w:lang w:eastAsia="uk-UA"/>
              </w:rPr>
              <w:t>Витрати у великих і середніх суб’єктів господарювання за 1 рік становитимуть 112 566,22 грн, за 5 років – 562 831,10 грн</w:t>
            </w:r>
          </w:p>
        </w:tc>
      </w:tr>
    </w:tbl>
    <w:p>
      <w:pPr>
        <w:widowControl w:val="0"/>
        <w:spacing w:lineRule="auto" w:line="192" w:after="0" w:beforeAutospacing="0" w:afterAutospacing="0"/>
        <w:ind w:firstLine="709"/>
        <w:jc w:val="both"/>
        <w:rPr>
          <w:rFonts w:ascii="Times New Roman" w:hAnsi="Times New Roman"/>
          <w:color w:val="000000" w:themeColor="text1"/>
          <w:sz w:val="28"/>
          <w:szCs w:val="28"/>
          <w:lang w:eastAsia="ru-RU"/>
        </w:rPr>
      </w:pPr>
    </w:p>
    <w:p>
      <w:pPr>
        <w:widowControl w:val="0"/>
        <w:shd w:val="clear" w:fill="FFFFFF"/>
        <w:spacing w:lineRule="auto" w:line="240" w:after="0" w:beforeAutospacing="0" w:afterAutospacing="0"/>
        <w:ind w:firstLine="709"/>
        <w:jc w:val="both"/>
        <w:rPr>
          <w:rFonts w:ascii="Times New Roman" w:hAnsi="Times New Roman"/>
          <w:b w:val="1"/>
          <w:color w:val="000000" w:themeColor="text1"/>
          <w:sz w:val="28"/>
          <w:szCs w:val="28"/>
          <w:lang w:eastAsia="ru-RU"/>
        </w:rPr>
      </w:pPr>
      <w:r>
        <w:rPr>
          <w:rFonts w:ascii="Times New Roman" w:hAnsi="Times New Roman"/>
          <w:b w:val="1"/>
          <w:color w:val="000000" w:themeColor="text1"/>
          <w:sz w:val="28"/>
          <w:szCs w:val="28"/>
          <w:lang w:eastAsia="ru-RU"/>
        </w:rPr>
        <w:t>IV. Вибір найбільш оптимального альтернативного способу досягнення цілей</w:t>
      </w:r>
    </w:p>
    <w:p>
      <w:pPr>
        <w:spacing w:lineRule="auto" w:line="240" w:after="0" w:beforeAutospacing="0" w:afterAutospacing="0"/>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Здійснити вибір оптимального альтернативного способу з урахуванням системи бальної оцінки ступеня досягнення визначених цілей.</w:t>
      </w:r>
    </w:p>
    <w:p>
      <w:pPr>
        <w:spacing w:lineRule="auto" w:line="240" w:after="0" w:beforeAutospacing="0" w:afterAutospacing="0"/>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Вартість балів визначається за чотирибальною системою оцінки ступеня досягнення визначених цілей, де:</w:t>
      </w:r>
    </w:p>
    <w:p>
      <w:pPr>
        <w:spacing w:lineRule="auto" w:line="240" w:after="0" w:beforeAutospacing="0" w:afterAutospacing="0"/>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4 – цілі прийняття регуляторного акта, які можуть бути досягнуті повною мірою (проблема більше існувати не буде);</w:t>
      </w:r>
    </w:p>
    <w:p>
      <w:pPr>
        <w:spacing w:lineRule="auto" w:line="240" w:after="0" w:beforeAutospacing="0" w:afterAutospacing="0"/>
        <w:ind w:firstLine="709"/>
        <w:jc w:val="both"/>
        <w:rPr>
          <w:rFonts w:ascii="Times New Roman" w:hAnsi="Times New Roman"/>
          <w:color w:val="000000"/>
          <w:sz w:val="28"/>
          <w:szCs w:val="28"/>
          <w:lang w:eastAsia="uk-UA"/>
        </w:rPr>
      </w:pPr>
      <w:bookmarkStart w:id="1" w:name="n155"/>
      <w:bookmarkEnd w:id="1"/>
      <w:r>
        <w:rPr>
          <w:rFonts w:ascii="Times New Roman" w:hAnsi="Times New Roman"/>
          <w:color w:val="000000"/>
          <w:sz w:val="28"/>
          <w:szCs w:val="28"/>
          <w:lang w:eastAsia="uk-UA"/>
        </w:rPr>
        <w:t>3 – цілі прийняття регуляторного акта, які можуть бути досягнуті майже повною мірою (усі важливі аспекти проблеми існувати не будуть);</w:t>
      </w:r>
    </w:p>
    <w:p>
      <w:pPr>
        <w:spacing w:lineRule="auto" w:line="240" w:after="0" w:beforeAutospacing="0" w:afterAutospacing="0"/>
        <w:ind w:firstLine="709"/>
        <w:jc w:val="both"/>
        <w:rPr>
          <w:rFonts w:ascii="Times New Roman" w:hAnsi="Times New Roman"/>
          <w:color w:val="000000"/>
          <w:sz w:val="28"/>
          <w:szCs w:val="28"/>
          <w:lang w:eastAsia="uk-UA"/>
        </w:rPr>
      </w:pPr>
      <w:bookmarkStart w:id="2" w:name="n156"/>
      <w:bookmarkEnd w:id="2"/>
      <w:r>
        <w:rPr>
          <w:rFonts w:ascii="Times New Roman" w:hAnsi="Times New Roman"/>
          <w:color w:val="000000"/>
          <w:sz w:val="28"/>
          <w:szCs w:val="28"/>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pPr>
        <w:spacing w:lineRule="auto" w:line="240" w:after="0" w:beforeAutospacing="0" w:afterAutospacing="0"/>
        <w:ind w:firstLine="709"/>
        <w:jc w:val="both"/>
        <w:rPr>
          <w:rFonts w:ascii="Times New Roman" w:hAnsi="Times New Roman"/>
          <w:color w:val="000000"/>
          <w:sz w:val="28"/>
          <w:szCs w:val="28"/>
          <w:lang w:eastAsia="uk-UA"/>
        </w:rPr>
      </w:pPr>
      <w:bookmarkStart w:id="3" w:name="n157"/>
      <w:bookmarkEnd w:id="3"/>
      <w:r>
        <w:rPr>
          <w:rFonts w:ascii="Times New Roman" w:hAnsi="Times New Roman"/>
          <w:color w:val="000000"/>
          <w:sz w:val="28"/>
          <w:szCs w:val="28"/>
          <w:lang w:eastAsia="uk-UA"/>
        </w:rPr>
        <w:t>1 – цілі прийняття регуляторного акта, які не можуть бути досягнуті (проблема продовжує існувати).</w:t>
      </w:r>
    </w:p>
    <w:p>
      <w:pPr>
        <w:spacing w:lineRule="auto" w:line="240" w:after="0" w:beforeAutospacing="0" w:afterAutospacing="0"/>
        <w:ind w:firstLine="709"/>
        <w:jc w:val="both"/>
        <w:rPr>
          <w:rFonts w:ascii="Times New Roman" w:hAnsi="Times New Roman"/>
          <w:color w:val="000000"/>
          <w:sz w:val="28"/>
          <w:szCs w:val="28"/>
          <w:lang w:eastAsia="uk-UA"/>
        </w:rPr>
      </w:pPr>
    </w:p>
    <w:tbl>
      <w:tblPr>
        <w:tblStyle w:val="T2"/>
        <w:tblW w:w="0" w:type="auto"/>
        <w:tblInd w:w="108" w:type="dxa"/>
        <w:tblLook w:val="04A0"/>
      </w:tblPr>
      <w:tblGrid/>
      <w:tr>
        <w:tc>
          <w:tcPr>
            <w:tcW w:w="2264" w:type="dxa"/>
            <w:vAlign w:val="center"/>
          </w:tcPr>
          <w:p>
            <w:pPr>
              <w:contextualSpacing w:val="1"/>
              <w:jc w:val="center"/>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Рейтинг результативності (досягнення цілей під час вирішення проблеми)</w:t>
            </w:r>
          </w:p>
        </w:tc>
        <w:tc>
          <w:tcPr>
            <w:tcW w:w="2264" w:type="dxa"/>
            <w:vAlign w:val="center"/>
          </w:tcPr>
          <w:p>
            <w:pPr>
              <w:contextualSpacing w:val="1"/>
              <w:jc w:val="center"/>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Бал результативності (за чотирибальною системою оцінки)</w:t>
            </w:r>
          </w:p>
        </w:tc>
        <w:tc>
          <w:tcPr>
            <w:tcW w:w="4993" w:type="dxa"/>
            <w:vAlign w:val="center"/>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Коментарі щодо присвоєння відповідного балу</w:t>
            </w:r>
          </w:p>
        </w:tc>
      </w:tr>
      <w:tr>
        <w:tc>
          <w:tcPr>
            <w:tcW w:w="2264" w:type="dxa"/>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 xml:space="preserve">Альтернатива 1 </w:t>
            </w:r>
          </w:p>
        </w:tc>
        <w:tc>
          <w:tcPr>
            <w:tcW w:w="2264" w:type="dxa"/>
          </w:tcPr>
          <w:p>
            <w:pPr>
              <w:ind w:firstLine="709"/>
              <w:contextualSpacing w:val="1"/>
              <w:jc w:val="center"/>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1</w:t>
            </w:r>
          </w:p>
        </w:tc>
        <w:tc>
          <w:tcPr>
            <w:tcW w:w="4993" w:type="dxa"/>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Мінімальний бал, який показує неможливість досягнення цілей державного регулювання альтернативним способом</w:t>
            </w:r>
          </w:p>
        </w:tc>
      </w:tr>
      <w:tr>
        <w:trPr>
          <w:trHeight w:hRule="atLeast" w:val="699"/>
        </w:trPr>
        <w:tc>
          <w:tcPr>
            <w:tcW w:w="2264" w:type="dxa"/>
            <w:tcBorders>
              <w:bottom w:val="single" w:sz="4" w:space="0" w:shadow="0" w:frame="0"/>
            </w:tcBorders>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 xml:space="preserve">Альтернатива 2 </w:t>
            </w:r>
          </w:p>
        </w:tc>
        <w:tc>
          <w:tcPr>
            <w:tcW w:w="2264" w:type="dxa"/>
            <w:tcBorders>
              <w:bottom w:val="single" w:sz="4" w:space="0" w:shadow="0" w:frame="0"/>
            </w:tcBorders>
          </w:tcPr>
          <w:p>
            <w:pPr>
              <w:ind w:firstLine="709"/>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4</w:t>
            </w:r>
          </w:p>
        </w:tc>
        <w:tc>
          <w:tcPr>
            <w:tcW w:w="4993" w:type="dxa"/>
            <w:tcBorders>
              <w:bottom w:val="single" w:sz="4" w:space="0" w:shadow="0" w:frame="0"/>
            </w:tcBorders>
          </w:tcPr>
          <w:p>
            <w:pPr>
              <w:contextualSpacing w:val="1"/>
              <w:jc w:val="both"/>
              <w:rPr>
                <w:rFonts w:ascii="Times New Roman" w:hAnsi="Times New Roman"/>
                <w:color w:val="000000" w:themeColor="text1"/>
                <w:sz w:val="28"/>
                <w:szCs w:val="28"/>
                <w:lang w:val="uk-UA"/>
              </w:rPr>
            </w:pPr>
            <w:r>
              <w:rPr>
                <w:rFonts w:ascii="Times New Roman" w:hAnsi="Times New Roman"/>
                <w:color w:val="000000"/>
                <w:sz w:val="28"/>
                <w:szCs w:val="28"/>
                <w:lang w:val="uk-UA" w:eastAsia="uk-UA"/>
              </w:rPr>
              <w:t xml:space="preserve">Максимальний бал. </w:t>
            </w:r>
            <w:r>
              <w:rPr>
                <w:rFonts w:ascii="Times New Roman" w:hAnsi="Times New Roman"/>
                <w:color w:val="000000"/>
                <w:sz w:val="28"/>
                <w:szCs w:val="28"/>
                <w:lang w:val="uk-UA"/>
              </w:rPr>
              <w:t>Запропонований спосіб вирішення зазначеної проблеми є найбільш доцільним, оскільки прийняття запропонованого проєкту дозволить забезпечити взаємоузгодження положень нормативно-правових актів, які регулюють суспільні відносини у зазначеній сфері</w:t>
            </w:r>
          </w:p>
        </w:tc>
      </w:tr>
    </w:tbl>
    <w:p>
      <w:pPr>
        <w:spacing w:lineRule="auto" w:line="192" w:after="0" w:beforeAutospacing="0" w:afterAutospacing="0"/>
        <w:rPr>
          <w:rFonts w:ascii="Times New Roman" w:hAnsi="Times New Roman"/>
          <w:color w:val="000000" w:themeColor="text1"/>
          <w:sz w:val="28"/>
          <w:szCs w:val="28"/>
          <w:lang w:eastAsia="ru-RU"/>
        </w:rPr>
      </w:pPr>
    </w:p>
    <w:tbl>
      <w:tblPr>
        <w:tblStyle w:val="T2"/>
        <w:tblW w:w="0" w:type="auto"/>
        <w:tblInd w:w="108" w:type="dxa"/>
        <w:tblLook w:val="04A0"/>
      </w:tblPr>
      <w:tblGrid/>
      <w:tr>
        <w:trPr>
          <w:trHeight w:hRule="atLeast" w:val="1125"/>
        </w:trPr>
        <w:tc>
          <w:tcPr>
            <w:tcW w:w="2264" w:type="dxa"/>
            <w:tcBorders>
              <w:top w:val="single" w:sz="4" w:space="0" w:shadow="0" w:frame="0"/>
            </w:tcBorders>
            <w:vAlign w:val="center"/>
          </w:tcPr>
          <w:p>
            <w:pPr>
              <w:contextualSpacing w:val="1"/>
              <w:jc w:val="center"/>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Рейтинг результативності</w:t>
            </w:r>
          </w:p>
        </w:tc>
        <w:tc>
          <w:tcPr>
            <w:tcW w:w="2186" w:type="dxa"/>
            <w:tcBorders>
              <w:top w:val="single" w:sz="4" w:space="0" w:shadow="0" w:frame="0"/>
            </w:tcBorders>
            <w:vAlign w:val="center"/>
          </w:tcPr>
          <w:p>
            <w:pPr>
              <w:contextualSpacing w:val="1"/>
              <w:jc w:val="center"/>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Вигоди (підсумок)</w:t>
            </w:r>
          </w:p>
        </w:tc>
        <w:tc>
          <w:tcPr>
            <w:tcW w:w="2186" w:type="dxa"/>
            <w:tcBorders>
              <w:top w:val="single" w:sz="4" w:space="0" w:shadow="0" w:frame="0"/>
            </w:tcBorders>
            <w:vAlign w:val="center"/>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Витрати (підсумок)</w:t>
            </w:r>
          </w:p>
        </w:tc>
        <w:tc>
          <w:tcPr>
            <w:tcW w:w="2885" w:type="dxa"/>
            <w:tcBorders>
              <w:top w:val="single" w:sz="4" w:space="0" w:shadow="0" w:frame="0"/>
            </w:tcBorders>
            <w:vAlign w:val="center"/>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Обґрунтування відповідного місця альтернативи у рейтингу</w:t>
            </w:r>
          </w:p>
        </w:tc>
      </w:tr>
      <w:tr>
        <w:tc>
          <w:tcPr>
            <w:tcW w:w="2264" w:type="dxa"/>
            <w:tcBorders>
              <w:bottom w:val="single" w:sz="4" w:space="0" w:shadow="0" w:frame="0"/>
            </w:tcBorders>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 xml:space="preserve">Альтернатива 1 </w:t>
            </w:r>
          </w:p>
        </w:tc>
        <w:tc>
          <w:tcPr>
            <w:tcW w:w="2186" w:type="dxa"/>
            <w:tcBorders>
              <w:bottom w:val="single" w:sz="4" w:space="0" w:shadow="0" w:frame="0"/>
            </w:tcBorders>
          </w:tcPr>
          <w:p>
            <w:pPr>
              <w:widowControl w:val="0"/>
              <w:jc w:val="both"/>
              <w:rPr>
                <w:rFonts w:ascii="Times New Roman" w:hAnsi="Times New Roman"/>
                <w:color w:val="000000" w:themeColor="text1"/>
                <w:sz w:val="28"/>
                <w:szCs w:val="28"/>
                <w:spacing w:val="-4"/>
                <w:lang w:val="uk-UA" w:eastAsia="ru-RU"/>
              </w:rPr>
            </w:pPr>
            <w:r>
              <w:rPr>
                <w:rFonts w:ascii="Times New Roman" w:hAnsi="Times New Roman"/>
                <w:color w:val="000000" w:themeColor="text1"/>
                <w:sz w:val="28"/>
                <w:szCs w:val="28"/>
                <w:spacing w:val="-4"/>
                <w:lang w:val="uk-UA" w:eastAsia="ru-RU"/>
              </w:rPr>
              <w:t>У разі залишення наявної на сьогодні ситуації без змін, вигоди для держави, громадян та суб’єктів господарювання відсутні</w:t>
            </w:r>
          </w:p>
        </w:tc>
        <w:tc>
          <w:tcPr>
            <w:tcW w:w="2186" w:type="dxa"/>
            <w:tcBorders>
              <w:bottom w:val="single" w:sz="4" w:space="0" w:shadow="0" w:frame="0"/>
            </w:tcBorders>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Додаткові витрати відсутні.</w:t>
            </w:r>
          </w:p>
        </w:tc>
        <w:tc>
          <w:tcPr>
            <w:tcW w:w="2885" w:type="dxa"/>
            <w:tcBorders>
              <w:bottom w:val="single" w:sz="4" w:space="0" w:shadow="0" w:frame="0"/>
            </w:tcBorders>
          </w:tcPr>
          <w:p>
            <w:pPr>
              <w:contextualSpacing w:val="1"/>
              <w:jc w:val="both"/>
              <w:rPr>
                <w:rFonts w:ascii="Times New Roman" w:hAnsi="Times New Roman"/>
                <w:color w:val="000000" w:themeColor="text1"/>
                <w:sz w:val="28"/>
                <w:szCs w:val="28"/>
                <w:spacing w:val="-4"/>
                <w:lang w:val="uk-UA"/>
              </w:rPr>
            </w:pPr>
            <w:r>
              <w:rPr>
                <w:rFonts w:ascii="Times New Roman" w:hAnsi="Times New Roman"/>
                <w:color w:val="000000" w:themeColor="text1"/>
                <w:sz w:val="28"/>
                <w:szCs w:val="28"/>
                <w:spacing w:val="-4"/>
                <w:lang w:val="uk-UA"/>
              </w:rPr>
              <w:t>Залишення ситуації, яка існує на сьогодні, не вирішує проблему та не сприяє виконанню вимог Закону України «Про державне регулювання діяльності у сфері трансферу технологій» на практиці</w:t>
            </w:r>
          </w:p>
        </w:tc>
      </w:tr>
      <w:tr>
        <w:trPr>
          <w:trHeight w:hRule="atLeast" w:val="699"/>
        </w:trPr>
        <w:tc>
          <w:tcPr>
            <w:tcW w:w="2264" w:type="dxa"/>
            <w:tcBorders>
              <w:top w:val="single" w:sz="4" w:space="0" w:shadow="0" w:frame="0"/>
              <w:left w:val="single" w:sz="4" w:space="0" w:shadow="0" w:frame="0"/>
              <w:bottom w:val="single" w:sz="4" w:space="0" w:shadow="0" w:frame="0"/>
              <w:right w:val="single" w:sz="4" w:space="0" w:shadow="0" w:frame="0"/>
            </w:tcBorders>
          </w:tcPr>
          <w:p>
            <w:pPr>
              <w:contextualSpacing w:val="1"/>
              <w:jc w:val="both"/>
              <w:rPr>
                <w:rFonts w:ascii="Times New Roman" w:hAnsi="Times New Roman"/>
                <w:color w:val="000000" w:themeColor="text1"/>
                <w:sz w:val="28"/>
                <w:szCs w:val="28"/>
                <w:spacing w:val="-3"/>
                <w:lang w:val="uk-UA"/>
              </w:rPr>
            </w:pPr>
            <w:r>
              <w:rPr>
                <w:rFonts w:ascii="Times New Roman" w:hAnsi="Times New Roman"/>
                <w:color w:val="000000" w:themeColor="text1"/>
                <w:sz w:val="28"/>
                <w:szCs w:val="28"/>
                <w:lang w:val="uk-UA"/>
              </w:rPr>
              <w:t xml:space="preserve">Альтернатива 2 </w:t>
            </w:r>
          </w:p>
        </w:tc>
        <w:tc>
          <w:tcPr>
            <w:tcW w:w="2186" w:type="dxa"/>
            <w:tcBorders>
              <w:top w:val="single" w:sz="4" w:space="0" w:shadow="0" w:frame="0"/>
              <w:left w:val="single" w:sz="4" w:space="0" w:shadow="0" w:frame="0"/>
              <w:bottom w:val="single" w:sz="4" w:space="0" w:shadow="0" w:frame="0"/>
              <w:right w:val="single" w:sz="4" w:space="0" w:shadow="0" w:frame="0"/>
            </w:tcBorders>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Прийняття акта забезпечить ефективне здійснення діяльності у сфері трансферу технологій та комерціалізації результатів науково-дослідної та інноваційної діяльності</w:t>
            </w:r>
          </w:p>
        </w:tc>
        <w:tc>
          <w:tcPr>
            <w:tcW w:w="2186" w:type="dxa"/>
            <w:tcBorders>
              <w:top w:val="single" w:sz="4" w:space="0" w:shadow="0" w:frame="0"/>
              <w:left w:val="single" w:sz="4" w:space="0" w:shadow="0" w:frame="0"/>
              <w:bottom w:val="single" w:sz="4" w:space="0" w:shadow="0" w:frame="0"/>
              <w:right w:val="single" w:sz="4" w:space="0" w:shadow="0" w:frame="0"/>
            </w:tcBorders>
          </w:tcPr>
          <w:p>
            <w:pPr>
              <w:pStyle w:val="P1"/>
              <w:ind w:left="0"/>
              <w:jc w:val="both"/>
              <w:rPr>
                <w:rFonts w:ascii="Times New Roman" w:hAnsi="Times New Roman"/>
                <w:sz w:val="28"/>
                <w:szCs w:val="28"/>
                <w:lang w:val="uk-UA"/>
              </w:rPr>
            </w:pPr>
            <w:r>
              <w:rPr>
                <w:rFonts w:ascii="Times New Roman" w:hAnsi="Times New Roman"/>
                <w:sz w:val="28"/>
                <w:szCs w:val="28"/>
                <w:lang w:val="uk-UA"/>
              </w:rPr>
              <w:t>Відсутні у держави і громадян.</w:t>
            </w:r>
          </w:p>
          <w:p>
            <w:pPr>
              <w:contextualSpacing w:val="1"/>
              <w:jc w:val="both"/>
              <w:rPr>
                <w:rFonts w:ascii="Times New Roman" w:hAnsi="Times New Roman"/>
                <w:color w:val="000000" w:themeColor="text1"/>
                <w:sz w:val="28"/>
                <w:szCs w:val="28"/>
                <w:lang w:val="uk-UA"/>
              </w:rPr>
            </w:pPr>
            <w:r>
              <w:rPr>
                <w:rFonts w:ascii="Times New Roman" w:hAnsi="Times New Roman"/>
                <w:sz w:val="28"/>
                <w:szCs w:val="28"/>
                <w:lang w:val="uk-UA" w:eastAsia="ru-RU"/>
              </w:rPr>
              <w:t>Витрати у великих і середніх суб’єктів господарювання наведені у відповідній таблиці</w:t>
            </w:r>
          </w:p>
        </w:tc>
        <w:tc>
          <w:tcPr>
            <w:tcW w:w="2885" w:type="dxa"/>
            <w:tcBorders>
              <w:top w:val="single" w:sz="4" w:space="0" w:shadow="0" w:frame="0"/>
              <w:left w:val="single" w:sz="4" w:space="0" w:shadow="0" w:frame="0"/>
              <w:bottom w:val="single" w:sz="4" w:space="0" w:shadow="0" w:frame="0"/>
              <w:right w:val="single" w:sz="4" w:space="0" w:shadow="0" w:frame="0"/>
            </w:tcBorders>
          </w:tcPr>
          <w:p>
            <w:pPr>
              <w:contextualSpacing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Прийняття акта  забезпечить актуалізацію даних стосовно напрямів використання коштів, одержаних у результаті трансферу технологій; забезпечить повноцінний збір інформації щодо виплачених коштів авторам технологій та особам, які здійснюють їх трансфер</w:t>
            </w:r>
          </w:p>
        </w:tc>
      </w:tr>
      <w:tr>
        <w:trPr>
          <w:trHeight w:hRule="atLeast" w:val="546"/>
        </w:trPr>
        <w:tc>
          <w:tcPr>
            <w:tcW w:w="2264" w:type="dxa"/>
            <w:tcBorders>
              <w:top w:val="single" w:sz="4" w:space="0" w:shadow="0" w:frame="0"/>
              <w:left w:val="nil"/>
              <w:bottom w:val="nil"/>
              <w:right w:val="nil"/>
            </w:tcBorders>
          </w:tcPr>
          <w:p>
            <w:pPr>
              <w:spacing w:lineRule="auto" w:line="192" w:beforeAutospacing="0" w:afterAutospacing="0"/>
              <w:contextualSpacing w:val="1"/>
              <w:jc w:val="both"/>
              <w:rPr>
                <w:rFonts w:ascii="Times New Roman" w:hAnsi="Times New Roman"/>
                <w:color w:val="000000" w:themeColor="text1"/>
                <w:sz w:val="28"/>
                <w:szCs w:val="28"/>
                <w:lang w:val="uk-UA"/>
              </w:rPr>
            </w:pPr>
          </w:p>
          <w:p>
            <w:pPr>
              <w:spacing w:lineRule="auto" w:line="192" w:beforeAutospacing="0" w:afterAutospacing="0"/>
              <w:contextualSpacing w:val="1"/>
              <w:jc w:val="both"/>
              <w:rPr>
                <w:rFonts w:ascii="Times New Roman" w:hAnsi="Times New Roman"/>
                <w:color w:val="000000" w:themeColor="text1"/>
                <w:sz w:val="28"/>
                <w:szCs w:val="28"/>
                <w:lang w:val="uk-UA"/>
              </w:rPr>
            </w:pPr>
          </w:p>
        </w:tc>
        <w:tc>
          <w:tcPr>
            <w:tcW w:w="2186" w:type="dxa"/>
            <w:tcBorders>
              <w:top w:val="single" w:sz="4" w:space="0" w:shadow="0" w:frame="0"/>
              <w:left w:val="nil"/>
              <w:bottom w:val="nil"/>
              <w:right w:val="nil"/>
            </w:tcBorders>
          </w:tcPr>
          <w:p>
            <w:pPr>
              <w:spacing w:lineRule="auto" w:line="192" w:beforeAutospacing="0" w:afterAutospacing="0"/>
              <w:contextualSpacing w:val="1"/>
              <w:jc w:val="both"/>
              <w:rPr>
                <w:rFonts w:ascii="Times New Roman" w:hAnsi="Times New Roman"/>
                <w:color w:val="000000" w:themeColor="text1"/>
                <w:sz w:val="28"/>
                <w:szCs w:val="28"/>
                <w:lang w:val="uk-UA"/>
              </w:rPr>
            </w:pPr>
          </w:p>
        </w:tc>
        <w:tc>
          <w:tcPr>
            <w:tcW w:w="2186" w:type="dxa"/>
            <w:tcBorders>
              <w:top w:val="single" w:sz="4" w:space="0" w:shadow="0" w:frame="0"/>
              <w:left w:val="nil"/>
              <w:bottom w:val="nil"/>
              <w:right w:val="nil"/>
            </w:tcBorders>
          </w:tcPr>
          <w:p>
            <w:pPr>
              <w:contextualSpacing w:val="1"/>
              <w:jc w:val="both"/>
              <w:rPr>
                <w:rFonts w:ascii="Times New Roman" w:hAnsi="Times New Roman"/>
                <w:color w:val="000000" w:themeColor="text1"/>
                <w:sz w:val="28"/>
                <w:szCs w:val="28"/>
                <w:lang w:val="uk-UA"/>
              </w:rPr>
            </w:pPr>
          </w:p>
        </w:tc>
        <w:tc>
          <w:tcPr>
            <w:tcW w:w="2885" w:type="dxa"/>
            <w:tcBorders>
              <w:top w:val="single" w:sz="4" w:space="0" w:shadow="0" w:frame="0"/>
              <w:left w:val="nil"/>
              <w:bottom w:val="nil"/>
              <w:right w:val="nil"/>
            </w:tcBorders>
          </w:tcPr>
          <w:p>
            <w:pPr>
              <w:contextualSpacing w:val="1"/>
              <w:jc w:val="both"/>
              <w:rPr>
                <w:rFonts w:ascii="Times New Roman" w:hAnsi="Times New Roman"/>
                <w:color w:val="000000" w:themeColor="text1"/>
                <w:sz w:val="28"/>
                <w:szCs w:val="28"/>
                <w:lang w:val="uk-UA"/>
              </w:rPr>
            </w:pPr>
          </w:p>
        </w:tc>
      </w:tr>
      <w:tr>
        <w:tc>
          <w:tcPr>
            <w:tcW w:w="2264" w:type="dxa"/>
            <w:tcBorders>
              <w:top w:val="single" w:sz="4" w:space="0" w:shadow="0" w:frame="0"/>
              <w:left w:val="single" w:sz="4" w:space="0" w:shadow="0" w:frame="0"/>
              <w:bottom w:val="single" w:sz="4" w:space="0" w:shadow="0" w:frame="0"/>
              <w:right w:val="single" w:sz="4" w:space="0" w:shadow="0" w:frame="0"/>
            </w:tcBorders>
            <w:vAlign w:val="center"/>
          </w:tcPr>
          <w:p>
            <w:pPr>
              <w:widowControl w:val="0"/>
              <w:jc w:val="center"/>
              <w:rPr>
                <w:rFonts w:ascii="Times New Roman" w:hAnsi="Times New Roman"/>
                <w:color w:val="000000" w:themeColor="text1"/>
                <w:sz w:val="28"/>
                <w:szCs w:val="28"/>
                <w:spacing w:val="-3"/>
                <w:lang w:val="uk-UA" w:eastAsia="ru-RU"/>
              </w:rPr>
            </w:pPr>
            <w:r>
              <w:rPr>
                <w:rFonts w:ascii="Times New Roman" w:hAnsi="Times New Roman"/>
                <w:color w:val="000000" w:themeColor="text1"/>
                <w:sz w:val="28"/>
                <w:szCs w:val="28"/>
                <w:lang w:val="uk-UA" w:eastAsia="ru-RU"/>
              </w:rPr>
              <w:t>Рейтинг</w:t>
            </w:r>
          </w:p>
        </w:tc>
        <w:tc>
          <w:tcPr>
            <w:tcW w:w="4372" w:type="dxa"/>
            <w:gridSpan w:val="2"/>
            <w:tcBorders>
              <w:top w:val="single" w:sz="4" w:space="0" w:shadow="0" w:frame="0"/>
              <w:left w:val="single" w:sz="4" w:space="0" w:shadow="0" w:frame="0"/>
              <w:bottom w:val="single" w:sz="4" w:space="0" w:shadow="0" w:frame="0"/>
              <w:right w:val="single" w:sz="4" w:space="0" w:shadow="0" w:frame="0"/>
            </w:tcBorders>
            <w:vAlign w:val="center"/>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Аргументи щодо переваги обраної альтернативи/причини відмови від альтернативи</w:t>
            </w:r>
          </w:p>
        </w:tc>
        <w:tc>
          <w:tcPr>
            <w:tcW w:w="2885" w:type="dxa"/>
            <w:tcBorders>
              <w:top w:val="single" w:sz="4" w:space="0" w:shadow="0" w:frame="0"/>
              <w:left w:val="single" w:sz="4" w:space="0" w:shadow="0" w:frame="0"/>
              <w:bottom w:val="single" w:sz="4" w:space="0" w:shadow="0" w:frame="0"/>
              <w:right w:val="single" w:sz="4" w:space="0" w:shadow="0" w:frame="0"/>
            </w:tcBorders>
            <w:vAlign w:val="center"/>
          </w:tcPr>
          <w:p>
            <w:pPr>
              <w:contextualSpacing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Оцінка ризику зовнішніх чинників на дію запропонованого регуляторного акта</w:t>
            </w:r>
          </w:p>
        </w:tc>
      </w:tr>
      <w:tr>
        <w:tc>
          <w:tcPr>
            <w:tcW w:w="2264" w:type="dxa"/>
            <w:tcBorders>
              <w:top w:val="single" w:sz="4" w:space="0" w:shadow="0" w:frame="0"/>
            </w:tcBorders>
          </w:tcPr>
          <w:p>
            <w:pPr>
              <w:widowControl w:val="0"/>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Альтернатива 1</w:t>
            </w:r>
          </w:p>
        </w:tc>
        <w:tc>
          <w:tcPr>
            <w:tcW w:w="4372" w:type="dxa"/>
            <w:gridSpan w:val="2"/>
            <w:tcBorders>
              <w:top w:val="single" w:sz="4" w:space="0" w:shadow="0" w:frame="0"/>
            </w:tcBorders>
          </w:tcPr>
          <w:p>
            <w:pPr>
              <w:widowControl w:val="0"/>
              <w:jc w:val="both"/>
              <w:rPr>
                <w:rFonts w:ascii="Times New Roman" w:hAnsi="Times New Roman"/>
                <w:color w:val="000000" w:themeColor="text1"/>
                <w:sz w:val="28"/>
                <w:szCs w:val="28"/>
                <w:lang w:val="uk-UA" w:eastAsia="ru-RU"/>
              </w:rPr>
            </w:pPr>
            <w:r>
              <w:rPr>
                <w:rFonts w:ascii="Times New Roman" w:hAnsi="Times New Roman"/>
                <w:color w:val="000000"/>
                <w:sz w:val="28"/>
                <w:szCs w:val="28"/>
                <w:lang w:val="uk-UA" w:eastAsia="uk-UA"/>
              </w:rPr>
              <w:t>Залишення наявної на сьогодні ситуації без змін не забезпечить досягнення цілей</w:t>
            </w:r>
          </w:p>
        </w:tc>
        <w:tc>
          <w:tcPr>
            <w:tcW w:w="2885" w:type="dxa"/>
            <w:tcBorders>
              <w:top w:val="single" w:sz="4" w:space="0" w:shadow="0" w:frame="0"/>
            </w:tcBorders>
          </w:tcPr>
          <w:p>
            <w:pPr>
              <w:widowControl w:val="0"/>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Вплив зовнішніх факторів на дію регуляторного акта не очікується</w:t>
            </w:r>
          </w:p>
        </w:tc>
      </w:tr>
      <w:tr>
        <w:trPr>
          <w:trHeight w:hRule="atLeast" w:val="1645"/>
        </w:trPr>
        <w:tc>
          <w:tcPr>
            <w:tcW w:w="2264" w:type="dxa"/>
          </w:tcPr>
          <w:p>
            <w:pPr>
              <w:widowControl w:val="0"/>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Альтернатива 2</w:t>
            </w:r>
          </w:p>
        </w:tc>
        <w:tc>
          <w:tcPr>
            <w:tcW w:w="4372" w:type="dxa"/>
            <w:gridSpan w:val="2"/>
          </w:tcPr>
          <w:p>
            <w:pPr>
              <w:widowControl w:val="0"/>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Прийняття акта забезпечить у повному обсязі досягнення задекларованих цілей та є єдиним необхідним і достатнім способом вирішення проблеми</w:t>
            </w:r>
          </w:p>
        </w:tc>
        <w:tc>
          <w:tcPr>
            <w:tcW w:w="2885" w:type="dxa"/>
          </w:tcPr>
          <w:p>
            <w:pPr>
              <w:widowControl w:val="0"/>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Вплив зовнішніх факторів на дію регуляторного акта не очікується</w:t>
            </w:r>
          </w:p>
        </w:tc>
      </w:tr>
    </w:tbl>
    <w:p>
      <w:pPr>
        <w:spacing w:lineRule="auto" w:line="240" w:before="120" w:after="0" w:beforeAutospacing="0" w:afterAutospacing="0"/>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w:t>
      </w:r>
    </w:p>
    <w:p>
      <w:pPr>
        <w:spacing w:lineRule="auto" w:line="240" w:after="0" w:beforeAutospacing="0" w:afterAutospacing="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Негативних наслідків від прийняття регуляторного акта не очікується.</w:t>
      </w:r>
    </w:p>
    <w:p>
      <w:pPr>
        <w:widowControl w:val="0"/>
        <w:shd w:val="clear" w:fill="FFFFFF"/>
        <w:spacing w:lineRule="auto" w:line="240" w:after="0" w:beforeAutospacing="0" w:afterAutospacing="0"/>
        <w:jc w:val="both"/>
        <w:rPr>
          <w:rFonts w:ascii="Times New Roman" w:hAnsi="Times New Roman"/>
          <w:b w:val="1"/>
          <w:color w:val="000000" w:themeColor="text1"/>
          <w:sz w:val="28"/>
          <w:szCs w:val="28"/>
          <w:lang w:eastAsia="ru-RU"/>
        </w:rPr>
      </w:pPr>
    </w:p>
    <w:p>
      <w:pPr>
        <w:widowControl w:val="0"/>
        <w:shd w:val="clear" w:fill="FFFFFF"/>
        <w:spacing w:lineRule="auto" w:line="240" w:after="0" w:beforeAutospacing="0" w:afterAutospacing="0"/>
        <w:ind w:firstLine="709"/>
        <w:jc w:val="both"/>
        <w:rPr>
          <w:rFonts w:ascii="Times New Roman" w:hAnsi="Times New Roman"/>
          <w:b w:val="1"/>
          <w:color w:val="000000" w:themeColor="text1"/>
          <w:sz w:val="28"/>
          <w:szCs w:val="28"/>
          <w:spacing w:val="-6"/>
          <w:lang w:eastAsia="ru-RU"/>
        </w:rPr>
      </w:pPr>
      <w:r>
        <w:rPr>
          <w:rFonts w:ascii="Times New Roman" w:hAnsi="Times New Roman"/>
          <w:b w:val="1"/>
          <w:color w:val="000000" w:themeColor="text1"/>
          <w:sz w:val="28"/>
          <w:szCs w:val="28"/>
          <w:lang w:eastAsia="ru-RU"/>
        </w:rPr>
        <w:t xml:space="preserve">V. </w:t>
      </w:r>
      <w:r>
        <w:rPr>
          <w:rFonts w:ascii="Times New Roman" w:hAnsi="Times New Roman"/>
          <w:b w:val="1"/>
          <w:color w:val="000000" w:themeColor="text1"/>
          <w:sz w:val="28"/>
          <w:szCs w:val="28"/>
          <w:spacing w:val="-6"/>
          <w:lang w:eastAsia="ru-RU"/>
        </w:rPr>
        <w:t>Механізми та заходи, які забезпечать розв’язання визначеної проблеми</w:t>
      </w:r>
    </w:p>
    <w:p>
      <w:pPr>
        <w:spacing w:lineRule="auto" w:line="240" w:after="0" w:beforeAutospacing="0" w:afterAutospacing="0"/>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Для вирішення проблем, визначених у розділі першому, та досягнення цілей, визначених у розділі другому цього аналізу регуляторного впливу, проєктом акта передбачено механізм розв’язання проблеми шляхом внесення змін до наказу МОН від 13 березня 2014 року № 221, яким затверджено</w:t>
      </w:r>
      <w:r>
        <w:rPr>
          <w:rFonts w:ascii="Times New Roman" w:hAnsi="Times New Roman"/>
          <w:color w:val="000000"/>
          <w:sz w:val="28"/>
          <w:szCs w:val="28"/>
        </w:rPr>
        <w:t xml:space="preserve"> форми подання звітної інформації та інструкція щодо їх заповнення.</w:t>
      </w:r>
    </w:p>
    <w:p>
      <w:pPr>
        <w:spacing w:lineRule="auto" w:line="240" w:after="0" w:beforeAutospacing="0" w:afterAutospacing="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lang w:eastAsia="uk-UA"/>
        </w:rPr>
        <w:t xml:space="preserve">Суб’єкти моніторингу </w:t>
      </w:r>
      <w:r>
        <w:rPr>
          <w:rFonts w:ascii="Times New Roman" w:hAnsi="Times New Roman"/>
          <w:color w:val="000000"/>
          <w:sz w:val="28"/>
          <w:szCs w:val="28"/>
          <w:shd w:val="clear" w:color="auto" w:fill="FFFFFF"/>
        </w:rPr>
        <w:t>мають керуватися відповідною інструкцією.</w:t>
      </w:r>
    </w:p>
    <w:p>
      <w:pPr>
        <w:spacing w:lineRule="auto" w:line="192" w:after="0" w:beforeAutospacing="0" w:afterAutospacing="0"/>
        <w:contextualSpacing w:val="1"/>
        <w:jc w:val="both"/>
        <w:rPr>
          <w:rFonts w:ascii="Times New Roman" w:hAnsi="Times New Roman"/>
          <w:color w:val="000000" w:themeColor="text1"/>
          <w:sz w:val="28"/>
          <w:szCs w:val="28"/>
        </w:rPr>
      </w:pPr>
    </w:p>
    <w:p>
      <w:pPr>
        <w:widowControl w:val="0"/>
        <w:spacing w:lineRule="auto" w:line="240" w:after="0" w:beforeAutospacing="0" w:afterAutospacing="0"/>
        <w:ind w:firstLine="709"/>
        <w:jc w:val="both"/>
        <w:rPr>
          <w:rFonts w:ascii="Times New Roman" w:hAnsi="Times New Roman"/>
          <w:b w:val="1"/>
          <w:color w:val="000000" w:themeColor="text1"/>
          <w:sz w:val="28"/>
          <w:szCs w:val="28"/>
          <w:lang w:eastAsia="ru-RU"/>
        </w:rPr>
      </w:pPr>
      <w:r>
        <w:rPr>
          <w:rFonts w:ascii="Times New Roman" w:hAnsi="Times New Roman"/>
          <w:b w:val="1"/>
          <w:color w:val="000000" w:themeColor="text1"/>
          <w:sz w:val="28"/>
          <w:szCs w:val="28"/>
          <w:lang w:eastAsia="ru-RU"/>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pPr>
        <w:widowControl w:val="0"/>
        <w:spacing w:lineRule="auto" w:line="240" w:after="0" w:beforeAutospacing="0" w:afterAutospacing="0"/>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Реалізація проєкту акта не передбачає додаткових фінансових витрат з коштів державного бюджету. </w:t>
      </w:r>
    </w:p>
    <w:p>
      <w:pPr>
        <w:widowControl w:val="0"/>
        <w:spacing w:lineRule="auto" w:line="240" w:after="0" w:beforeAutospacing="0" w:afterAutospacing="0"/>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Прийняття наказу надасть можливість забезпечити всі сфери інтересів, зокрема таких груп, як громадяни України, іноземці, суб’єкти господарювання, інтереси держави.</w:t>
      </w:r>
    </w:p>
    <w:p>
      <w:pPr>
        <w:widowControl w:val="0"/>
        <w:spacing w:lineRule="auto" w:line="240" w:after="0" w:beforeAutospacing="0" w:afterAutospacing="0"/>
        <w:ind w:firstLine="709"/>
        <w:jc w:val="both"/>
        <w:rPr>
          <w:rFonts w:ascii="Times New Roman" w:hAnsi="Times New Roman"/>
          <w:color w:val="000000" w:themeColor="text1"/>
          <w:sz w:val="28"/>
          <w:szCs w:val="28"/>
          <w:spacing w:val="-4"/>
          <w:lang w:eastAsia="ru-RU"/>
        </w:rPr>
      </w:pPr>
    </w:p>
    <w:p>
      <w:pPr>
        <w:widowControl w:val="0"/>
        <w:spacing w:lineRule="auto" w:line="240" w:after="0" w:beforeAutospacing="0" w:afterAutospacing="0"/>
        <w:ind w:firstLine="709"/>
        <w:jc w:val="both"/>
        <w:rPr>
          <w:rFonts w:ascii="Times New Roman" w:hAnsi="Times New Roman"/>
          <w:b w:val="1"/>
          <w:color w:val="000000" w:themeColor="text1"/>
          <w:sz w:val="28"/>
          <w:szCs w:val="28"/>
          <w:lang w:eastAsia="ru-RU"/>
        </w:rPr>
      </w:pPr>
      <w:r>
        <w:rPr>
          <w:rFonts w:ascii="Times New Roman" w:hAnsi="Times New Roman"/>
          <w:b w:val="1"/>
          <w:color w:val="000000" w:themeColor="text1"/>
          <w:sz w:val="28"/>
          <w:szCs w:val="28"/>
          <w:lang w:eastAsia="ru-RU"/>
        </w:rPr>
        <w:t>VII. Обґрунтування запропонованого строку дії регуляторного акта</w:t>
      </w:r>
    </w:p>
    <w:p>
      <w:pPr>
        <w:pStyle w:val="P6"/>
        <w:tabs>
          <w:tab w:val="left" w:pos="0" w:leader="none"/>
        </w:tabs>
        <w:spacing w:lineRule="auto" w:line="240" w:before="0" w:beforeAutospacing="0" w:afterAutospacing="0"/>
        <w:ind w:firstLine="709" w:right="0"/>
        <w:jc w:val="both"/>
        <w:rPr>
          <w:color w:val="000000"/>
          <w:sz w:val="28"/>
          <w:szCs w:val="28"/>
        </w:rPr>
      </w:pPr>
      <w:r>
        <w:rPr>
          <w:color w:val="000000"/>
          <w:sz w:val="28"/>
          <w:szCs w:val="28"/>
        </w:rPr>
        <w:t>Строк дії регуляторного акта не обмежується у часі, що дасть змогу досягти цілей державного регулювання.</w:t>
      </w:r>
    </w:p>
    <w:p>
      <w:pPr>
        <w:pStyle w:val="P6"/>
        <w:tabs>
          <w:tab w:val="left" w:pos="0" w:leader="none"/>
        </w:tabs>
        <w:spacing w:lineRule="auto" w:line="240" w:before="0" w:beforeAutospacing="0" w:afterAutospacing="0"/>
        <w:ind w:firstLine="709" w:right="0"/>
        <w:jc w:val="both"/>
        <w:rPr>
          <w:color w:val="000000"/>
          <w:sz w:val="28"/>
          <w:szCs w:val="28"/>
        </w:rPr>
      </w:pPr>
      <w:r>
        <w:rPr>
          <w:color w:val="000000"/>
          <w:sz w:val="28"/>
          <w:szCs w:val="28"/>
        </w:rPr>
        <w:t>Проєкт регуляторного акта набирає чинності з дня його офіційного опублікування.</w:t>
      </w:r>
    </w:p>
    <w:p>
      <w:pPr>
        <w:widowControl w:val="0"/>
        <w:spacing w:lineRule="auto" w:line="192" w:after="0" w:beforeAutospacing="0" w:afterAutospacing="0"/>
        <w:ind w:firstLine="709"/>
        <w:jc w:val="both"/>
        <w:rPr>
          <w:rFonts w:ascii="Times New Roman" w:hAnsi="Times New Roman"/>
          <w:color w:val="000000" w:themeColor="text1"/>
          <w:sz w:val="28"/>
          <w:szCs w:val="28"/>
          <w:lang w:eastAsia="ru-RU"/>
        </w:rPr>
      </w:pPr>
    </w:p>
    <w:p>
      <w:pPr>
        <w:widowControl w:val="0"/>
        <w:spacing w:lineRule="auto" w:line="240" w:after="0" w:beforeAutospacing="0" w:afterAutospacing="0"/>
        <w:ind w:firstLine="709"/>
        <w:jc w:val="both"/>
        <w:rPr>
          <w:rFonts w:ascii="Times New Roman" w:hAnsi="Times New Roman"/>
          <w:b w:val="1"/>
          <w:color w:val="000000" w:themeColor="text1"/>
          <w:sz w:val="28"/>
          <w:szCs w:val="28"/>
          <w:lang w:eastAsia="ru-RU"/>
        </w:rPr>
      </w:pPr>
      <w:r>
        <w:rPr>
          <w:rFonts w:ascii="Times New Roman" w:hAnsi="Times New Roman"/>
          <w:b w:val="1"/>
          <w:color w:val="000000" w:themeColor="text1"/>
          <w:sz w:val="28"/>
          <w:szCs w:val="28"/>
          <w:lang w:eastAsia="ru-RU"/>
        </w:rPr>
        <w:t>VIII. Визначення показників результативності дії регуляторного акта</w:t>
      </w:r>
    </w:p>
    <w:p>
      <w:pPr>
        <w:pStyle w:val="P6"/>
        <w:tabs>
          <w:tab w:val="left" w:pos="0" w:leader="none"/>
        </w:tabs>
        <w:spacing w:lineRule="auto" w:line="240" w:before="0" w:beforeAutospacing="0" w:afterAutospacing="0"/>
        <w:ind w:firstLine="709" w:right="0"/>
        <w:jc w:val="both"/>
        <w:rPr>
          <w:color w:val="000000"/>
          <w:sz w:val="28"/>
          <w:szCs w:val="28"/>
        </w:rPr>
      </w:pPr>
      <w:bookmarkStart w:id="4" w:name="n36"/>
      <w:bookmarkEnd w:id="4"/>
      <w:r>
        <w:rPr>
          <w:color w:val="000000"/>
          <w:sz w:val="28"/>
          <w:szCs w:val="28"/>
        </w:rPr>
        <w:t xml:space="preserve">Прогнозні значення показників результативності регуляторного акта встановлюються після набрання чинності проєктом регуляторного акта. Ефективність та доцільність впровадженого регулювання визначають показники результативності: </w:t>
      </w:r>
    </w:p>
    <w:p>
      <w:pPr>
        <w:numPr>
          <w:ilvl w:val="0"/>
          <w:numId w:val="5"/>
        </w:numPr>
        <w:tabs>
          <w:tab w:val="left" w:pos="1134" w:leader="none"/>
        </w:tabs>
        <w:spacing w:lineRule="auto" w:line="240" w:after="0" w:beforeAutospacing="0" w:afterAutospacing="0"/>
        <w:ind w:firstLine="709" w:left="0"/>
        <w:jc w:val="both"/>
        <w:rPr>
          <w:rFonts w:ascii="Times New Roman" w:hAnsi="Times New Roman"/>
          <w:color w:val="000000"/>
          <w:sz w:val="28"/>
          <w:szCs w:val="28"/>
          <w:lang w:eastAsia="uk-UA"/>
        </w:rPr>
      </w:pPr>
      <w:r>
        <w:rPr>
          <w:rFonts w:ascii="Times New Roman" w:hAnsi="Times New Roman"/>
          <w:color w:val="000000"/>
          <w:sz w:val="28"/>
          <w:szCs w:val="28"/>
          <w:lang w:eastAsia="uk-UA"/>
        </w:rPr>
        <w:t>кількість суб’єктів господарювання, на яких поширюватиметься дія акта;</w:t>
      </w:r>
    </w:p>
    <w:p>
      <w:pPr>
        <w:numPr>
          <w:ilvl w:val="0"/>
          <w:numId w:val="5"/>
        </w:numPr>
        <w:tabs>
          <w:tab w:val="left" w:pos="1134" w:leader="none"/>
        </w:tabs>
        <w:spacing w:lineRule="auto" w:line="240" w:after="0" w:beforeAutospacing="0" w:afterAutospacing="0"/>
        <w:ind w:firstLine="709" w:left="0"/>
        <w:jc w:val="both"/>
        <w:rPr>
          <w:rFonts w:ascii="Times New Roman" w:hAnsi="Times New Roman"/>
          <w:color w:val="000000"/>
          <w:sz w:val="28"/>
          <w:szCs w:val="28"/>
          <w:lang w:eastAsia="uk-UA"/>
        </w:rPr>
      </w:pPr>
      <w:r>
        <w:rPr>
          <w:rFonts w:ascii="Times New Roman" w:hAnsi="Times New Roman"/>
          <w:color w:val="000000"/>
          <w:sz w:val="28"/>
          <w:szCs w:val="28"/>
          <w:lang w:eastAsia="uk-UA"/>
        </w:rPr>
        <w:t>додаткові надходження до державного та місцевих бюджетів у зв’язку з прийняттям проєкту регуляторного акта не передбачаються;</w:t>
      </w:r>
    </w:p>
    <w:p>
      <w:pPr>
        <w:numPr>
          <w:ilvl w:val="0"/>
          <w:numId w:val="5"/>
        </w:numPr>
        <w:tabs>
          <w:tab w:val="left" w:pos="1134" w:leader="none"/>
        </w:tabs>
        <w:spacing w:lineRule="auto" w:line="240" w:after="0" w:beforeAutospacing="0" w:afterAutospacing="0"/>
        <w:ind w:firstLine="709" w:left="0"/>
        <w:jc w:val="both"/>
        <w:rPr>
          <w:rFonts w:ascii="Times New Roman" w:hAnsi="Times New Roman"/>
          <w:color w:val="000000"/>
          <w:sz w:val="28"/>
          <w:szCs w:val="28"/>
          <w:lang w:eastAsia="uk-UA"/>
        </w:rPr>
      </w:pPr>
      <w:r>
        <w:rPr>
          <w:rFonts w:ascii="Times New Roman" w:hAnsi="Times New Roman"/>
          <w:color w:val="000000"/>
          <w:sz w:val="28"/>
          <w:szCs w:val="28"/>
          <w:lang w:eastAsia="uk-UA"/>
        </w:rPr>
        <w:t>розмір коштів і час, що витрачається суб'єктами господарювання, пов'язаними з виконанням вимог акта;</w:t>
      </w:r>
    </w:p>
    <w:p>
      <w:pPr>
        <w:numPr>
          <w:ilvl w:val="0"/>
          <w:numId w:val="5"/>
        </w:numPr>
        <w:tabs>
          <w:tab w:val="left" w:pos="1134" w:leader="none"/>
        </w:tabs>
        <w:spacing w:lineRule="auto" w:line="240" w:after="0" w:beforeAutospacing="0" w:afterAutospacing="0"/>
        <w:ind w:firstLine="709" w:left="0"/>
        <w:jc w:val="both"/>
        <w:rPr>
          <w:rFonts w:ascii="Times New Roman" w:hAnsi="Times New Roman"/>
          <w:color w:val="000000"/>
          <w:sz w:val="28"/>
          <w:szCs w:val="28"/>
          <w:lang w:eastAsia="uk-UA"/>
        </w:rPr>
      </w:pPr>
      <w:r>
        <w:rPr>
          <w:rFonts w:ascii="Times New Roman" w:hAnsi="Times New Roman"/>
          <w:color w:val="000000"/>
          <w:sz w:val="28"/>
          <w:szCs w:val="28"/>
          <w:lang w:eastAsia="uk-UA"/>
        </w:rPr>
        <w:t>рівень поінформованості суб’єктів господарювання та/або фізичних осіб з основних положень акта;</w:t>
      </w:r>
    </w:p>
    <w:p>
      <w:pPr>
        <w:numPr>
          <w:ilvl w:val="0"/>
          <w:numId w:val="5"/>
        </w:numPr>
        <w:tabs>
          <w:tab w:val="left" w:pos="1134" w:leader="none"/>
        </w:tabs>
        <w:spacing w:lineRule="auto" w:line="240" w:after="0" w:beforeAutospacing="0" w:afterAutospacing="0"/>
        <w:ind w:firstLine="709" w:left="0"/>
        <w:jc w:val="both"/>
        <w:rPr>
          <w:rFonts w:ascii="Times New Roman" w:hAnsi="Times New Roman"/>
          <w:color w:val="000000"/>
          <w:sz w:val="28"/>
          <w:szCs w:val="28"/>
          <w:lang w:eastAsia="uk-UA"/>
        </w:rPr>
      </w:pPr>
      <w:r>
        <w:rPr>
          <w:rFonts w:ascii="Times New Roman" w:hAnsi="Times New Roman"/>
          <w:color w:val="000000"/>
          <w:sz w:val="28"/>
          <w:szCs w:val="28"/>
          <w:lang w:eastAsia="uk-UA"/>
        </w:rPr>
        <w:t>кількість укладених договорів про передачу технологій;</w:t>
      </w:r>
    </w:p>
    <w:p>
      <w:pPr>
        <w:numPr>
          <w:ilvl w:val="0"/>
          <w:numId w:val="5"/>
        </w:numPr>
        <w:tabs>
          <w:tab w:val="left" w:pos="1134" w:leader="none"/>
        </w:tabs>
        <w:spacing w:lineRule="auto" w:line="240" w:after="0" w:beforeAutospacing="0" w:afterAutospacing="0"/>
        <w:ind w:firstLine="709" w:left="0"/>
        <w:jc w:val="both"/>
        <w:rPr>
          <w:rFonts w:ascii="Times New Roman" w:hAnsi="Times New Roman"/>
          <w:color w:val="000000"/>
          <w:sz w:val="28"/>
          <w:szCs w:val="28"/>
          <w:lang w:eastAsia="uk-UA"/>
        </w:rPr>
      </w:pPr>
      <w:r>
        <w:rPr>
          <w:rFonts w:ascii="Times New Roman" w:hAnsi="Times New Roman"/>
          <w:color w:val="000000"/>
          <w:sz w:val="28"/>
          <w:szCs w:val="28"/>
          <w:lang w:eastAsia="uk-UA"/>
        </w:rPr>
        <w:t>доходи за договорами про передачу технологій;</w:t>
      </w:r>
    </w:p>
    <w:p>
      <w:pPr>
        <w:numPr>
          <w:ilvl w:val="0"/>
          <w:numId w:val="5"/>
        </w:numPr>
        <w:tabs>
          <w:tab w:val="left" w:pos="1134" w:leader="none"/>
        </w:tabs>
        <w:spacing w:lineRule="auto" w:line="240" w:after="0" w:beforeAutospacing="0" w:afterAutospacing="0"/>
        <w:ind w:firstLine="709" w:left="0"/>
        <w:jc w:val="both"/>
        <w:rPr>
          <w:rFonts w:ascii="Times New Roman" w:hAnsi="Times New Roman"/>
          <w:color w:val="000000"/>
          <w:sz w:val="28"/>
          <w:szCs w:val="28"/>
          <w:lang w:eastAsia="uk-UA"/>
        </w:rPr>
      </w:pPr>
      <w:r>
        <w:rPr>
          <w:rFonts w:ascii="Times New Roman" w:hAnsi="Times New Roman"/>
          <w:color w:val="000000"/>
          <w:sz w:val="28"/>
          <w:szCs w:val="28"/>
          <w:lang w:eastAsia="uk-UA"/>
        </w:rPr>
        <w:t>видатки на матеріальне заохочення авторів технологій та осіб, які здійснюють їх трансфер.</w:t>
      </w:r>
    </w:p>
    <w:p>
      <w:pPr>
        <w:spacing w:lineRule="auto" w:line="240" w:after="0" w:beforeAutospacing="0" w:afterAutospacing="0"/>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Реалізація акта не потребує додаткових матеріальних та інших витрат з боку суб’єктів господарювання. </w:t>
      </w:r>
    </w:p>
    <w:p>
      <w:pPr>
        <w:spacing w:lineRule="auto" w:line="240" w:after="0" w:beforeAutospacing="0" w:afterAutospacing="0"/>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З метою забезпечення високого рівня поінформованості суб’єктів господарювання щодо основних положень цього акта Міністерством освіти і науки України забезпечено оприлюднення його у встановленому законодавством порядку на офіційному вебсайті МОН (</w:t>
      </w:r>
      <w:hyperlink xmlns:r="http://schemas.openxmlformats.org/officeDocument/2006/relationships" r:id="R2">
        <w:r>
          <w:rPr>
            <w:rStyle w:val="C2"/>
            <w:rFonts w:ascii="Times New Roman" w:hAnsi="Times New Roman"/>
            <w:sz w:val="28"/>
            <w:szCs w:val="28"/>
            <w:lang w:eastAsia="uk-UA"/>
          </w:rPr>
          <w:t>www.mon.gov.ua</w:t>
        </w:r>
      </w:hyperlink>
      <w:r>
        <w:rPr>
          <w:rFonts w:ascii="Times New Roman" w:hAnsi="Times New Roman"/>
          <w:color w:val="000000"/>
          <w:sz w:val="28"/>
          <w:szCs w:val="28"/>
          <w:lang w:eastAsia="uk-UA"/>
        </w:rPr>
        <w:t>).</w:t>
      </w:r>
    </w:p>
    <w:p>
      <w:pPr>
        <w:spacing w:lineRule="auto" w:line="240" w:after="0" w:beforeAutospacing="0" w:afterAutospacing="0"/>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Наказ буде доведено до відома закладів вищої освіти та наукових установ, які належать до сфери управління МОН, національних академій наук – для інформування наукових установ, які перебувають в їх підпорядкуванні, міністерств – для забезпечення інформування закладів вищої освіти та наукових установ, які знаходяться в сфері їх управління.</w:t>
      </w:r>
    </w:p>
    <w:p>
      <w:pPr>
        <w:widowControl w:val="0"/>
        <w:spacing w:lineRule="auto" w:line="192" w:after="0" w:beforeAutospacing="0" w:afterAutospacing="0"/>
        <w:jc w:val="both"/>
        <w:rPr>
          <w:rFonts w:ascii="Times New Roman" w:hAnsi="Times New Roman"/>
          <w:color w:val="000000" w:themeColor="text1"/>
          <w:sz w:val="28"/>
          <w:szCs w:val="28"/>
          <w:lang w:eastAsia="ru-RU"/>
        </w:rPr>
      </w:pPr>
    </w:p>
    <w:p>
      <w:pPr>
        <w:widowControl w:val="0"/>
        <w:spacing w:lineRule="auto" w:line="240" w:after="0" w:beforeAutospacing="0" w:afterAutospacing="0"/>
        <w:ind w:firstLine="709"/>
        <w:jc w:val="both"/>
        <w:rPr>
          <w:rFonts w:ascii="Times New Roman" w:hAnsi="Times New Roman"/>
          <w:b w:val="1"/>
          <w:color w:val="000000" w:themeColor="text1"/>
          <w:sz w:val="28"/>
          <w:szCs w:val="28"/>
          <w:lang w:eastAsia="ru-RU"/>
        </w:rPr>
      </w:pPr>
      <w:r>
        <w:rPr>
          <w:rFonts w:ascii="Times New Roman" w:hAnsi="Times New Roman"/>
          <w:b w:val="1"/>
          <w:color w:val="000000" w:themeColor="text1"/>
          <w:sz w:val="28"/>
          <w:szCs w:val="28"/>
          <w:lang w:eastAsia="ru-RU"/>
        </w:rPr>
        <w:t xml:space="preserve">IX. Визначення заходів, за допомогою яких здійснюватиметься відстеження результативності дії регуляторного акта </w:t>
      </w:r>
    </w:p>
    <w:p>
      <w:pPr>
        <w:widowControl w:val="0"/>
        <w:spacing w:lineRule="auto" w:line="240" w:after="0" w:beforeAutospacing="0" w:afterAutospacing="0"/>
        <w:ind w:firstLine="709"/>
        <w:jc w:val="both"/>
        <w:rPr>
          <w:rFonts w:ascii="Times New Roman" w:hAnsi="Times New Roman"/>
          <w:b w:val="1"/>
          <w:color w:val="000000" w:themeColor="text1"/>
          <w:sz w:val="28"/>
          <w:szCs w:val="28"/>
          <w:lang w:eastAsia="ru-RU"/>
        </w:rPr>
      </w:pPr>
      <w:r>
        <w:rPr>
          <w:rFonts w:ascii="Times New Roman" w:hAnsi="Times New Roman"/>
          <w:color w:val="000000" w:themeColor="text1"/>
          <w:sz w:val="28"/>
          <w:szCs w:val="28"/>
          <w:lang w:eastAsia="ru-RU"/>
        </w:rPr>
        <w:t>Відстеження результативності дії регуляторного акта буде проводиться за допомогою заходів, спрямованих на оцінку стану впровадження регуляторного акта, шляхом аналізу звітів про проведення загальнодержавного моніторингу.</w:t>
      </w:r>
    </w:p>
    <w:p>
      <w:pPr>
        <w:widowControl w:val="0"/>
        <w:spacing w:lineRule="auto" w:line="240" w:after="0" w:beforeAutospacing="0" w:afterAutospacing="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Базове відстеження результативності регуляторного акта буде здійснюватися до кінця календарного року з моменту набрання ним чинності.</w:t>
      </w:r>
    </w:p>
    <w:p>
      <w:pPr>
        <w:widowControl w:val="0"/>
        <w:spacing w:lineRule="auto" w:line="240" w:after="0" w:beforeAutospacing="0" w:afterAutospacing="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 xml:space="preserve">Через рік після набрання чинності регуляторним актом планується здійснити повторне відстеження його результативності, в результаті якого відбудеться порівняння показників базового та повторного відстеження. </w:t>
      </w:r>
    </w:p>
    <w:p>
      <w:pPr>
        <w:widowControl w:val="0"/>
        <w:spacing w:lineRule="auto" w:line="240" w:after="0" w:beforeAutospacing="0" w:afterAutospacing="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Періодичне відстеження результативності регуляторного акта здійснюватиметься раз на три роки, починаючи з дня виконання заходів з повторного відстеження, з метою оцінки ступеня досягнення актом визначених цілей.</w:t>
      </w:r>
    </w:p>
    <w:p>
      <w:pPr>
        <w:widowControl w:val="0"/>
        <w:spacing w:lineRule="auto" w:line="240" w:after="0" w:beforeAutospacing="0" w:afterAutospacing="0"/>
        <w:ind w:firstLine="709"/>
        <w:jc w:val="both"/>
        <w:rPr>
          <w:rFonts w:ascii="Times New Roman" w:hAnsi="Times New Roman"/>
          <w:color w:val="000000" w:themeColor="text1"/>
          <w:sz w:val="28"/>
          <w:szCs w:val="28"/>
        </w:rPr>
      </w:pPr>
      <w:bookmarkStart w:id="5" w:name="n175"/>
      <w:bookmarkEnd w:id="5"/>
      <w:r>
        <w:rPr>
          <w:rFonts w:ascii="Times New Roman" w:hAnsi="Times New Roman"/>
          <w:color w:val="000000" w:themeColor="text1"/>
          <w:sz w:val="28"/>
          <w:szCs w:val="28"/>
          <w:lang w:eastAsia="ru-RU"/>
        </w:rPr>
        <w:t>Метод проведення відстеження результативності – статистичний.</w:t>
      </w:r>
    </w:p>
    <w:p>
      <w:pPr>
        <w:widowControl w:val="0"/>
        <w:spacing w:lineRule="auto" w:line="240" w:after="0" w:beforeAutospacing="0" w:afterAutospacing="0"/>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Вид даних, за допомогою яких здійснюватиметься відстеження результативності – статистичні.</w:t>
      </w:r>
    </w:p>
    <w:p>
      <w:pPr>
        <w:widowControl w:val="0"/>
        <w:spacing w:lineRule="auto" w:line="240" w:after="0" w:beforeAutospacing="0" w:afterAutospacing="0"/>
        <w:ind w:firstLine="709"/>
        <w:jc w:val="both"/>
        <w:rPr>
          <w:rFonts w:ascii="Times New Roman" w:hAnsi="Times New Roman"/>
          <w:color w:val="000000" w:themeColor="text1"/>
          <w:sz w:val="28"/>
          <w:szCs w:val="28"/>
          <w:shd w:val="clear" w:color="auto" w:fill="FFFFFF"/>
          <w:lang w:eastAsia="ru-RU"/>
        </w:rPr>
      </w:pPr>
      <w:r>
        <w:rPr>
          <w:rFonts w:ascii="Times New Roman" w:hAnsi="Times New Roman"/>
          <w:color w:val="000000" w:themeColor="text1"/>
          <w:sz w:val="28"/>
          <w:szCs w:val="28"/>
          <w:shd w:val="clear" w:color="auto" w:fill="FFFFFF"/>
          <w:lang w:eastAsia="ru-RU"/>
        </w:rPr>
        <w:t>Відповідні відстеження будуть проводитися МОН шляхом аналізу статистичних даних,</w:t>
      </w:r>
      <w:r>
        <w:rPr>
          <w:rFonts w:ascii="Times New Roman" w:hAnsi="Times New Roman"/>
          <w:color w:val="000000" w:themeColor="text1"/>
          <w:sz w:val="28"/>
          <w:szCs w:val="28"/>
          <w:lang w:eastAsia="ru-RU"/>
        </w:rPr>
        <w:t xml:space="preserve"> наданих Державною службою статистики та головними розпорядниками бюджетних коштів.</w:t>
      </w:r>
    </w:p>
    <w:p>
      <w:pPr>
        <w:widowControl w:val="0"/>
        <w:spacing w:lineRule="auto" w:line="240" w:after="0" w:beforeAutospacing="0" w:afterAutospacing="0"/>
        <w:jc w:val="both"/>
        <w:rPr>
          <w:rFonts w:ascii="Times New Roman" w:hAnsi="Times New Roman"/>
          <w:color w:val="000000" w:themeColor="text1"/>
          <w:sz w:val="28"/>
          <w:szCs w:val="28"/>
          <w:shd w:val="clear" w:color="auto" w:fill="FFFFFF"/>
          <w:lang w:eastAsia="ru-RU"/>
        </w:rPr>
      </w:pPr>
    </w:p>
    <w:p>
      <w:pPr>
        <w:widowControl w:val="0"/>
        <w:spacing w:lineRule="auto" w:line="240" w:after="0" w:beforeAutospacing="0" w:afterAutospacing="0"/>
        <w:jc w:val="both"/>
        <w:rPr>
          <w:rFonts w:ascii="Times New Roman" w:hAnsi="Times New Roman"/>
          <w:color w:val="000000" w:themeColor="text1"/>
          <w:sz w:val="28"/>
          <w:szCs w:val="28"/>
          <w:lang w:eastAsia="ru-RU"/>
        </w:rPr>
      </w:pPr>
    </w:p>
    <w:p>
      <w:pPr>
        <w:widowControl w:val="0"/>
        <w:spacing w:lineRule="auto" w:line="240" w:after="0" w:beforeAutospacing="0" w:afterAutospacing="0"/>
        <w:jc w:val="both"/>
        <w:rPr>
          <w:rFonts w:ascii="Times New Roman" w:hAnsi="Times New Roman"/>
          <w:color w:val="000000" w:themeColor="text1"/>
          <w:sz w:val="28"/>
          <w:szCs w:val="28"/>
          <w:lang w:eastAsia="ru-RU"/>
        </w:rPr>
      </w:pPr>
    </w:p>
    <w:p>
      <w:pPr>
        <w:widowControl w:val="0"/>
        <w:tabs>
          <w:tab w:val="left" w:pos="6804" w:leader="none"/>
        </w:tabs>
        <w:spacing w:lineRule="auto" w:line="240" w:after="0" w:beforeAutospacing="0" w:afterAutospacing="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Міністр освіти і науки України</w:t>
        <w:tab/>
        <w:t>Сергій ШКАРЛЕТ</w:t>
      </w:r>
    </w:p>
    <w:p>
      <w:pPr>
        <w:widowControl w:val="0"/>
        <w:spacing w:lineRule="auto" w:line="240" w:after="0" w:beforeAutospacing="0" w:afterAutospacing="0"/>
        <w:jc w:val="both"/>
        <w:rPr>
          <w:rFonts w:ascii="Times New Roman" w:hAnsi="Times New Roman"/>
          <w:color w:val="000000" w:themeColor="text1"/>
          <w:sz w:val="28"/>
          <w:szCs w:val="28"/>
          <w:lang w:eastAsia="ru-RU"/>
        </w:rPr>
      </w:pPr>
    </w:p>
    <w:p>
      <w:pPr>
        <w:widowControl w:val="0"/>
        <w:spacing w:lineRule="auto" w:line="240" w:after="0" w:beforeAutospacing="0" w:afterAutospacing="0"/>
        <w:jc w:val="both"/>
        <w:rPr>
          <w:rFonts w:ascii="Times New Roman" w:hAnsi="Times New Roman"/>
          <w:color w:val="000000" w:themeColor="text1"/>
          <w:sz w:val="28"/>
          <w:szCs w:val="28"/>
          <w:lang w:eastAsia="ru-RU"/>
        </w:rPr>
      </w:pPr>
    </w:p>
    <w:p>
      <w:pPr>
        <w:widowControl w:val="0"/>
        <w:spacing w:lineRule="auto" w:line="240" w:after="0" w:beforeAutospacing="0" w:afterAutospacing="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«__» ___________ 2022 року</w:t>
      </w:r>
    </w:p>
    <w:p>
      <w:pPr>
        <w:widowControl w:val="0"/>
        <w:spacing w:lineRule="auto" w:line="240" w:after="0" w:beforeAutospacing="0" w:afterAutospacing="0"/>
        <w:jc w:val="both"/>
        <w:rPr>
          <w:rFonts w:ascii="Times New Roman" w:hAnsi="Times New Roman"/>
          <w:color w:val="000000" w:themeColor="text1"/>
          <w:sz w:val="28"/>
          <w:szCs w:val="28"/>
          <w:lang w:eastAsia="ru-RU"/>
        </w:rPr>
      </w:pPr>
    </w:p>
    <w:p>
      <w:pPr>
        <w:widowControl w:val="0"/>
        <w:spacing w:lineRule="auto" w:line="240" w:after="0" w:beforeAutospacing="0" w:afterAutospacing="0"/>
        <w:jc w:val="both"/>
        <w:rPr>
          <w:rFonts w:ascii="Times New Roman" w:hAnsi="Times New Roman"/>
          <w:color w:val="000000" w:themeColor="text1"/>
          <w:sz w:val="28"/>
          <w:szCs w:val="28"/>
          <w:lang w:eastAsia="ru-RU"/>
        </w:rPr>
        <w:sectPr>
          <w:headerReference xmlns:r="http://schemas.openxmlformats.org/officeDocument/2006/relationships" w:type="default" r:id="RelHdr1"/>
          <w:footnotePr/>
          <w:endnotePr/>
          <w:type w:val="nextPage"/>
          <w:pgSz w:w="11906" w:h="16838" w:code="0"/>
          <w:pgMar w:left="1701" w:right="851" w:top="1134" w:bottom="1134" w:header="709" w:footer="709" w:gutter="0"/>
          <w:titlePg w:val="1"/>
        </w:sectPr>
      </w:pPr>
    </w:p>
    <w:p>
      <w:pPr>
        <w:widowControl w:val="0"/>
        <w:spacing w:lineRule="auto" w:line="240" w:after="0" w:beforeAutospacing="0" w:afterAutospacing="0"/>
        <w:ind w:firstLine="5529"/>
        <w:rPr>
          <w:rFonts w:ascii="Times New Roman" w:hAnsi="Times New Roman"/>
          <w:sz w:val="24"/>
          <w:szCs w:val="24"/>
          <w:lang w:eastAsia="ru-RU"/>
        </w:rPr>
      </w:pPr>
      <w:r>
        <w:rPr>
          <w:rFonts w:ascii="Times New Roman" w:hAnsi="Times New Roman"/>
          <w:sz w:val="24"/>
          <w:szCs w:val="24"/>
          <w:lang w:eastAsia="ru-RU"/>
        </w:rPr>
        <w:t xml:space="preserve">Додаток 2 </w:t>
      </w:r>
    </w:p>
    <w:p>
      <w:pPr>
        <w:widowControl w:val="0"/>
        <w:shd w:val="clear" w:fill="FFFFFF"/>
        <w:spacing w:lineRule="auto" w:line="240" w:after="0" w:beforeAutospacing="0" w:afterAutospacing="0"/>
        <w:ind w:firstLine="5529"/>
        <w:rPr>
          <w:rFonts w:ascii="Times New Roman" w:hAnsi="Times New Roman"/>
          <w:bCs w:val="1"/>
          <w:color w:val="000000"/>
          <w:sz w:val="24"/>
          <w:szCs w:val="24"/>
          <w:lang w:eastAsia="ru-RU"/>
        </w:rPr>
      </w:pPr>
      <w:r>
        <w:rPr>
          <w:rFonts w:ascii="Times New Roman" w:hAnsi="Times New Roman"/>
          <w:bCs w:val="1"/>
          <w:color w:val="000000"/>
          <w:sz w:val="24"/>
          <w:szCs w:val="24"/>
          <w:lang w:eastAsia="ru-RU"/>
        </w:rPr>
        <w:t>до аналізу регуляторного впливу</w:t>
      </w:r>
    </w:p>
    <w:p>
      <w:pPr>
        <w:spacing w:lineRule="auto" w:line="240" w:after="0" w:beforeAutospacing="0" w:afterAutospacing="0"/>
        <w:jc w:val="center"/>
        <w:rPr>
          <w:rFonts w:ascii="Times New Roman" w:hAnsi="Times New Roman"/>
          <w:b w:val="1"/>
          <w:sz w:val="28"/>
          <w:szCs w:val="28"/>
          <w:lang w:eastAsia="uk-UA"/>
        </w:rPr>
      </w:pPr>
    </w:p>
    <w:p>
      <w:pPr>
        <w:spacing w:lineRule="auto" w:line="240" w:after="0" w:beforeAutospacing="0" w:afterAutospacing="0"/>
        <w:jc w:val="center"/>
        <w:rPr>
          <w:rFonts w:ascii="Times New Roman" w:hAnsi="Times New Roman"/>
          <w:bCs w:val="1"/>
          <w:sz w:val="24"/>
          <w:szCs w:val="24"/>
          <w:lang w:eastAsia="uk-UA"/>
        </w:rPr>
      </w:pPr>
      <w:r>
        <w:rPr>
          <w:rFonts w:ascii="Times New Roman" w:hAnsi="Times New Roman"/>
          <w:bCs w:val="1"/>
          <w:sz w:val="24"/>
          <w:szCs w:val="24"/>
          <w:lang w:eastAsia="uk-UA"/>
        </w:rPr>
        <w:t xml:space="preserve">ВИТРАТИ </w:t>
        <w:br w:type="textWrapping"/>
        <w:t>на одного суб’єкта господарювання великого і середнього підприємництва, які виникають внаслідок дії регуляторного акта</w:t>
      </w:r>
    </w:p>
    <w:tbl>
      <w:tblPr>
        <w:tblW w:w="5000" w:type="pc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15" w:type="dxa"/>
          <w:left w:w="15" w:type="dxa"/>
          <w:bottom w:w="15" w:type="dxa"/>
          <w:right w:w="15" w:type="dxa"/>
        </w:tblCellMar>
        <w:tblLook w:val="0000"/>
      </w:tblPr>
      <w:tblGrid/>
      <w:tr>
        <w:tc>
          <w:tcPr>
            <w:tcW w:w="765" w:type="pct"/>
            <w:vAlign w:val="center"/>
          </w:tcPr>
          <w:p>
            <w:pPr>
              <w:spacing w:lineRule="auto" w:line="240" w:before="100" w:after="100" w:beforeAutospacing="1" w:afterAutospacing="1"/>
              <w:jc w:val="center"/>
              <w:rPr>
                <w:rFonts w:ascii="Times New Roman" w:hAnsi="Times New Roman"/>
                <w:sz w:val="24"/>
                <w:szCs w:val="24"/>
                <w:lang w:eastAsia="uk-UA"/>
              </w:rPr>
            </w:pPr>
            <w:bookmarkStart w:id="6" w:name="n178"/>
            <w:bookmarkEnd w:id="6"/>
            <w:r>
              <w:rPr>
                <w:rFonts w:ascii="Times New Roman" w:hAnsi="Times New Roman"/>
                <w:sz w:val="24"/>
                <w:szCs w:val="24"/>
                <w:lang w:eastAsia="uk-UA"/>
              </w:rPr>
              <w:t>Порядковий номер</w:t>
            </w:r>
          </w:p>
        </w:tc>
        <w:tc>
          <w:tcPr>
            <w:tcW w:w="3010" w:type="pct"/>
            <w:vAlign w:val="center"/>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Витрати</w:t>
            </w:r>
          </w:p>
        </w:tc>
        <w:tc>
          <w:tcPr>
            <w:tcW w:w="612" w:type="pct"/>
            <w:vAlign w:val="center"/>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За перший рік</w:t>
            </w:r>
          </w:p>
        </w:tc>
        <w:tc>
          <w:tcPr>
            <w:tcW w:w="612" w:type="pct"/>
            <w:vAlign w:val="center"/>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За п’ять років</w:t>
            </w:r>
          </w:p>
        </w:tc>
      </w:tr>
      <w:tr>
        <w:tc>
          <w:tcPr>
            <w:tcW w:w="765"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1</w:t>
            </w:r>
          </w:p>
        </w:tc>
        <w:tc>
          <w:tcPr>
            <w:tcW w:w="3010" w:type="pct"/>
          </w:tcPr>
          <w:p>
            <w:pPr>
              <w:spacing w:lineRule="auto" w:line="240" w:before="100" w:after="100" w:beforeAutospacing="1" w:afterAutospacing="1"/>
              <w:rPr>
                <w:rFonts w:ascii="Times New Roman" w:hAnsi="Times New Roman"/>
                <w:sz w:val="24"/>
                <w:szCs w:val="24"/>
                <w:lang w:eastAsia="uk-UA"/>
              </w:rPr>
            </w:pPr>
            <w:r>
              <w:rPr>
                <w:rFonts w:ascii="Times New Roman" w:hAnsi="Times New Roman"/>
                <w:sz w:val="24"/>
                <w:szCs w:val="24"/>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tc>
      </w:tr>
      <w:tr>
        <w:tc>
          <w:tcPr>
            <w:tcW w:w="765"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2</w:t>
            </w:r>
          </w:p>
        </w:tc>
        <w:tc>
          <w:tcPr>
            <w:tcW w:w="3010" w:type="pct"/>
          </w:tcPr>
          <w:p>
            <w:pPr>
              <w:spacing w:lineRule="auto" w:line="240" w:before="100" w:after="100" w:beforeAutospacing="1" w:afterAutospacing="1"/>
              <w:rPr>
                <w:rFonts w:ascii="Times New Roman" w:hAnsi="Times New Roman"/>
                <w:sz w:val="24"/>
                <w:szCs w:val="24"/>
                <w:lang w:eastAsia="uk-UA"/>
              </w:rPr>
            </w:pPr>
            <w:r>
              <w:rPr>
                <w:rFonts w:ascii="Times New Roman" w:hAnsi="Times New Roman"/>
                <w:sz w:val="24"/>
                <w:szCs w:val="24"/>
                <w:lang w:eastAsia="uk-UA"/>
              </w:rPr>
              <w:t>Податки та збори (зміна розміру податків/зборів, виникнення необхідності у сплаті податків/зборів), гривень</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tc>
      </w:tr>
      <w:tr>
        <w:tc>
          <w:tcPr>
            <w:tcW w:w="765"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3</w:t>
            </w:r>
          </w:p>
        </w:tc>
        <w:tc>
          <w:tcPr>
            <w:tcW w:w="3010" w:type="pct"/>
          </w:tcPr>
          <w:p>
            <w:pPr>
              <w:spacing w:lineRule="auto" w:line="240" w:before="100" w:after="100" w:beforeAutospacing="1" w:afterAutospacing="1"/>
              <w:rPr>
                <w:rFonts w:ascii="Times New Roman" w:hAnsi="Times New Roman"/>
                <w:sz w:val="24"/>
                <w:szCs w:val="24"/>
                <w:lang w:eastAsia="uk-UA"/>
              </w:rPr>
            </w:pPr>
            <w:r>
              <w:rPr>
                <w:rFonts w:ascii="Times New Roman" w:hAnsi="Times New Roman"/>
                <w:sz w:val="24"/>
                <w:szCs w:val="24"/>
                <w:lang w:eastAsia="uk-UA"/>
              </w:rPr>
              <w:t>Витрати, пов’язані із веденням обліку, підготовкою та поданням звітності державним органам, гривень</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121,38 грн</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606,90 грн</w:t>
            </w:r>
          </w:p>
        </w:tc>
      </w:tr>
      <w:tr>
        <w:tc>
          <w:tcPr>
            <w:tcW w:w="765"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4</w:t>
            </w:r>
          </w:p>
        </w:tc>
        <w:tc>
          <w:tcPr>
            <w:tcW w:w="3010" w:type="pct"/>
          </w:tcPr>
          <w:p>
            <w:pPr>
              <w:spacing w:lineRule="auto" w:line="240" w:before="100" w:after="100" w:beforeAutospacing="1" w:afterAutospacing="1"/>
              <w:rPr>
                <w:rFonts w:ascii="Times New Roman" w:hAnsi="Times New Roman"/>
                <w:sz w:val="24"/>
                <w:szCs w:val="24"/>
                <w:lang w:eastAsia="uk-UA"/>
              </w:rPr>
            </w:pPr>
            <w:r>
              <w:rPr>
                <w:rFonts w:ascii="Times New Roman" w:hAnsi="Times New Roman"/>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tc>
      </w:tr>
      <w:tr>
        <w:tc>
          <w:tcPr>
            <w:tcW w:w="765"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5</w:t>
            </w:r>
          </w:p>
        </w:tc>
        <w:tc>
          <w:tcPr>
            <w:tcW w:w="3010" w:type="pct"/>
          </w:tcPr>
          <w:p>
            <w:pPr>
              <w:spacing w:lineRule="auto" w:line="240" w:before="100" w:after="100" w:beforeAutospacing="1" w:afterAutospacing="1"/>
              <w:rPr>
                <w:rFonts w:ascii="Times New Roman" w:hAnsi="Times New Roman"/>
                <w:sz w:val="24"/>
                <w:szCs w:val="24"/>
                <w:lang w:eastAsia="uk-UA"/>
              </w:rPr>
            </w:pPr>
            <w:r>
              <w:rPr>
                <w:rFonts w:ascii="Times New Roman" w:hAnsi="Times New Roman"/>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p>
            <w:pPr>
              <w:spacing w:lineRule="auto" w:line="240" w:after="0" w:beforeAutospacing="0" w:afterAutospacing="0"/>
              <w:jc w:val="center"/>
              <w:rPr>
                <w:rFonts w:ascii="Times New Roman" w:hAnsi="Times New Roman"/>
                <w:sz w:val="24"/>
                <w:szCs w:val="24"/>
                <w:lang w:eastAsia="ru-RU"/>
              </w:rPr>
            </w:pP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p>
            <w:pPr>
              <w:spacing w:lineRule="auto" w:line="240" w:after="0" w:beforeAutospacing="0" w:afterAutospacing="0"/>
              <w:jc w:val="center"/>
              <w:rPr>
                <w:rFonts w:ascii="Times New Roman" w:hAnsi="Times New Roman"/>
                <w:sz w:val="24"/>
                <w:szCs w:val="24"/>
                <w:lang w:eastAsia="ru-RU"/>
              </w:rPr>
            </w:pPr>
          </w:p>
        </w:tc>
      </w:tr>
      <w:tr>
        <w:tc>
          <w:tcPr>
            <w:tcW w:w="765"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6</w:t>
            </w:r>
          </w:p>
        </w:tc>
        <w:tc>
          <w:tcPr>
            <w:tcW w:w="3010" w:type="pct"/>
          </w:tcPr>
          <w:p>
            <w:pPr>
              <w:spacing w:lineRule="auto" w:line="240" w:before="100" w:after="100" w:beforeAutospacing="1" w:afterAutospacing="1"/>
              <w:rPr>
                <w:rFonts w:ascii="Times New Roman" w:hAnsi="Times New Roman"/>
                <w:sz w:val="24"/>
                <w:szCs w:val="24"/>
                <w:lang w:eastAsia="uk-UA"/>
              </w:rPr>
            </w:pPr>
            <w:r>
              <w:rPr>
                <w:rFonts w:ascii="Times New Roman" w:hAnsi="Times New Roman"/>
                <w:sz w:val="24"/>
                <w:szCs w:val="24"/>
                <w:lang w:eastAsia="uk-UA"/>
              </w:rPr>
              <w:t>Витрати на оборотні активи (матеріали, канцелярські товари тощо), гривень</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25 грн</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125 грн</w:t>
            </w:r>
          </w:p>
        </w:tc>
      </w:tr>
      <w:tr>
        <w:tc>
          <w:tcPr>
            <w:tcW w:w="765"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7</w:t>
            </w:r>
          </w:p>
        </w:tc>
        <w:tc>
          <w:tcPr>
            <w:tcW w:w="3010" w:type="pct"/>
          </w:tcPr>
          <w:p>
            <w:pPr>
              <w:spacing w:lineRule="auto" w:line="240" w:before="100" w:after="100" w:beforeAutospacing="1" w:afterAutospacing="1"/>
              <w:rPr>
                <w:rFonts w:ascii="Times New Roman" w:hAnsi="Times New Roman"/>
                <w:sz w:val="24"/>
                <w:szCs w:val="24"/>
                <w:lang w:eastAsia="uk-UA"/>
              </w:rPr>
            </w:pPr>
            <w:r>
              <w:rPr>
                <w:rFonts w:ascii="Times New Roman" w:hAnsi="Times New Roman"/>
                <w:sz w:val="24"/>
                <w:szCs w:val="24"/>
                <w:lang w:eastAsia="uk-UA"/>
              </w:rPr>
              <w:t>Витрати, пов’язані із наймом додаткового персоналу, гривень</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tc>
      </w:tr>
      <w:tr>
        <w:tc>
          <w:tcPr>
            <w:tcW w:w="765"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8</w:t>
            </w:r>
          </w:p>
        </w:tc>
        <w:tc>
          <w:tcPr>
            <w:tcW w:w="3010" w:type="pct"/>
          </w:tcPr>
          <w:p>
            <w:pPr>
              <w:spacing w:lineRule="auto" w:line="240" w:before="100" w:after="100" w:beforeAutospacing="1" w:afterAutospacing="1"/>
              <w:rPr>
                <w:rFonts w:ascii="Times New Roman" w:hAnsi="Times New Roman"/>
                <w:sz w:val="24"/>
                <w:szCs w:val="24"/>
                <w:lang w:eastAsia="uk-UA"/>
              </w:rPr>
            </w:pPr>
            <w:r>
              <w:rPr>
                <w:rFonts w:ascii="Times New Roman" w:hAnsi="Times New Roman"/>
                <w:sz w:val="24"/>
                <w:szCs w:val="24"/>
                <w:lang w:eastAsia="uk-UA"/>
              </w:rPr>
              <w:t>Інше (уточнити), гривень</w:t>
            </w:r>
          </w:p>
        </w:tc>
        <w:tc>
          <w:tcPr>
            <w:tcW w:w="612" w:type="pct"/>
          </w:tcPr>
          <w:p>
            <w:pPr>
              <w:spacing w:lineRule="auto" w:line="240" w:after="0" w:beforeAutospacing="0" w:afterAutospacing="0"/>
              <w:jc w:val="center"/>
              <w:rPr>
                <w:rFonts w:ascii="Times New Roman" w:hAnsi="Times New Roman"/>
                <w:sz w:val="24"/>
                <w:szCs w:val="24"/>
                <w:lang w:eastAsia="ru-RU"/>
              </w:rPr>
            </w:pPr>
          </w:p>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tc>
        <w:tc>
          <w:tcPr>
            <w:tcW w:w="612" w:type="pct"/>
          </w:tcPr>
          <w:p>
            <w:pPr>
              <w:spacing w:lineRule="auto" w:line="240" w:after="0" w:beforeAutospacing="0" w:afterAutospacing="0"/>
              <w:jc w:val="center"/>
              <w:rPr>
                <w:rFonts w:ascii="Times New Roman" w:hAnsi="Times New Roman"/>
                <w:sz w:val="24"/>
                <w:szCs w:val="24"/>
                <w:lang w:eastAsia="ru-RU"/>
              </w:rPr>
            </w:pPr>
          </w:p>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0 грн</w:t>
            </w:r>
          </w:p>
        </w:tc>
      </w:tr>
      <w:tr>
        <w:tc>
          <w:tcPr>
            <w:tcW w:w="765"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9</w:t>
            </w:r>
          </w:p>
        </w:tc>
        <w:tc>
          <w:tcPr>
            <w:tcW w:w="3010" w:type="pct"/>
          </w:tcPr>
          <w:p>
            <w:pPr>
              <w:spacing w:lineRule="auto" w:line="240" w:before="100" w:after="100" w:beforeAutospacing="1" w:afterAutospacing="1"/>
              <w:rPr>
                <w:rFonts w:ascii="Times New Roman" w:hAnsi="Times New Roman"/>
                <w:sz w:val="24"/>
                <w:szCs w:val="24"/>
                <w:lang w:eastAsia="uk-UA"/>
              </w:rPr>
            </w:pPr>
            <w:r>
              <w:rPr>
                <w:rFonts w:ascii="Times New Roman" w:hAnsi="Times New Roman"/>
                <w:sz w:val="24"/>
                <w:szCs w:val="24"/>
                <w:lang w:eastAsia="uk-UA"/>
              </w:rPr>
              <w:t>РАЗОМ (сума рядків: 1 + 2 + 3 + 4 + 5 + 6 + 7 + 8), гривень</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146,38 грн</w:t>
            </w:r>
          </w:p>
        </w:tc>
        <w:tc>
          <w:tcPr>
            <w:tcW w:w="612" w:type="pct"/>
          </w:tcPr>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731,90 грн</w:t>
            </w:r>
          </w:p>
        </w:tc>
      </w:tr>
      <w:tr>
        <w:tc>
          <w:tcPr>
            <w:tcW w:w="765"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10</w:t>
            </w:r>
          </w:p>
        </w:tc>
        <w:tc>
          <w:tcPr>
            <w:tcW w:w="3010" w:type="pct"/>
          </w:tcPr>
          <w:p>
            <w:pPr>
              <w:spacing w:lineRule="auto" w:line="240" w:before="100" w:after="100" w:beforeAutospacing="1" w:afterAutospacing="1"/>
              <w:rPr>
                <w:rFonts w:ascii="Times New Roman" w:hAnsi="Times New Roman"/>
                <w:sz w:val="24"/>
                <w:szCs w:val="24"/>
                <w:lang w:eastAsia="uk-UA"/>
              </w:rPr>
            </w:pPr>
            <w:r>
              <w:rPr>
                <w:rFonts w:ascii="Times New Roman" w:hAnsi="Times New Roman"/>
                <w:sz w:val="24"/>
                <w:szCs w:val="24"/>
                <w:lang w:eastAsia="uk-UA"/>
              </w:rPr>
              <w:t>Кількість суб’єктів господарювання великого та середнього підприємництва, на яких буде поширено регулювання, одиниць</w:t>
            </w:r>
          </w:p>
        </w:tc>
        <w:tc>
          <w:tcPr>
            <w:tcW w:w="612"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769</w:t>
            </w:r>
            <w:r>
              <w:rPr>
                <w:rStyle w:val="C11"/>
                <w:rFonts w:ascii="Times New Roman" w:hAnsi="Times New Roman"/>
                <w:sz w:val="24"/>
                <w:szCs w:val="24"/>
                <w:lang w:eastAsia="uk-UA"/>
              </w:rPr>
              <w:footnoteReference w:id="1"/>
            </w:r>
          </w:p>
          <w:p>
            <w:pPr>
              <w:spacing w:lineRule="auto" w:line="240" w:before="100" w:after="100" w:beforeAutospacing="1" w:afterAutospacing="1"/>
              <w:rPr>
                <w:rFonts w:ascii="Times New Roman" w:hAnsi="Times New Roman"/>
                <w:sz w:val="24"/>
                <w:szCs w:val="24"/>
                <w:lang w:eastAsia="uk-UA"/>
              </w:rPr>
            </w:pPr>
          </w:p>
        </w:tc>
        <w:tc>
          <w:tcPr>
            <w:tcW w:w="612"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769</w:t>
            </w:r>
          </w:p>
          <w:p>
            <w:pPr>
              <w:spacing w:lineRule="auto" w:line="240" w:before="100" w:after="100" w:beforeAutospacing="1" w:afterAutospacing="1"/>
              <w:jc w:val="center"/>
              <w:rPr>
                <w:rFonts w:ascii="Times New Roman" w:hAnsi="Times New Roman"/>
                <w:sz w:val="24"/>
                <w:szCs w:val="24"/>
                <w:lang w:eastAsia="uk-UA"/>
              </w:rPr>
            </w:pPr>
          </w:p>
        </w:tc>
      </w:tr>
      <w:tr>
        <w:tc>
          <w:tcPr>
            <w:tcW w:w="765" w:type="pct"/>
          </w:tcPr>
          <w:p>
            <w:pPr>
              <w:spacing w:lineRule="auto" w:line="240" w:before="100" w:after="100" w:beforeAutospacing="1" w:afterAutospacing="1"/>
              <w:jc w:val="center"/>
              <w:rPr>
                <w:rFonts w:ascii="Times New Roman" w:hAnsi="Times New Roman"/>
                <w:sz w:val="24"/>
                <w:szCs w:val="24"/>
                <w:lang w:eastAsia="uk-UA"/>
              </w:rPr>
            </w:pPr>
            <w:r>
              <w:rPr>
                <w:rFonts w:ascii="Times New Roman" w:hAnsi="Times New Roman"/>
                <w:sz w:val="24"/>
                <w:szCs w:val="24"/>
                <w:lang w:eastAsia="uk-UA"/>
              </w:rPr>
              <w:t>11</w:t>
            </w:r>
          </w:p>
        </w:tc>
        <w:tc>
          <w:tcPr>
            <w:tcW w:w="3010" w:type="pct"/>
          </w:tcPr>
          <w:p>
            <w:pPr>
              <w:spacing w:lineRule="auto" w:line="240" w:before="100" w:after="100" w:beforeAutospacing="1" w:afterAutospacing="1"/>
              <w:rPr>
                <w:rFonts w:ascii="Times New Roman" w:hAnsi="Times New Roman"/>
                <w:sz w:val="24"/>
                <w:szCs w:val="24"/>
                <w:lang w:eastAsia="uk-UA"/>
              </w:rPr>
            </w:pPr>
            <w:r>
              <w:rPr>
                <w:rFonts w:ascii="Times New Roman" w:hAnsi="Times New Roman"/>
                <w:sz w:val="24"/>
                <w:szCs w:val="24"/>
                <w:lang w:eastAsia="uk-UA"/>
              </w:rPr>
              <w:t>Сумарні витрати суб’єктів господарювання та середнього підприємництва, на виконання регулювання (вартість регулювання) (рядок 9 х рядок 10), гривень</w:t>
            </w:r>
          </w:p>
        </w:tc>
        <w:tc>
          <w:tcPr>
            <w:tcW w:w="612" w:type="pct"/>
          </w:tcPr>
          <w:p>
            <w:pPr>
              <w:spacing w:lineRule="auto" w:line="240" w:after="0" w:beforeAutospacing="0" w:afterAutospacing="0"/>
              <w:jc w:val="center"/>
              <w:rPr>
                <w:rFonts w:ascii="Times New Roman" w:hAnsi="Times New Roman"/>
                <w:sz w:val="24"/>
                <w:szCs w:val="24"/>
                <w:lang w:eastAsia="ru-RU"/>
              </w:rPr>
            </w:pPr>
          </w:p>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112 566,22 грн</w:t>
            </w:r>
          </w:p>
        </w:tc>
        <w:tc>
          <w:tcPr>
            <w:tcW w:w="612" w:type="pct"/>
          </w:tcPr>
          <w:p>
            <w:pPr>
              <w:spacing w:lineRule="auto" w:line="240" w:after="0" w:beforeAutospacing="0" w:afterAutospacing="0"/>
              <w:jc w:val="center"/>
              <w:rPr>
                <w:rFonts w:ascii="Times New Roman" w:hAnsi="Times New Roman"/>
                <w:sz w:val="24"/>
                <w:szCs w:val="24"/>
                <w:lang w:eastAsia="ru-RU"/>
              </w:rPr>
            </w:pPr>
          </w:p>
          <w:p>
            <w:pPr>
              <w:spacing w:lineRule="auto" w:line="240" w:after="0" w:beforeAutospacing="0" w:afterAutospacing="0"/>
              <w:jc w:val="center"/>
              <w:rPr>
                <w:rFonts w:ascii="Times New Roman" w:hAnsi="Times New Roman"/>
                <w:sz w:val="24"/>
                <w:szCs w:val="24"/>
                <w:lang w:eastAsia="ru-RU"/>
              </w:rPr>
            </w:pPr>
            <w:r>
              <w:rPr>
                <w:rFonts w:ascii="Times New Roman" w:hAnsi="Times New Roman"/>
                <w:sz w:val="24"/>
                <w:szCs w:val="24"/>
                <w:lang w:eastAsia="ru-RU"/>
              </w:rPr>
              <w:t>562 831,10 грн</w:t>
            </w:r>
          </w:p>
        </w:tc>
      </w:tr>
    </w:tbl>
    <w:p>
      <w:pPr>
        <w:rPr>
          <w:rFonts w:ascii="Times New Roman" w:hAnsi="Times New Roman"/>
          <w:b w:val="1"/>
          <w:i w:val="1"/>
          <w:sz w:val="24"/>
          <w:szCs w:val="24"/>
          <w:lang w:eastAsia="uk-UA"/>
        </w:rPr>
      </w:pPr>
    </w:p>
    <w:tbl>
      <w:tblPr>
        <w:tblStyle w:val="T2"/>
        <w:tblW w:w="0" w:type="auto"/>
        <w:tblLook w:val="04A0"/>
      </w:tblPr>
      <w:tblGrid/>
      <w:tr>
        <w:tc>
          <w:tcPr>
            <w:tcW w:w="2117" w:type="dxa"/>
            <w:vAlign w:val="center"/>
          </w:tcPr>
          <w:p>
            <w:pPr>
              <w:spacing w:before="100" w:after="100" w:beforeAutospacing="1" w:afterAutospacing="1"/>
              <w:jc w:val="center"/>
              <w:rPr>
                <w:rFonts w:ascii="Times New Roman" w:hAnsi="Times New Roman"/>
                <w:sz w:val="24"/>
                <w:szCs w:val="24"/>
                <w:lang w:val="uk-UA" w:eastAsia="uk-UA"/>
              </w:rPr>
            </w:pPr>
            <w:r>
              <w:rPr>
                <w:rFonts w:ascii="Times New Roman" w:hAnsi="Times New Roman"/>
                <w:sz w:val="24"/>
                <w:szCs w:val="24"/>
                <w:lang w:val="uk-UA" w:eastAsia="uk-UA"/>
              </w:rPr>
              <w:t>Вид витрат</w:t>
            </w:r>
          </w:p>
        </w:tc>
        <w:tc>
          <w:tcPr>
            <w:tcW w:w="2060" w:type="dxa"/>
            <w:vAlign w:val="center"/>
          </w:tcPr>
          <w:p>
            <w:pPr>
              <w:spacing w:before="100" w:after="100" w:beforeAutospacing="1" w:afterAutospacing="1"/>
              <w:jc w:val="center"/>
              <w:rPr>
                <w:rFonts w:ascii="Times New Roman" w:hAnsi="Times New Roman"/>
                <w:b w:val="1"/>
                <w:i w:val="1"/>
                <w:sz w:val="24"/>
                <w:szCs w:val="24"/>
                <w:lang w:val="uk-UA" w:eastAsia="uk-UA"/>
              </w:rPr>
            </w:pPr>
            <w:r>
              <w:rPr>
                <w:rFonts w:ascii="Times New Roman" w:hAnsi="Times New Roman"/>
                <w:sz w:val="24"/>
                <w:szCs w:val="24"/>
                <w:lang w:val="uk-UA" w:eastAsia="uk-UA"/>
              </w:rPr>
              <w:t>Витрати на ведення обліку, підготовку та поданням звітності (за рік), гривень</w:t>
            </w:r>
          </w:p>
        </w:tc>
        <w:tc>
          <w:tcPr>
            <w:tcW w:w="2040" w:type="dxa"/>
            <w:vAlign w:val="center"/>
          </w:tcPr>
          <w:p>
            <w:pPr>
              <w:spacing w:before="100" w:after="100" w:beforeAutospacing="1" w:afterAutospacing="1"/>
              <w:jc w:val="center"/>
              <w:rPr>
                <w:rFonts w:ascii="Times New Roman" w:hAnsi="Times New Roman"/>
                <w:sz w:val="24"/>
                <w:szCs w:val="24"/>
                <w:lang w:val="uk-UA" w:eastAsia="uk-UA"/>
              </w:rPr>
            </w:pPr>
            <w:r>
              <w:rPr>
                <w:rFonts w:ascii="Times New Roman" w:hAnsi="Times New Roman"/>
                <w:sz w:val="24"/>
                <w:szCs w:val="24"/>
                <w:lang w:val="uk-UA" w:eastAsia="uk-UA"/>
              </w:rPr>
              <w:t>Втрати на оплату штрафних санкцій за рік, гривень</w:t>
            </w:r>
          </w:p>
        </w:tc>
        <w:tc>
          <w:tcPr>
            <w:tcW w:w="1706" w:type="dxa"/>
            <w:vAlign w:val="center"/>
          </w:tcPr>
          <w:p>
            <w:pPr>
              <w:jc w:val="center"/>
              <w:rPr>
                <w:rFonts w:ascii="Times New Roman" w:hAnsi="Times New Roman"/>
                <w:sz w:val="24"/>
                <w:szCs w:val="24"/>
                <w:lang w:val="uk-UA" w:eastAsia="uk-UA"/>
              </w:rPr>
            </w:pPr>
            <w:r>
              <w:rPr>
                <w:rFonts w:ascii="Times New Roman" w:hAnsi="Times New Roman"/>
                <w:sz w:val="24"/>
                <w:szCs w:val="24"/>
                <w:lang w:val="uk-UA" w:eastAsia="uk-UA"/>
              </w:rPr>
              <w:t>Разом за рік,</w:t>
            </w:r>
          </w:p>
          <w:p>
            <w:pPr>
              <w:jc w:val="center"/>
              <w:rPr>
                <w:rFonts w:ascii="Times New Roman" w:hAnsi="Times New Roman"/>
                <w:sz w:val="24"/>
                <w:szCs w:val="24"/>
                <w:lang w:val="uk-UA" w:eastAsia="uk-UA"/>
              </w:rPr>
            </w:pPr>
            <w:r>
              <w:rPr>
                <w:rFonts w:ascii="Times New Roman" w:hAnsi="Times New Roman"/>
                <w:sz w:val="24"/>
                <w:szCs w:val="24"/>
                <w:lang w:val="uk-UA" w:eastAsia="uk-UA"/>
              </w:rPr>
              <w:t>гривень</w:t>
            </w:r>
          </w:p>
        </w:tc>
        <w:tc>
          <w:tcPr>
            <w:tcW w:w="1706" w:type="dxa"/>
            <w:vAlign w:val="center"/>
          </w:tcPr>
          <w:p>
            <w:pPr>
              <w:jc w:val="center"/>
              <w:rPr>
                <w:rFonts w:ascii="Times New Roman" w:hAnsi="Times New Roman"/>
                <w:sz w:val="24"/>
                <w:szCs w:val="24"/>
                <w:lang w:val="uk-UA" w:eastAsia="uk-UA"/>
              </w:rPr>
            </w:pPr>
            <w:r>
              <w:rPr>
                <w:rFonts w:ascii="Times New Roman" w:hAnsi="Times New Roman"/>
                <w:sz w:val="24"/>
                <w:szCs w:val="24"/>
                <w:lang w:val="uk-UA" w:eastAsia="uk-UA"/>
              </w:rPr>
              <w:t>Витрати за п’ять років,</w:t>
            </w:r>
          </w:p>
          <w:p>
            <w:pPr>
              <w:jc w:val="center"/>
              <w:rPr>
                <w:rFonts w:ascii="Times New Roman" w:hAnsi="Times New Roman"/>
                <w:sz w:val="24"/>
                <w:szCs w:val="24"/>
                <w:lang w:val="uk-UA" w:eastAsia="uk-UA"/>
              </w:rPr>
            </w:pPr>
            <w:r>
              <w:rPr>
                <w:rFonts w:ascii="Times New Roman" w:hAnsi="Times New Roman"/>
                <w:sz w:val="24"/>
                <w:szCs w:val="24"/>
                <w:lang w:val="uk-UA" w:eastAsia="uk-UA"/>
              </w:rPr>
              <w:t>гривень</w:t>
            </w:r>
          </w:p>
        </w:tc>
      </w:tr>
      <w:tr>
        <w:tc>
          <w:tcPr>
            <w:tcW w:w="2117" w:type="dxa"/>
          </w:tcPr>
          <w:p>
            <w:pPr>
              <w:rPr>
                <w:rFonts w:ascii="Times New Roman" w:hAnsi="Times New Roman"/>
                <w:b w:val="1"/>
                <w:i w:val="1"/>
                <w:sz w:val="24"/>
                <w:szCs w:val="24"/>
                <w:lang w:val="uk-UA" w:eastAsia="uk-UA"/>
              </w:rPr>
            </w:pPr>
            <w:r>
              <w:rPr>
                <w:rFonts w:ascii="Times New Roman" w:hAnsi="Times New Roman"/>
                <w:sz w:val="24"/>
                <w:szCs w:val="24"/>
                <w:lang w:val="uk-UA" w:eastAsia="uk-UA"/>
              </w:rPr>
              <w:t>Витрати</w:t>
            </w:r>
            <w:r>
              <w:rPr>
                <w:rFonts w:ascii="Times New Roman" w:hAnsi="Times New Roman"/>
                <w:sz w:val="24"/>
                <w:szCs w:val="24"/>
                <w:lang w:val="uk-UA" w:eastAsia="uk-UA"/>
              </w:rPr>
              <w:t>,</w:t>
            </w:r>
            <w:r>
              <w:rPr>
                <w:rFonts w:ascii="Times New Roman" w:hAnsi="Times New Roman"/>
                <w:sz w:val="24"/>
                <w:szCs w:val="24"/>
                <w:lang w:val="uk-UA" w:eastAsia="uk-UA"/>
              </w:rPr>
              <w:t xml:space="preserve"> пов</w:t>
            </w:r>
            <w:r>
              <w:rPr>
                <w:rFonts w:ascii="Times New Roman" w:hAnsi="Times New Roman"/>
                <w:sz w:val="24"/>
                <w:szCs w:val="24"/>
                <w:lang w:val="uk-UA" w:eastAsia="uk-UA"/>
              </w:rPr>
              <w:t>’</w:t>
            </w:r>
            <w:r>
              <w:rPr>
                <w:rFonts w:ascii="Times New Roman" w:hAnsi="Times New Roman"/>
                <w:sz w:val="24"/>
                <w:szCs w:val="24"/>
                <w:lang w:val="uk-UA" w:eastAsia="uk-UA"/>
              </w:rPr>
              <w:t>язані із веденням обліку</w:t>
            </w:r>
            <w:r>
              <w:rPr>
                <w:rFonts w:ascii="Times New Roman" w:hAnsi="Times New Roman"/>
                <w:sz w:val="24"/>
                <w:szCs w:val="24"/>
                <w:lang w:val="uk-UA" w:eastAsia="uk-UA"/>
              </w:rPr>
              <w:t>,</w:t>
            </w:r>
            <w:r>
              <w:rPr>
                <w:rFonts w:ascii="Times New Roman" w:hAnsi="Times New Roman"/>
                <w:sz w:val="24"/>
                <w:szCs w:val="24"/>
                <w:lang w:val="uk-UA" w:eastAsia="uk-UA"/>
              </w:rPr>
              <w:t xml:space="preserve"> підготовкою та поданням звітності державним органам </w:t>
            </w:r>
            <w:r>
              <w:rPr>
                <w:rFonts w:ascii="Times New Roman" w:hAnsi="Times New Roman"/>
                <w:sz w:val="24"/>
                <w:szCs w:val="24"/>
                <w:lang w:val="uk-UA" w:eastAsia="uk-UA"/>
              </w:rPr>
              <w:t>(</w:t>
            </w:r>
            <w:r>
              <w:rPr>
                <w:rFonts w:ascii="Times New Roman" w:hAnsi="Times New Roman"/>
                <w:sz w:val="24"/>
                <w:szCs w:val="24"/>
                <w:lang w:val="uk-UA" w:eastAsia="uk-UA"/>
              </w:rPr>
              <w:t>витрати часу персоналу</w:t>
            </w:r>
            <w:r>
              <w:rPr>
                <w:rFonts w:ascii="Times New Roman" w:hAnsi="Times New Roman"/>
                <w:sz w:val="24"/>
                <w:szCs w:val="24"/>
                <w:lang w:val="uk-UA" w:eastAsia="uk-UA"/>
              </w:rPr>
              <w:t>)</w:t>
            </w:r>
            <w:r>
              <w:rPr>
                <w:rFonts w:ascii="Times New Roman" w:hAnsi="Times New Roman"/>
                <w:sz w:val="24"/>
                <w:szCs w:val="24"/>
                <w:lang w:val="uk-UA" w:eastAsia="uk-UA"/>
              </w:rPr>
              <w:t>,</w:t>
            </w:r>
            <w:r>
              <w:rPr>
                <w:rFonts w:ascii="Times New Roman" w:hAnsi="Times New Roman"/>
                <w:sz w:val="24"/>
                <w:szCs w:val="24"/>
                <w:lang w:val="uk-UA" w:eastAsia="uk-UA"/>
              </w:rPr>
              <w:t xml:space="preserve"> гривень</w:t>
            </w:r>
          </w:p>
        </w:tc>
        <w:tc>
          <w:tcPr>
            <w:tcW w:w="2060" w:type="dxa"/>
          </w:tcPr>
          <w:p>
            <w:pPr>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r>
              <w:rPr>
                <w:rFonts w:ascii="Times New Roman" w:hAnsi="Times New Roman"/>
                <w:sz w:val="24"/>
                <w:szCs w:val="24"/>
                <w:lang w:val="uk-UA" w:eastAsia="uk-UA"/>
              </w:rPr>
              <w:t xml:space="preserve">3 год. х 40,46 = 121,38 </w:t>
            </w:r>
          </w:p>
        </w:tc>
        <w:tc>
          <w:tcPr>
            <w:tcW w:w="2040" w:type="dxa"/>
          </w:tcPr>
          <w:p>
            <w:pPr>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r>
              <w:rPr>
                <w:rFonts w:ascii="Times New Roman" w:hAnsi="Times New Roman"/>
                <w:sz w:val="24"/>
                <w:szCs w:val="24"/>
                <w:lang w:val="uk-UA" w:eastAsia="uk-UA"/>
              </w:rPr>
              <w:t>-</w:t>
            </w:r>
          </w:p>
        </w:tc>
        <w:tc>
          <w:tcPr>
            <w:tcW w:w="1706" w:type="dxa"/>
          </w:tcPr>
          <w:p>
            <w:pPr>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r>
              <w:rPr>
                <w:rFonts w:ascii="Times New Roman" w:hAnsi="Times New Roman"/>
                <w:sz w:val="24"/>
                <w:szCs w:val="24"/>
                <w:lang w:val="uk-UA" w:eastAsia="uk-UA"/>
              </w:rPr>
              <w:t>121,38</w:t>
            </w:r>
          </w:p>
        </w:tc>
        <w:tc>
          <w:tcPr>
            <w:tcW w:w="1706" w:type="dxa"/>
          </w:tcPr>
          <w:p>
            <w:pPr>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r>
              <w:rPr>
                <w:rFonts w:ascii="Times New Roman" w:hAnsi="Times New Roman"/>
                <w:sz w:val="24"/>
                <w:szCs w:val="24"/>
                <w:lang w:val="uk-UA" w:eastAsia="uk-UA"/>
              </w:rPr>
              <w:t>606,90</w:t>
            </w:r>
          </w:p>
        </w:tc>
      </w:tr>
    </w:tbl>
    <w:p>
      <w:pPr>
        <w:spacing w:lineRule="auto" w:line="240" w:after="0" w:beforeAutospacing="0" w:afterAutospacing="0"/>
        <w:rPr>
          <w:rFonts w:ascii="Times New Roman" w:hAnsi="Times New Roman"/>
          <w:b w:val="1"/>
          <w:i w:val="1"/>
          <w:sz w:val="24"/>
          <w:szCs w:val="24"/>
          <w:lang w:eastAsia="uk-UA"/>
        </w:rPr>
      </w:pPr>
    </w:p>
    <w:tbl>
      <w:tblPr>
        <w:tblStyle w:val="T2"/>
        <w:tblW w:w="0" w:type="auto"/>
        <w:tblLook w:val="04A0"/>
      </w:tblPr>
      <w:tblGrid/>
      <w:tr>
        <w:tc>
          <w:tcPr>
            <w:tcW w:w="1925" w:type="dxa"/>
            <w:vAlign w:val="center"/>
          </w:tcPr>
          <w:p>
            <w:pPr>
              <w:jc w:val="center"/>
              <w:rPr>
                <w:rFonts w:ascii="Times New Roman" w:hAnsi="Times New Roman"/>
                <w:sz w:val="24"/>
                <w:szCs w:val="24"/>
                <w:lang w:val="uk-UA"/>
              </w:rPr>
            </w:pPr>
            <w:r>
              <w:rPr>
                <w:rFonts w:ascii="Times New Roman" w:hAnsi="Times New Roman"/>
                <w:sz w:val="24"/>
                <w:szCs w:val="24"/>
                <w:lang w:val="uk-UA" w:eastAsia="uk-UA"/>
              </w:rPr>
              <w:t>Вид витрат</w:t>
            </w:r>
          </w:p>
        </w:tc>
        <w:tc>
          <w:tcPr>
            <w:tcW w:w="1926" w:type="dxa"/>
            <w:vAlign w:val="center"/>
          </w:tcPr>
          <w:p>
            <w:pPr>
              <w:jc w:val="center"/>
              <w:rPr>
                <w:rFonts w:ascii="Times New Roman" w:hAnsi="Times New Roman"/>
                <w:sz w:val="24"/>
                <w:szCs w:val="24"/>
                <w:lang w:val="uk-UA" w:eastAsia="uk-UA"/>
              </w:rPr>
            </w:pPr>
            <w:r>
              <w:rPr>
                <w:rFonts w:ascii="Times New Roman" w:hAnsi="Times New Roman"/>
                <w:sz w:val="24"/>
                <w:szCs w:val="24"/>
                <w:lang w:val="uk-UA" w:eastAsia="uk-UA"/>
              </w:rPr>
              <w:t>Витрати на проходження відповідних процедур</w:t>
            </w:r>
          </w:p>
          <w:p>
            <w:pPr>
              <w:jc w:val="center"/>
              <w:rPr>
                <w:rFonts w:ascii="Times New Roman" w:hAnsi="Times New Roman"/>
                <w:sz w:val="24"/>
                <w:szCs w:val="24"/>
                <w:lang w:val="uk-UA"/>
              </w:rPr>
            </w:pPr>
            <w:r>
              <w:rPr>
                <w:rFonts w:ascii="Times New Roman" w:hAnsi="Times New Roman"/>
                <w:sz w:val="24"/>
                <w:szCs w:val="24"/>
                <w:lang w:val="uk-UA" w:eastAsia="uk-UA"/>
              </w:rPr>
              <w:t>(витрати часу, витрати на експертизи, тощо), гривень</w:t>
            </w:r>
          </w:p>
        </w:tc>
        <w:tc>
          <w:tcPr>
            <w:tcW w:w="1926" w:type="dxa"/>
            <w:vAlign w:val="center"/>
          </w:tcPr>
          <w:p>
            <w:pPr>
              <w:jc w:val="center"/>
              <w:rPr>
                <w:rFonts w:ascii="Times New Roman" w:hAnsi="Times New Roman"/>
                <w:sz w:val="24"/>
                <w:szCs w:val="24"/>
                <w:lang w:val="uk-UA"/>
              </w:rPr>
            </w:pPr>
            <w:r>
              <w:rPr>
                <w:rFonts w:ascii="Times New Roman" w:hAnsi="Times New Roman"/>
                <w:sz w:val="24"/>
                <w:szCs w:val="24"/>
                <w:lang w:val="uk-UA"/>
              </w:rPr>
              <w:t>Витрати безпосередньо на дозволи, ліцензії, сертифікати, страхові поліси (за рік – стартовий), гривень</w:t>
            </w:r>
          </w:p>
        </w:tc>
        <w:tc>
          <w:tcPr>
            <w:tcW w:w="1926" w:type="dxa"/>
            <w:vAlign w:val="center"/>
          </w:tcPr>
          <w:p>
            <w:pPr>
              <w:jc w:val="center"/>
              <w:rPr>
                <w:rFonts w:ascii="Times New Roman" w:hAnsi="Times New Roman"/>
                <w:sz w:val="24"/>
                <w:szCs w:val="24"/>
                <w:lang w:val="uk-UA"/>
              </w:rPr>
            </w:pPr>
            <w:r>
              <w:rPr>
                <w:rFonts w:ascii="Times New Roman" w:hAnsi="Times New Roman"/>
                <w:sz w:val="24"/>
                <w:szCs w:val="24"/>
                <w:lang w:val="uk-UA"/>
              </w:rPr>
              <w:t>Разом за рік (стартовий),</w:t>
            </w:r>
          </w:p>
          <w:p>
            <w:pPr>
              <w:jc w:val="center"/>
              <w:rPr>
                <w:rFonts w:ascii="Times New Roman" w:hAnsi="Times New Roman"/>
                <w:sz w:val="24"/>
                <w:szCs w:val="24"/>
                <w:lang w:val="uk-UA"/>
              </w:rPr>
            </w:pPr>
            <w:r>
              <w:rPr>
                <w:rFonts w:ascii="Times New Roman" w:hAnsi="Times New Roman"/>
                <w:sz w:val="24"/>
                <w:szCs w:val="24"/>
                <w:lang w:val="uk-UA"/>
              </w:rPr>
              <w:t>гривень</w:t>
            </w:r>
          </w:p>
        </w:tc>
        <w:tc>
          <w:tcPr>
            <w:tcW w:w="1926" w:type="dxa"/>
            <w:vAlign w:val="center"/>
          </w:tcPr>
          <w:p>
            <w:pPr>
              <w:jc w:val="center"/>
              <w:rPr>
                <w:rFonts w:ascii="Times New Roman" w:hAnsi="Times New Roman"/>
                <w:sz w:val="24"/>
                <w:szCs w:val="24"/>
                <w:lang w:val="uk-UA" w:eastAsia="uk-UA"/>
              </w:rPr>
            </w:pPr>
            <w:r>
              <w:rPr>
                <w:rFonts w:ascii="Times New Roman" w:hAnsi="Times New Roman"/>
                <w:sz w:val="24"/>
                <w:szCs w:val="24"/>
                <w:lang w:val="uk-UA" w:eastAsia="uk-UA"/>
              </w:rPr>
              <w:t>Витрати за п’ять років,</w:t>
            </w:r>
          </w:p>
          <w:p>
            <w:pPr>
              <w:jc w:val="center"/>
              <w:rPr>
                <w:rFonts w:ascii="Times New Roman" w:hAnsi="Times New Roman"/>
                <w:sz w:val="24"/>
                <w:szCs w:val="24"/>
                <w:lang w:val="uk-UA"/>
              </w:rPr>
            </w:pPr>
            <w:r>
              <w:rPr>
                <w:rFonts w:ascii="Times New Roman" w:hAnsi="Times New Roman"/>
                <w:sz w:val="24"/>
                <w:szCs w:val="24"/>
                <w:lang w:val="uk-UA" w:eastAsia="uk-UA"/>
              </w:rPr>
              <w:t>гривень</w:t>
            </w:r>
          </w:p>
        </w:tc>
      </w:tr>
      <w:tr>
        <w:tc>
          <w:tcPr>
            <w:tcW w:w="1925" w:type="dxa"/>
          </w:tcPr>
          <w:p>
            <w:pPr>
              <w:rPr>
                <w:rFonts w:ascii="Times New Roman" w:hAnsi="Times New Roman"/>
                <w:sz w:val="24"/>
                <w:szCs w:val="24"/>
                <w:lang w:val="uk-UA"/>
              </w:rPr>
            </w:pPr>
            <w:r>
              <w:rPr>
                <w:rFonts w:ascii="Times New Roman" w:hAnsi="Times New Roman"/>
                <w:sz w:val="24"/>
                <w:szCs w:val="24"/>
                <w:lang w:val="uk-UA"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926" w:type="dxa"/>
          </w:tcPr>
          <w:p>
            <w:pPr>
              <w:jc w:val="center"/>
              <w:rPr>
                <w:rFonts w:ascii="Times New Roman" w:hAnsi="Times New Roman"/>
                <w:sz w:val="24"/>
                <w:szCs w:val="24"/>
                <w:lang w:val="uk-UA"/>
              </w:rPr>
            </w:pPr>
            <w:r>
              <w:rPr>
                <w:rFonts w:ascii="Times New Roman" w:hAnsi="Times New Roman"/>
                <w:sz w:val="24"/>
                <w:szCs w:val="24"/>
                <w:lang w:val="uk-UA"/>
              </w:rPr>
              <w:t xml:space="preserve">0 </w:t>
            </w:r>
            <w:r>
              <w:rPr>
                <w:rFonts w:ascii="Times New Roman" w:hAnsi="Times New Roman"/>
                <w:smallCaps w:val="0"/>
                <w:sz w:val="24"/>
                <w:szCs w:val="22"/>
                <w:cs w:val="0"/>
                <w:spacing w:val="0"/>
                <w:w w:val="100"/>
                <w:position w:val="0"/>
                <w:snapToGrid w:val="1"/>
                <w:lang w:val="uk-UA"/>
              </w:rPr>
              <w:t>грн</w:t>
            </w:r>
          </w:p>
        </w:tc>
        <w:tc>
          <w:tcPr>
            <w:tcW w:w="1926" w:type="dxa"/>
          </w:tcPr>
          <w:p>
            <w:pPr>
              <w:jc w:val="center"/>
              <w:rPr>
                <w:rFonts w:ascii="Times New Roman" w:hAnsi="Times New Roman"/>
                <w:sz w:val="24"/>
                <w:szCs w:val="24"/>
                <w:lang w:val="uk-UA"/>
              </w:rPr>
            </w:pPr>
            <w:r>
              <w:rPr>
                <w:rFonts w:ascii="Times New Roman" w:hAnsi="Times New Roman"/>
                <w:sz w:val="24"/>
                <w:szCs w:val="24"/>
                <w:lang w:val="uk-UA"/>
              </w:rPr>
              <w:t>0 грн.</w:t>
            </w:r>
          </w:p>
        </w:tc>
        <w:tc>
          <w:tcPr>
            <w:tcW w:w="1926" w:type="dxa"/>
          </w:tcPr>
          <w:p>
            <w:pPr>
              <w:jc w:val="center"/>
              <w:rPr>
                <w:rFonts w:ascii="Times New Roman" w:hAnsi="Times New Roman"/>
                <w:sz w:val="24"/>
                <w:szCs w:val="24"/>
                <w:lang w:val="uk-UA"/>
              </w:rPr>
            </w:pPr>
            <w:r>
              <w:rPr>
                <w:rFonts w:ascii="Times New Roman" w:hAnsi="Times New Roman"/>
                <w:sz w:val="24"/>
                <w:szCs w:val="24"/>
                <w:lang w:val="uk-UA"/>
              </w:rPr>
              <w:t>0 грн.</w:t>
            </w:r>
          </w:p>
        </w:tc>
        <w:tc>
          <w:tcPr>
            <w:tcW w:w="1926" w:type="dxa"/>
          </w:tcPr>
          <w:p>
            <w:pPr>
              <w:jc w:val="center"/>
              <w:rPr>
                <w:rFonts w:ascii="Times New Roman" w:hAnsi="Times New Roman"/>
                <w:sz w:val="24"/>
                <w:szCs w:val="24"/>
                <w:lang w:val="uk-UA"/>
              </w:rPr>
            </w:pPr>
            <w:r>
              <w:rPr>
                <w:rFonts w:ascii="Times New Roman" w:hAnsi="Times New Roman"/>
                <w:sz w:val="24"/>
                <w:szCs w:val="24"/>
                <w:lang w:val="uk-UA"/>
              </w:rPr>
              <w:t>0 грн.</w:t>
            </w:r>
          </w:p>
        </w:tc>
      </w:tr>
    </w:tbl>
    <w:p>
      <w:pPr>
        <w:rPr>
          <w:rFonts w:ascii="Times New Roman" w:hAnsi="Times New Roman"/>
          <w:sz w:val="24"/>
          <w:szCs w:val="24"/>
          <w:lang w:eastAsia="uk-UA"/>
        </w:rPr>
      </w:pPr>
    </w:p>
    <w:p>
      <w:pPr>
        <w:rPr>
          <w:rFonts w:ascii="Times New Roman" w:hAnsi="Times New Roman"/>
          <w:sz w:val="24"/>
          <w:szCs w:val="24"/>
          <w:lang w:eastAsia="uk-UA"/>
        </w:rPr>
      </w:pPr>
    </w:p>
    <w:p>
      <w:pPr>
        <w:rPr>
          <w:rFonts w:ascii="Times New Roman" w:hAnsi="Times New Roman"/>
          <w:sz w:val="24"/>
          <w:szCs w:val="24"/>
          <w:lang w:eastAsia="uk-UA"/>
        </w:rPr>
      </w:pPr>
    </w:p>
    <w:p>
      <w:pPr>
        <w:rPr>
          <w:rFonts w:ascii="Times New Roman" w:hAnsi="Times New Roman"/>
          <w:sz w:val="24"/>
          <w:szCs w:val="24"/>
          <w:lang w:eastAsia="uk-UA"/>
        </w:rPr>
      </w:pPr>
    </w:p>
    <w:tbl>
      <w:tblPr>
        <w:tblStyle w:val="T2"/>
        <w:tblW w:w="0" w:type="auto"/>
        <w:tblLook w:val="04A0"/>
      </w:tblPr>
      <w:tblGrid/>
      <w:tr>
        <w:tc>
          <w:tcPr>
            <w:tcW w:w="2407" w:type="dxa"/>
            <w:vAlign w:val="center"/>
          </w:tcPr>
          <w:p>
            <w:pPr>
              <w:jc w:val="center"/>
              <w:rPr>
                <w:rFonts w:ascii="Times New Roman" w:hAnsi="Times New Roman"/>
                <w:sz w:val="24"/>
                <w:szCs w:val="24"/>
                <w:lang w:val="uk-UA"/>
              </w:rPr>
            </w:pPr>
            <w:r>
              <w:rPr>
                <w:lang w:val="uk-UA"/>
              </w:rPr>
              <w:br w:type="page"/>
            </w:r>
            <w:r>
              <w:rPr>
                <w:rFonts w:ascii="Times New Roman" w:hAnsi="Times New Roman"/>
                <w:sz w:val="24"/>
                <w:szCs w:val="24"/>
                <w:lang w:val="uk-UA"/>
              </w:rPr>
              <w:t>Вид витрат</w:t>
            </w:r>
          </w:p>
        </w:tc>
        <w:tc>
          <w:tcPr>
            <w:tcW w:w="2407" w:type="dxa"/>
            <w:vAlign w:val="center"/>
          </w:tcPr>
          <w:p>
            <w:pPr>
              <w:jc w:val="center"/>
              <w:rPr>
                <w:rFonts w:ascii="Times New Roman" w:hAnsi="Times New Roman"/>
                <w:sz w:val="24"/>
                <w:szCs w:val="24"/>
                <w:lang w:val="uk-UA"/>
              </w:rPr>
            </w:pPr>
            <w:r>
              <w:rPr>
                <w:rFonts w:ascii="Times New Roman" w:hAnsi="Times New Roman"/>
                <w:sz w:val="24"/>
                <w:szCs w:val="24"/>
                <w:lang w:val="uk-UA"/>
              </w:rPr>
              <w:t>За рік (стартовий), гривень</w:t>
            </w:r>
          </w:p>
        </w:tc>
        <w:tc>
          <w:tcPr>
            <w:tcW w:w="2407" w:type="dxa"/>
            <w:vAlign w:val="center"/>
          </w:tcPr>
          <w:p>
            <w:pPr>
              <w:jc w:val="center"/>
              <w:rPr>
                <w:rFonts w:ascii="Times New Roman" w:hAnsi="Times New Roman"/>
                <w:sz w:val="24"/>
                <w:szCs w:val="24"/>
                <w:lang w:val="uk-UA"/>
              </w:rPr>
            </w:pPr>
            <w:r>
              <w:rPr>
                <w:rFonts w:ascii="Times New Roman" w:hAnsi="Times New Roman"/>
                <w:sz w:val="24"/>
                <w:szCs w:val="24"/>
                <w:lang w:val="uk-UA"/>
              </w:rPr>
              <w:t>Періодичні (за наступний рік), гривень</w:t>
            </w:r>
          </w:p>
        </w:tc>
        <w:tc>
          <w:tcPr>
            <w:tcW w:w="2408" w:type="dxa"/>
            <w:vAlign w:val="center"/>
          </w:tcPr>
          <w:p>
            <w:pPr>
              <w:jc w:val="center"/>
              <w:rPr>
                <w:rFonts w:ascii="Times New Roman" w:hAnsi="Times New Roman"/>
                <w:sz w:val="24"/>
                <w:szCs w:val="24"/>
                <w:lang w:val="uk-UA" w:eastAsia="uk-UA"/>
              </w:rPr>
            </w:pPr>
            <w:r>
              <w:rPr>
                <w:rFonts w:ascii="Times New Roman" w:hAnsi="Times New Roman"/>
                <w:sz w:val="24"/>
                <w:szCs w:val="24"/>
                <w:lang w:val="uk-UA" w:eastAsia="uk-UA"/>
              </w:rPr>
              <w:t>Витрати за п’ять років,</w:t>
            </w:r>
          </w:p>
          <w:p>
            <w:pPr>
              <w:jc w:val="center"/>
              <w:rPr>
                <w:rFonts w:ascii="Times New Roman" w:hAnsi="Times New Roman"/>
                <w:sz w:val="24"/>
                <w:szCs w:val="24"/>
                <w:lang w:val="uk-UA"/>
              </w:rPr>
            </w:pPr>
            <w:r>
              <w:rPr>
                <w:rFonts w:ascii="Times New Roman" w:hAnsi="Times New Roman"/>
                <w:sz w:val="24"/>
                <w:szCs w:val="24"/>
                <w:lang w:val="uk-UA" w:eastAsia="uk-UA"/>
              </w:rPr>
              <w:t>гривень</w:t>
            </w:r>
          </w:p>
        </w:tc>
      </w:tr>
      <w:tr>
        <w:tc>
          <w:tcPr>
            <w:tcW w:w="2407" w:type="dxa"/>
          </w:tcPr>
          <w:p>
            <w:pPr>
              <w:rPr>
                <w:lang w:val="uk-UA"/>
              </w:rPr>
            </w:pPr>
            <w:r>
              <w:rPr>
                <w:rFonts w:ascii="Times New Roman" w:hAnsi="Times New Roman"/>
                <w:sz w:val="24"/>
                <w:szCs w:val="24"/>
                <w:lang w:val="uk-UA" w:eastAsia="uk-UA"/>
              </w:rPr>
              <w:t xml:space="preserve">Витрати на оборотні активи (матеріали, канцелярські товари тощо), гривень </w:t>
            </w:r>
          </w:p>
        </w:tc>
        <w:tc>
          <w:tcPr>
            <w:tcW w:w="2407" w:type="dxa"/>
          </w:tcPr>
          <w:p>
            <w:pPr>
              <w:jc w:val="center"/>
              <w:rPr>
                <w:rFonts w:ascii="Times New Roman" w:hAnsi="Times New Roman"/>
                <w:sz w:val="24"/>
                <w:szCs w:val="24"/>
                <w:lang w:val="uk-UA"/>
              </w:rPr>
            </w:pPr>
            <w:r>
              <w:rPr>
                <w:rFonts w:ascii="Times New Roman" w:hAnsi="Times New Roman"/>
                <w:sz w:val="24"/>
                <w:szCs w:val="24"/>
                <w:lang w:val="uk-UA"/>
              </w:rPr>
              <w:t xml:space="preserve">25 </w:t>
            </w:r>
          </w:p>
        </w:tc>
        <w:tc>
          <w:tcPr>
            <w:tcW w:w="2407" w:type="dxa"/>
          </w:tcPr>
          <w:p>
            <w:pPr>
              <w:jc w:val="center"/>
              <w:rPr>
                <w:rFonts w:ascii="Times New Roman" w:hAnsi="Times New Roman"/>
                <w:sz w:val="24"/>
                <w:szCs w:val="24"/>
                <w:lang w:val="uk-UA"/>
              </w:rPr>
            </w:pPr>
            <w:r>
              <w:rPr>
                <w:rFonts w:ascii="Times New Roman" w:hAnsi="Times New Roman"/>
                <w:sz w:val="24"/>
                <w:szCs w:val="24"/>
                <w:lang w:val="uk-UA"/>
              </w:rPr>
              <w:t>25</w:t>
            </w:r>
          </w:p>
        </w:tc>
        <w:tc>
          <w:tcPr>
            <w:tcW w:w="2408" w:type="dxa"/>
          </w:tcPr>
          <w:p>
            <w:pPr>
              <w:jc w:val="center"/>
              <w:rPr>
                <w:rFonts w:ascii="Times New Roman" w:hAnsi="Times New Roman"/>
                <w:sz w:val="24"/>
                <w:szCs w:val="24"/>
                <w:lang w:val="uk-UA"/>
              </w:rPr>
            </w:pPr>
            <w:r>
              <w:rPr>
                <w:rFonts w:ascii="Times New Roman" w:hAnsi="Times New Roman"/>
                <w:sz w:val="24"/>
                <w:szCs w:val="24"/>
                <w:lang w:val="uk-UA"/>
              </w:rPr>
              <w:t>75</w:t>
            </w:r>
          </w:p>
        </w:tc>
      </w:tr>
    </w:tbl>
    <w:p>
      <w:pPr>
        <w:widowControl w:val="0"/>
        <w:spacing w:lineRule="auto" w:line="240" w:after="0" w:beforeAutospacing="0" w:afterAutospacing="0"/>
        <w:ind w:firstLine="5529"/>
        <w:rPr>
          <w:rFonts w:ascii="Times New Roman" w:hAnsi="Times New Roman"/>
          <w:sz w:val="24"/>
          <w:szCs w:val="24"/>
          <w:lang w:eastAsia="ru-RU"/>
        </w:rPr>
      </w:pPr>
    </w:p>
    <w:p>
      <w:pPr>
        <w:rPr>
          <w:rFonts w:ascii="Times New Roman" w:hAnsi="Times New Roman"/>
          <w:sz w:val="24"/>
          <w:szCs w:val="24"/>
          <w:lang w:eastAsia="ru-RU"/>
        </w:rPr>
      </w:pPr>
      <w:r>
        <w:rPr>
          <w:rFonts w:ascii="Times New Roman" w:hAnsi="Times New Roman"/>
          <w:sz w:val="24"/>
          <w:szCs w:val="24"/>
          <w:lang w:eastAsia="ru-RU"/>
        </w:rPr>
        <w:br w:type="page"/>
      </w:r>
    </w:p>
    <w:p>
      <w:pPr>
        <w:widowControl w:val="0"/>
        <w:spacing w:lineRule="auto" w:line="240" w:after="0" w:beforeAutospacing="0" w:afterAutospacing="0"/>
        <w:ind w:firstLine="5529"/>
        <w:rPr>
          <w:rFonts w:ascii="Times New Roman" w:hAnsi="Times New Roman"/>
          <w:sz w:val="24"/>
          <w:szCs w:val="24"/>
          <w:lang w:eastAsia="ru-RU"/>
        </w:rPr>
      </w:pPr>
      <w:r>
        <w:rPr>
          <w:rFonts w:ascii="Times New Roman" w:hAnsi="Times New Roman"/>
          <w:sz w:val="24"/>
          <w:szCs w:val="24"/>
          <w:lang w:eastAsia="ru-RU"/>
        </w:rPr>
        <w:t xml:space="preserve">Додаток 3 </w:t>
      </w:r>
    </w:p>
    <w:p>
      <w:pPr>
        <w:widowControl w:val="0"/>
        <w:shd w:val="clear" w:fill="FFFFFF"/>
        <w:spacing w:lineRule="auto" w:line="240" w:after="0" w:beforeAutospacing="0" w:afterAutospacing="0"/>
        <w:ind w:firstLine="5529"/>
        <w:rPr>
          <w:rFonts w:ascii="Times New Roman" w:hAnsi="Times New Roman"/>
          <w:bCs w:val="1"/>
          <w:color w:val="000000"/>
          <w:sz w:val="24"/>
          <w:szCs w:val="24"/>
          <w:lang w:eastAsia="ru-RU"/>
        </w:rPr>
      </w:pPr>
      <w:r>
        <w:rPr>
          <w:rFonts w:ascii="Times New Roman" w:hAnsi="Times New Roman"/>
          <w:bCs w:val="1"/>
          <w:color w:val="000000"/>
          <w:sz w:val="24"/>
          <w:szCs w:val="24"/>
          <w:lang w:eastAsia="ru-RU"/>
        </w:rPr>
        <w:t>до аналізу регуляторного впливу</w:t>
      </w:r>
    </w:p>
    <w:p>
      <w:pPr>
        <w:widowControl w:val="0"/>
        <w:spacing w:lineRule="auto" w:line="240" w:after="0" w:beforeAutospacing="0" w:afterAutospacing="0"/>
        <w:ind w:firstLine="5529"/>
        <w:rPr>
          <w:rFonts w:ascii="Times New Roman" w:hAnsi="Times New Roman"/>
          <w:sz w:val="24"/>
          <w:szCs w:val="24"/>
          <w:lang w:eastAsia="ru-RU"/>
        </w:rPr>
      </w:pPr>
    </w:p>
    <w:p>
      <w:pPr>
        <w:shd w:val="clear" w:fill="FFFFFF"/>
        <w:spacing w:lineRule="auto" w:line="240" w:before="150" w:after="150" w:beforeAutospacing="0" w:afterAutospacing="0"/>
        <w:jc w:val="center"/>
        <w:rPr>
          <w:rFonts w:ascii="Times New Roman" w:hAnsi="Times New Roman"/>
          <w:color w:val="000000"/>
          <w:sz w:val="24"/>
          <w:szCs w:val="24"/>
          <w:lang w:eastAsia="uk-UA"/>
        </w:rPr>
      </w:pPr>
      <w:r>
        <w:rPr>
          <w:rFonts w:ascii="Times New Roman" w:hAnsi="Times New Roman"/>
          <w:color w:val="000000"/>
          <w:sz w:val="24"/>
          <w:szCs w:val="24"/>
          <w:lang w:eastAsia="uk-UA"/>
        </w:rPr>
        <w:t>БЮДЖЕТНІ ВИТРАТИ</w:t>
        <w:br w:type="textWrapping"/>
        <w:t>на адміністрування регулювання для суб’єктів великого і середнього підприємництва</w:t>
      </w:r>
    </w:p>
    <w:p>
      <w:pPr>
        <w:shd w:val="clear" w:fill="FFFFFF"/>
        <w:spacing w:lineRule="auto" w:line="240" w:after="150" w:beforeAutospacing="0" w:afterAutospacing="0"/>
        <w:ind w:firstLine="450"/>
        <w:jc w:val="both"/>
        <w:rPr>
          <w:rFonts w:ascii="Times New Roman" w:hAnsi="Times New Roman"/>
          <w:color w:val="000000"/>
          <w:sz w:val="24"/>
          <w:szCs w:val="24"/>
          <w:lang w:eastAsia="uk-UA"/>
        </w:rPr>
      </w:pPr>
      <w:bookmarkStart w:id="7" w:name="n191"/>
      <w:bookmarkEnd w:id="7"/>
      <w:r>
        <w:rPr>
          <w:rFonts w:ascii="Times New Roman" w:hAnsi="Times New Roman"/>
          <w:color w:val="000000"/>
          <w:sz w:val="24"/>
          <w:szCs w:val="24"/>
          <w:lang w:eastAsia="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pPr>
        <w:shd w:val="clear" w:fill="FFFFFF"/>
        <w:spacing w:lineRule="auto" w:line="240" w:after="150" w:beforeAutospacing="0" w:afterAutospacing="0"/>
        <w:ind w:firstLine="450"/>
        <w:jc w:val="both"/>
        <w:rPr>
          <w:rFonts w:ascii="Times New Roman" w:hAnsi="Times New Roman"/>
          <w:color w:val="000000"/>
          <w:sz w:val="24"/>
          <w:szCs w:val="24"/>
          <w:lang w:eastAsia="uk-UA"/>
        </w:rPr>
      </w:pPr>
      <w:bookmarkStart w:id="8" w:name="n192"/>
      <w:bookmarkEnd w:id="8"/>
      <w:r>
        <w:rPr>
          <w:rFonts w:ascii="Times New Roman" w:hAnsi="Times New Roman"/>
          <w:color w:val="000000"/>
          <w:sz w:val="24"/>
          <w:szCs w:val="24"/>
          <w:lang w:eastAsia="uk-UA"/>
        </w:rPr>
        <w:t>Державний орган, для якого здійснюється розрахунок адміністрування регулювання:</w:t>
      </w:r>
    </w:p>
    <w:p>
      <w:pPr>
        <w:shd w:val="clear" w:fill="FFFFFF"/>
        <w:spacing w:lineRule="auto" w:line="240" w:before="150" w:after="150" w:beforeAutospacing="0" w:afterAutospacing="0"/>
        <w:jc w:val="center"/>
        <w:rPr>
          <w:rFonts w:ascii="Times New Roman" w:hAnsi="Times New Roman"/>
          <w:color w:val="000000"/>
          <w:sz w:val="24"/>
          <w:szCs w:val="24"/>
          <w:u w:val="single"/>
          <w:lang w:eastAsia="uk-UA"/>
        </w:rPr>
      </w:pPr>
      <w:bookmarkStart w:id="9" w:name="n193"/>
      <w:bookmarkEnd w:id="9"/>
      <w:r>
        <w:rPr>
          <w:rFonts w:ascii="Times New Roman" w:hAnsi="Times New Roman"/>
          <w:color w:val="000000"/>
          <w:sz w:val="24"/>
          <w:szCs w:val="24"/>
          <w:u w:val="single"/>
          <w:lang w:eastAsia="uk-UA"/>
        </w:rPr>
        <w:t>Державна податкова служба</w:t>
      </w:r>
    </w:p>
    <w:p>
      <w:pPr>
        <w:shd w:val="clear" w:fill="FFFFFF"/>
        <w:spacing w:lineRule="auto" w:line="240" w:before="150" w:after="150" w:beforeAutospacing="0" w:afterAutospacing="0"/>
        <w:jc w:val="center"/>
        <w:rPr>
          <w:rFonts w:ascii="Times New Roman" w:hAnsi="Times New Roman"/>
          <w:color w:val="000000"/>
          <w:sz w:val="16"/>
          <w:szCs w:val="16"/>
          <w:lang w:eastAsia="uk-UA"/>
        </w:rPr>
      </w:pPr>
      <w:r>
        <w:rPr>
          <w:rFonts w:ascii="Times New Roman" w:hAnsi="Times New Roman"/>
          <w:color w:val="000000"/>
          <w:sz w:val="16"/>
          <w:szCs w:val="16"/>
          <w:lang w:eastAsia="uk-UA"/>
        </w:rPr>
        <w:t>(назва державного органу)</w:t>
      </w:r>
    </w:p>
    <w:tbl>
      <w:tblPr>
        <w:tblStyle w:val="T2"/>
        <w:tblW w:w="0" w:type="auto"/>
        <w:tblLook w:val="04A0"/>
      </w:tblPr>
      <w:tblGrid/>
      <w:tr>
        <w:tc>
          <w:tcPr>
            <w:tcW w:w="1690" w:type="dxa"/>
            <w:vAlign w:val="center"/>
          </w:tcPr>
          <w:p>
            <w:pPr>
              <w:jc w:val="center"/>
              <w:rPr>
                <w:rFonts w:ascii="Times New Roman" w:hAnsi="Times New Roman"/>
                <w:color w:val="000000"/>
                <w:sz w:val="20"/>
                <w:szCs w:val="20"/>
                <w:lang w:val="uk-UA" w:eastAsia="uk-UA"/>
              </w:rPr>
            </w:pPr>
            <w:r>
              <w:rPr>
                <w:rFonts w:ascii="Times New Roman" w:hAnsi="Times New Roman"/>
                <w:sz w:val="20"/>
                <w:szCs w:val="20"/>
                <w:lang w:val="uk-UA"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1415" w:type="dxa"/>
            <w:vAlign w:val="center"/>
          </w:tcPr>
          <w:p>
            <w:pPr>
              <w:jc w:val="center"/>
              <w:rPr>
                <w:rFonts w:ascii="Times New Roman" w:hAnsi="Times New Roman"/>
                <w:color w:val="000000"/>
                <w:sz w:val="20"/>
                <w:szCs w:val="20"/>
                <w:lang w:val="uk-UA" w:eastAsia="uk-UA"/>
              </w:rPr>
            </w:pPr>
            <w:r>
              <w:rPr>
                <w:rFonts w:ascii="Times New Roman" w:hAnsi="Times New Roman"/>
                <w:sz w:val="20"/>
                <w:szCs w:val="20"/>
                <w:lang w:val="uk-UA" w:eastAsia="uk-UA"/>
              </w:rPr>
              <w:t>Планові витрати часу на процедуру, годин</w:t>
            </w:r>
          </w:p>
        </w:tc>
        <w:tc>
          <w:tcPr>
            <w:tcW w:w="1527" w:type="dxa"/>
            <w:vAlign w:val="center"/>
          </w:tcPr>
          <w:p>
            <w:pPr>
              <w:jc w:val="center"/>
              <w:rPr>
                <w:rFonts w:ascii="Times New Roman" w:hAnsi="Times New Roman"/>
                <w:color w:val="000000"/>
                <w:sz w:val="20"/>
                <w:szCs w:val="20"/>
                <w:lang w:val="uk-UA" w:eastAsia="uk-UA"/>
              </w:rPr>
            </w:pPr>
            <w:r>
              <w:rPr>
                <w:rFonts w:ascii="Times New Roman" w:hAnsi="Times New Roman"/>
                <w:sz w:val="20"/>
                <w:szCs w:val="20"/>
                <w:lang w:val="uk-UA" w:eastAsia="uk-UA"/>
              </w:rPr>
              <w:t>Вартість часу співробітника органу державної влади відповідної категорії (заробітна плата)</w:t>
            </w:r>
          </w:p>
        </w:tc>
        <w:tc>
          <w:tcPr>
            <w:tcW w:w="1463" w:type="dxa"/>
            <w:vAlign w:val="center"/>
          </w:tcPr>
          <w:p>
            <w:pPr>
              <w:jc w:val="center"/>
              <w:rPr>
                <w:rFonts w:ascii="Times New Roman" w:hAnsi="Times New Roman"/>
                <w:color w:val="000000"/>
                <w:sz w:val="20"/>
                <w:szCs w:val="20"/>
                <w:lang w:val="uk-UA" w:eastAsia="uk-UA"/>
              </w:rPr>
            </w:pPr>
            <w:r>
              <w:rPr>
                <w:rFonts w:ascii="Times New Roman" w:hAnsi="Times New Roman"/>
                <w:sz w:val="20"/>
                <w:szCs w:val="20"/>
                <w:lang w:val="uk-UA" w:eastAsia="uk-UA"/>
              </w:rPr>
              <w:t>Оцінка кількості процедур за рік, що припадають на одного суб’єкта</w:t>
            </w:r>
          </w:p>
        </w:tc>
        <w:tc>
          <w:tcPr>
            <w:tcW w:w="1917" w:type="dxa"/>
            <w:vAlign w:val="center"/>
          </w:tcPr>
          <w:p>
            <w:pPr>
              <w:jc w:val="center"/>
              <w:rPr>
                <w:rFonts w:ascii="Times New Roman" w:hAnsi="Times New Roman"/>
                <w:color w:val="000000"/>
                <w:sz w:val="20"/>
                <w:szCs w:val="20"/>
                <w:lang w:val="uk-UA" w:eastAsia="uk-UA"/>
              </w:rPr>
            </w:pPr>
            <w:r>
              <w:rPr>
                <w:rFonts w:ascii="Times New Roman" w:hAnsi="Times New Roman"/>
                <w:sz w:val="20"/>
                <w:szCs w:val="20"/>
                <w:lang w:val="uk-UA" w:eastAsia="uk-UA"/>
              </w:rPr>
              <w:t>Оцінка кількості  суб’єктів, що підпадають під дію процедури регулювання</w:t>
            </w:r>
          </w:p>
        </w:tc>
        <w:tc>
          <w:tcPr>
            <w:tcW w:w="1617" w:type="dxa"/>
            <w:vAlign w:val="center"/>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Витрати на адміністрування регулювання* (за рік), гривень</w:t>
            </w:r>
          </w:p>
        </w:tc>
      </w:tr>
      <w:tr>
        <w:tc>
          <w:tcPr>
            <w:tcW w:w="1690" w:type="dxa"/>
          </w:tcPr>
          <w:p>
            <w:pPr>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1. Облік суб’єкта господарювання, що перебуває у сфері регулювання</w:t>
              <w:tab/>
            </w:r>
          </w:p>
        </w:tc>
        <w:tc>
          <w:tcPr>
            <w:tcW w:w="1415"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52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1463"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9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6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 грн</w:t>
            </w:r>
          </w:p>
        </w:tc>
      </w:tr>
      <w:tr>
        <w:tc>
          <w:tcPr>
            <w:tcW w:w="1690" w:type="dxa"/>
          </w:tcPr>
          <w:p>
            <w:pPr>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2. Поточний контроль за суб’єктом господарювання, що перебуває у сфері регулювання, у тому числі:</w:t>
            </w:r>
          </w:p>
        </w:tc>
        <w:tc>
          <w:tcPr>
            <w:tcW w:w="1415"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52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1463"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9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6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 грн</w:t>
            </w:r>
          </w:p>
        </w:tc>
      </w:tr>
      <w:tr>
        <w:tc>
          <w:tcPr>
            <w:tcW w:w="1690"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камеральні</w:t>
            </w:r>
          </w:p>
        </w:tc>
        <w:tc>
          <w:tcPr>
            <w:tcW w:w="1415"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52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1463"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9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6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 грн</w:t>
            </w:r>
          </w:p>
        </w:tc>
      </w:tr>
      <w:tr>
        <w:tc>
          <w:tcPr>
            <w:tcW w:w="1690" w:type="dxa"/>
          </w:tcPr>
          <w:p>
            <w:pP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виїзні</w:t>
            </w:r>
          </w:p>
        </w:tc>
        <w:tc>
          <w:tcPr>
            <w:tcW w:w="1415"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52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1463"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9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6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 грн</w:t>
            </w:r>
          </w:p>
        </w:tc>
      </w:tr>
      <w:tr>
        <w:tc>
          <w:tcPr>
            <w:tcW w:w="1690" w:type="dxa"/>
          </w:tcPr>
          <w:p>
            <w:pPr>
              <w:jc w:val="both"/>
              <w:rPr>
                <w:rFonts w:ascii="Times New Roman" w:hAnsi="Times New Roman"/>
                <w:color w:val="000000"/>
                <w:sz w:val="20"/>
                <w:szCs w:val="20"/>
                <w:lang w:val="uk-UA" w:eastAsia="uk-UA"/>
              </w:rPr>
            </w:pPr>
            <w:r>
              <w:rPr>
                <w:rFonts w:ascii="Times New Roman" w:hAnsi="Times New Roman"/>
                <w:sz w:val="20"/>
                <w:szCs w:val="20"/>
                <w:lang w:val="uk-UA" w:eastAsia="uk-UA"/>
              </w:rPr>
              <w:t>3. Підготовка, затвердження та опрацювання одного окремого акта про порушення вимог регулювання</w:t>
            </w:r>
          </w:p>
        </w:tc>
        <w:tc>
          <w:tcPr>
            <w:tcW w:w="1415"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52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1463"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9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6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 грн</w:t>
            </w:r>
          </w:p>
        </w:tc>
      </w:tr>
      <w:tr>
        <w:tc>
          <w:tcPr>
            <w:tcW w:w="1690" w:type="dxa"/>
          </w:tcPr>
          <w:p>
            <w:pPr>
              <w:jc w:val="both"/>
              <w:rPr>
                <w:rFonts w:ascii="Times New Roman" w:hAnsi="Times New Roman"/>
                <w:color w:val="000000"/>
                <w:sz w:val="20"/>
                <w:szCs w:val="20"/>
                <w:lang w:val="uk-UA" w:eastAsia="uk-UA"/>
              </w:rPr>
            </w:pPr>
            <w:r>
              <w:rPr>
                <w:rFonts w:ascii="Times New Roman" w:hAnsi="Times New Roman"/>
                <w:sz w:val="20"/>
                <w:szCs w:val="20"/>
                <w:lang w:val="uk-UA" w:eastAsia="uk-UA"/>
              </w:rPr>
              <w:t>4. Реалізація одного окремого рішення щодо порушення вимог регулювання</w:t>
            </w:r>
          </w:p>
        </w:tc>
        <w:tc>
          <w:tcPr>
            <w:tcW w:w="1415"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52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1463"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9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6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 грн</w:t>
            </w:r>
          </w:p>
        </w:tc>
      </w:tr>
      <w:tr>
        <w:tc>
          <w:tcPr>
            <w:tcW w:w="1690" w:type="dxa"/>
          </w:tcPr>
          <w:p>
            <w:pPr>
              <w:jc w:val="both"/>
              <w:rPr>
                <w:rFonts w:ascii="Times New Roman" w:hAnsi="Times New Roman"/>
                <w:color w:val="000000"/>
                <w:sz w:val="20"/>
                <w:szCs w:val="20"/>
                <w:lang w:val="uk-UA" w:eastAsia="uk-UA"/>
              </w:rPr>
            </w:pPr>
            <w:r>
              <w:rPr>
                <w:rFonts w:ascii="Times New Roman" w:hAnsi="Times New Roman"/>
                <w:sz w:val="20"/>
                <w:szCs w:val="20"/>
                <w:lang w:val="uk-UA" w:eastAsia="uk-UA"/>
              </w:rPr>
              <w:t>5. Оскарження одного окремого рішення суб’єктами господарювання</w:t>
            </w:r>
          </w:p>
        </w:tc>
        <w:tc>
          <w:tcPr>
            <w:tcW w:w="1415"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52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1463"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9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6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 грн</w:t>
            </w:r>
          </w:p>
        </w:tc>
      </w:tr>
      <w:tr>
        <w:tc>
          <w:tcPr>
            <w:tcW w:w="1690" w:type="dxa"/>
          </w:tcPr>
          <w:p>
            <w:pPr>
              <w:jc w:val="both"/>
              <w:rPr>
                <w:rFonts w:ascii="Times New Roman" w:hAnsi="Times New Roman"/>
                <w:sz w:val="20"/>
                <w:szCs w:val="20"/>
                <w:lang w:val="uk-UA" w:eastAsia="uk-UA"/>
              </w:rPr>
            </w:pPr>
            <w:r>
              <w:rPr>
                <w:rFonts w:ascii="Times New Roman" w:hAnsi="Times New Roman"/>
                <w:sz w:val="20"/>
                <w:szCs w:val="20"/>
                <w:lang w:val="uk-UA" w:eastAsia="uk-UA"/>
              </w:rPr>
              <w:t>6. Підготовка звітності за результатами регулювання</w:t>
            </w:r>
          </w:p>
        </w:tc>
        <w:tc>
          <w:tcPr>
            <w:tcW w:w="1415"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52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1463"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9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6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 грн</w:t>
            </w:r>
          </w:p>
        </w:tc>
      </w:tr>
      <w:tr>
        <w:tc>
          <w:tcPr>
            <w:tcW w:w="1690" w:type="dxa"/>
          </w:tcPr>
          <w:p>
            <w:pPr>
              <w:jc w:val="both"/>
              <w:rPr>
                <w:rFonts w:ascii="Times New Roman" w:hAnsi="Times New Roman"/>
                <w:sz w:val="20"/>
                <w:szCs w:val="20"/>
                <w:lang w:val="uk-UA" w:eastAsia="uk-UA"/>
              </w:rPr>
            </w:pPr>
            <w:r>
              <w:rPr>
                <w:rFonts w:ascii="Times New Roman" w:hAnsi="Times New Roman"/>
                <w:sz w:val="20"/>
                <w:szCs w:val="20"/>
                <w:lang w:val="uk-UA" w:eastAsia="uk-UA"/>
              </w:rPr>
              <w:t>7. Інші адміністративні процедури (уточнити)</w:t>
            </w:r>
          </w:p>
        </w:tc>
        <w:tc>
          <w:tcPr>
            <w:tcW w:w="1415"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52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1463"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9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w:t>
            </w:r>
          </w:p>
        </w:tc>
        <w:tc>
          <w:tcPr>
            <w:tcW w:w="16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 грн</w:t>
            </w:r>
          </w:p>
        </w:tc>
      </w:tr>
      <w:tr>
        <w:tc>
          <w:tcPr>
            <w:tcW w:w="1690" w:type="dxa"/>
          </w:tcPr>
          <w:p>
            <w:pPr>
              <w:jc w:val="both"/>
              <w:rPr>
                <w:rFonts w:ascii="Times New Roman" w:hAnsi="Times New Roman"/>
                <w:sz w:val="20"/>
                <w:szCs w:val="20"/>
                <w:lang w:val="uk-UA" w:eastAsia="uk-UA"/>
              </w:rPr>
            </w:pPr>
            <w:r>
              <w:rPr>
                <w:rFonts w:ascii="Times New Roman" w:hAnsi="Times New Roman"/>
                <w:sz w:val="20"/>
                <w:szCs w:val="20"/>
                <w:lang w:val="uk-UA" w:eastAsia="uk-UA"/>
              </w:rPr>
              <w:t>Разом за рік</w:t>
            </w:r>
          </w:p>
        </w:tc>
        <w:tc>
          <w:tcPr>
            <w:tcW w:w="1415"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c>
          <w:tcPr>
            <w:tcW w:w="152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c>
          <w:tcPr>
            <w:tcW w:w="1463"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c>
          <w:tcPr>
            <w:tcW w:w="19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c>
          <w:tcPr>
            <w:tcW w:w="16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 грн</w:t>
            </w:r>
          </w:p>
        </w:tc>
      </w:tr>
      <w:tr>
        <w:tc>
          <w:tcPr>
            <w:tcW w:w="1690" w:type="dxa"/>
          </w:tcPr>
          <w:p>
            <w:pPr>
              <w:jc w:val="both"/>
              <w:rPr>
                <w:rFonts w:ascii="Times New Roman" w:hAnsi="Times New Roman"/>
                <w:sz w:val="20"/>
                <w:szCs w:val="20"/>
                <w:lang w:val="uk-UA" w:eastAsia="uk-UA"/>
              </w:rPr>
            </w:pPr>
            <w:r>
              <w:rPr>
                <w:rFonts w:ascii="Times New Roman" w:hAnsi="Times New Roman"/>
                <w:sz w:val="20"/>
                <w:szCs w:val="20"/>
                <w:lang w:val="uk-UA" w:eastAsia="uk-UA"/>
              </w:rPr>
              <w:t>Сумарно за п’ять років</w:t>
            </w:r>
          </w:p>
        </w:tc>
        <w:tc>
          <w:tcPr>
            <w:tcW w:w="1415"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c>
          <w:tcPr>
            <w:tcW w:w="152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c>
          <w:tcPr>
            <w:tcW w:w="1463"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c>
          <w:tcPr>
            <w:tcW w:w="19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c>
          <w:tcPr>
            <w:tcW w:w="1617" w:type="dxa"/>
          </w:tcPr>
          <w:p>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0 грн</w:t>
            </w:r>
          </w:p>
        </w:tc>
      </w:tr>
    </w:tbl>
    <w:p>
      <w:pPr>
        <w:shd w:val="clear" w:fill="FFFFFF"/>
        <w:spacing w:lineRule="auto" w:line="240" w:after="150" w:beforeAutospacing="0" w:afterAutospacing="0"/>
        <w:jc w:val="both"/>
        <w:rPr>
          <w:rFonts w:ascii="Times New Roman" w:hAnsi="Times New Roman"/>
          <w:color w:val="000000"/>
          <w:sz w:val="24"/>
          <w:szCs w:val="24"/>
          <w:lang w:eastAsia="uk-UA"/>
        </w:rPr>
      </w:pPr>
      <w:bookmarkStart w:id="10" w:name="n195"/>
      <w:bookmarkEnd w:id="10"/>
      <w:r>
        <w:rPr>
          <w:rFonts w:ascii="Times New Roman" w:hAnsi="Times New Roman"/>
          <w:color w:val="000000"/>
          <w:sz w:val="20"/>
          <w:szCs w:val="20"/>
          <w:lang w:eastAsia="uk-UA"/>
        </w:rPr>
        <w:t>__________</w:t>
      </w:r>
      <w:r>
        <w:rPr>
          <w:rFonts w:ascii="Times New Roman" w:hAnsi="Times New Roman"/>
          <w:color w:val="000000"/>
          <w:sz w:val="24"/>
          <w:szCs w:val="24"/>
          <w:lang w:eastAsia="uk-UA"/>
        </w:rPr>
        <w:br w:type="textWrapping"/>
      </w:r>
      <w:r>
        <w:rPr>
          <w:rFonts w:ascii="Times New Roman" w:hAnsi="Times New Roman"/>
          <w:color w:val="000000"/>
          <w:sz w:val="20"/>
          <w:szCs w:val="20"/>
          <w:lang w:eastAsia="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p>
      <w:pPr>
        <w:widowControl w:val="0"/>
        <w:spacing w:lineRule="auto" w:line="240" w:after="0" w:beforeAutospacing="0" w:afterAutospacing="0"/>
        <w:jc w:val="both"/>
        <w:rPr>
          <w:rFonts w:ascii="Times New Roman" w:hAnsi="Times New Roman"/>
          <w:color w:val="000000" w:themeColor="text1"/>
          <w:sz w:val="28"/>
          <w:szCs w:val="28"/>
          <w:lang w:eastAsia="ru-RU"/>
        </w:rPr>
      </w:pPr>
    </w:p>
    <w:sectPr>
      <w:footnotePr/>
      <w:endnotePr/>
      <w:type w:val="nextPage"/>
      <w:pgSz w:w="11906" w:h="16838" w:code="0"/>
      <w:pgMar w:left="1701" w:right="851" w:top="1134" w:bottom="1134" w:header="709" w:footer="709"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 w:id="1">
    <w:p>
      <w:pPr>
        <w:pStyle w:val="P16"/>
        <w:ind w:firstLine="709"/>
        <w:jc w:val="both"/>
        <w:rPr>
          <w:lang w:val="uk-UA"/>
        </w:rPr>
      </w:pPr>
      <w:r>
        <w:rPr>
          <w:rStyle w:val="C11"/>
          <w:lang w:val="uk-UA"/>
        </w:rPr>
        <w:footnoteRef/>
      </w:r>
      <w:r>
        <w:rPr>
          <w:lang w:val="uk-UA"/>
        </w:rPr>
        <w:t xml:space="preserve"> Регуляторна дія акта поширюється на підприємства</w:t>
      </w:r>
      <w:r>
        <w:rPr>
          <w:lang w:val="uk-UA"/>
        </w:rPr>
        <w:t>,</w:t>
      </w:r>
      <w:r>
        <w:rPr>
          <w:lang w:val="uk-UA"/>
        </w:rPr>
        <w:t xml:space="preserve"> установи та організації </w:t>
      </w:r>
      <w:r>
        <w:rPr>
          <w:lang w:val="uk-UA"/>
        </w:rPr>
        <w:t>(</w:t>
      </w:r>
      <w:r>
        <w:rPr>
          <w:lang w:val="uk-UA"/>
        </w:rPr>
        <w:t>серед яких найчисленнішу групу становлять заклади вищої освіти та наукові установи</w:t>
      </w:r>
      <w:r>
        <w:rPr>
          <w:lang w:val="uk-UA"/>
        </w:rPr>
        <w:t>)</w:t>
      </w:r>
      <w:r>
        <w:rPr>
          <w:lang w:val="uk-UA"/>
        </w:rPr>
        <w:t>,</w:t>
      </w:r>
      <w:r>
        <w:rPr>
          <w:lang w:val="uk-UA"/>
        </w:rPr>
        <w:t xml:space="preserve"> що здійснюють наукові дослідження і розробки</w:t>
      </w:r>
      <w:r>
        <w:rPr>
          <w:lang w:val="uk-UA"/>
        </w:rPr>
        <w:t>,</w:t>
      </w:r>
      <w:r>
        <w:rPr>
          <w:lang w:val="uk-UA"/>
        </w:rPr>
        <w:t xml:space="preserve"> в результаті яких створюються технології</w:t>
      </w:r>
      <w:r>
        <w:rPr>
          <w:lang w:val="uk-UA"/>
        </w:rPr>
        <w:t>.</w:t>
      </w:r>
      <w:r>
        <w:rPr>
          <w:lang w:val="uk-UA"/>
        </w:rPr>
        <w:t xml:space="preserve"> За даними Держстату</w:t>
      </w:r>
      <w:r>
        <w:rPr>
          <w:lang w:val="uk-UA"/>
        </w:rPr>
        <w:t>,</w:t>
      </w:r>
      <w:r>
        <w:rPr>
          <w:lang w:val="uk-UA"/>
        </w:rPr>
        <w:t xml:space="preserve"> в Україні упродовж 2020 року науково</w:t>
      </w:r>
      <w:r>
        <w:rPr>
          <w:lang w:val="uk-UA"/>
        </w:rPr>
        <w:t>-</w:t>
      </w:r>
      <w:r>
        <w:rPr>
          <w:lang w:val="uk-UA"/>
        </w:rPr>
        <w:t xml:space="preserve">дослідні роботи </w:t>
      </w:r>
      <w:r>
        <w:rPr>
          <w:lang w:val="uk-UA"/>
        </w:rPr>
        <w:t>(</w:t>
      </w:r>
      <w:r>
        <w:rPr>
          <w:lang w:val="uk-UA"/>
        </w:rPr>
        <w:t>НДР</w:t>
      </w:r>
      <w:r>
        <w:rPr>
          <w:lang w:val="uk-UA"/>
        </w:rPr>
        <w:t>)</w:t>
      </w:r>
      <w:r>
        <w:rPr>
          <w:lang w:val="uk-UA"/>
        </w:rPr>
        <w:t xml:space="preserve"> виконували 769 організацій</w:t>
      </w:r>
      <w:r>
        <w:rPr>
          <w:lang w:val="uk-UA"/>
        </w:rPr>
        <w:t>,</w:t>
      </w:r>
      <w:r>
        <w:rPr>
          <w:lang w:val="uk-UA"/>
        </w:rPr>
        <w:t xml:space="preserve"> 54</w:t>
      </w:r>
      <w:r>
        <w:rPr>
          <w:lang w:val="uk-UA"/>
        </w:rPr>
        <w:t>,</w:t>
      </w:r>
      <w:r>
        <w:rPr>
          <w:lang w:val="uk-UA"/>
        </w:rPr>
        <w:t xml:space="preserve">1 </w:t>
      </w:r>
      <w:r>
        <w:rPr>
          <w:lang w:val="uk-UA"/>
        </w:rPr>
        <w:t>%</w:t>
      </w:r>
      <w:r>
        <w:rPr>
          <w:lang w:val="uk-UA"/>
        </w:rPr>
        <w:t xml:space="preserve"> </w:t>
      </w:r>
      <w:r>
        <w:rPr>
          <w:lang w:val="uk-UA"/>
        </w:rPr>
        <w:t>(</w:t>
      </w:r>
      <w:r>
        <w:rPr>
          <w:lang w:val="uk-UA"/>
        </w:rPr>
        <w:t>416 установ</w:t>
      </w:r>
      <w:r>
        <w:rPr>
          <w:lang w:val="uk-UA"/>
        </w:rPr>
        <w:t>)</w:t>
      </w:r>
      <w:r>
        <w:rPr>
          <w:lang w:val="uk-UA"/>
        </w:rPr>
        <w:t xml:space="preserve"> відносилися до державного сектору економіки </w:t>
      </w:r>
      <w:r>
        <w:rPr>
          <w:lang w:val="uk-UA"/>
        </w:rPr>
        <w:t>(</w:t>
      </w:r>
      <w:r>
        <w:rPr>
          <w:lang w:val="uk-UA"/>
        </w:rPr>
        <w:t>зокрема</w:t>
      </w:r>
      <w:r>
        <w:rPr>
          <w:lang w:val="uk-UA"/>
        </w:rPr>
        <w:t>,</w:t>
      </w:r>
      <w:r>
        <w:rPr>
          <w:lang w:val="uk-UA"/>
        </w:rPr>
        <w:t xml:space="preserve"> наукові інститути НАН України та національних галузевих академій наук України</w:t>
      </w:r>
      <w:r>
        <w:rPr>
          <w:lang w:val="uk-UA"/>
        </w:rPr>
        <w:t>)</w:t>
      </w:r>
      <w:r>
        <w:rPr>
          <w:lang w:val="uk-UA"/>
        </w:rPr>
        <w:t>,</w:t>
      </w:r>
      <w:r>
        <w:rPr>
          <w:lang w:val="uk-UA"/>
        </w:rPr>
        <w:t xml:space="preserve"> 25</w:t>
      </w:r>
      <w:r>
        <w:rPr>
          <w:lang w:val="uk-UA"/>
        </w:rPr>
        <w:t>,</w:t>
      </w:r>
      <w:r>
        <w:rPr>
          <w:lang w:val="uk-UA"/>
        </w:rPr>
        <w:t>7</w:t>
      </w:r>
      <w:r>
        <w:rPr>
          <w:lang w:val="uk-UA"/>
        </w:rPr>
        <w:t>%</w:t>
      </w:r>
      <w:r>
        <w:rPr>
          <w:lang w:val="uk-UA"/>
        </w:rPr>
        <w:t xml:space="preserve"> </w:t>
      </w:r>
      <w:r>
        <w:rPr>
          <w:lang w:val="uk-UA"/>
        </w:rPr>
        <w:t>(</w:t>
      </w:r>
      <w:r>
        <w:rPr>
          <w:lang w:val="uk-UA"/>
        </w:rPr>
        <w:t>198 суб</w:t>
      </w:r>
      <w:r>
        <w:rPr>
          <w:lang w:val="uk-UA"/>
        </w:rPr>
        <w:t>’</w:t>
      </w:r>
      <w:r>
        <w:rPr>
          <w:lang w:val="uk-UA"/>
        </w:rPr>
        <w:t>єкт господарювання</w:t>
      </w:r>
      <w:r>
        <w:rPr>
          <w:lang w:val="uk-UA"/>
        </w:rPr>
        <w:t>)</w:t>
      </w:r>
      <w:r>
        <w:rPr>
          <w:lang w:val="uk-UA"/>
        </w:rPr>
        <w:t xml:space="preserve"> </w:t>
      </w:r>
      <w:r>
        <w:rPr>
          <w:lang w:val="uk-UA"/>
        </w:rPr>
        <w:t>–</w:t>
      </w:r>
      <w:r>
        <w:rPr>
          <w:lang w:val="uk-UA"/>
        </w:rPr>
        <w:t xml:space="preserve"> суб</w:t>
      </w:r>
      <w:r>
        <w:rPr>
          <w:lang w:val="uk-UA"/>
        </w:rPr>
        <w:t>’</w:t>
      </w:r>
      <w:r>
        <w:rPr>
          <w:lang w:val="uk-UA"/>
        </w:rPr>
        <w:t>єкти підприємницької діяльності</w:t>
      </w:r>
      <w:r>
        <w:rPr>
          <w:lang w:val="uk-UA"/>
        </w:rPr>
        <w:t>,</w:t>
      </w:r>
      <w:r>
        <w:rPr>
          <w:lang w:val="uk-UA"/>
        </w:rPr>
        <w:t xml:space="preserve"> 20</w:t>
      </w:r>
      <w:r>
        <w:rPr>
          <w:lang w:val="uk-UA"/>
        </w:rPr>
        <w:t>,</w:t>
      </w:r>
      <w:r>
        <w:rPr>
          <w:lang w:val="uk-UA"/>
        </w:rPr>
        <w:t>2</w:t>
      </w:r>
      <w:r>
        <w:rPr>
          <w:lang w:val="uk-UA"/>
        </w:rPr>
        <w:t>%</w:t>
      </w:r>
      <w:r>
        <w:rPr>
          <w:lang w:val="uk-UA"/>
        </w:rPr>
        <w:t xml:space="preserve"> </w:t>
      </w:r>
      <w:r>
        <w:rPr>
          <w:lang w:val="uk-UA"/>
        </w:rPr>
        <w:t>(</w:t>
      </w:r>
      <w:r>
        <w:rPr>
          <w:lang w:val="uk-UA"/>
        </w:rPr>
        <w:t>155 суб</w:t>
      </w:r>
      <w:r>
        <w:rPr>
          <w:lang w:val="uk-UA"/>
        </w:rPr>
        <w:t>’</w:t>
      </w:r>
      <w:r>
        <w:rPr>
          <w:lang w:val="uk-UA"/>
        </w:rPr>
        <w:t>єкти господарювання</w:t>
      </w:r>
      <w:r>
        <w:rPr>
          <w:lang w:val="uk-UA"/>
        </w:rPr>
        <w:t>)</w:t>
      </w:r>
      <w:r>
        <w:rPr>
          <w:lang w:val="uk-UA"/>
        </w:rPr>
        <w:t xml:space="preserve"> </w:t>
      </w:r>
      <w:r>
        <w:rPr>
          <w:lang w:val="uk-UA"/>
        </w:rPr>
        <w:t>–</w:t>
      </w:r>
      <w:r>
        <w:rPr>
          <w:lang w:val="uk-UA"/>
        </w:rPr>
        <w:t xml:space="preserve"> заклади вищої освіти</w:t>
      </w:r>
      <w:r>
        <w:rPr>
          <w:lang w:val="uk-UA"/>
        </w:rPr>
        <w:t>.</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7"/>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noProof w:val="1"/>
        <w:sz w:val="28"/>
        <w:szCs w:val="28"/>
      </w:rPr>
      <w:t>#</w:t>
    </w:r>
    <w:r>
      <w:rPr>
        <w:rFonts w:ascii="Times New Roman" w:hAnsi="Times New Roman"/>
        <w:sz w:val="28"/>
        <w:szCs w:val="28"/>
      </w:rPr>
      <w:fldChar w:fldCharType="end"/>
    </w:r>
  </w:p>
  <w:p>
    <w:pPr>
      <w:pStyle w:val="P7"/>
      <w:rPr>
        <w:rFonts w:ascii="Times New Roman" w:hAnsi="Times New Roman"/>
        <w:sz w:val="16"/>
        <w:szCs w:val="16"/>
      </w:rPr>
    </w:pPr>
  </w:p>
</w:hdr>
</file>

<file path=word/numbering.xml><?xml version="1.0" encoding="utf-8"?>
<w:numbering xmlns:w="http://schemas.openxmlformats.org/wordprocessingml/2006/main">
  <w:abstractNum w:abstractNumId="0">
    <w:nsid w:val="17E567AD"/>
    <w:multiLevelType w:val="hybridMultilevel"/>
    <w:lvl w:ilvl="0" w:tplc="470AAC14">
      <w:start w:val="1"/>
      <w:numFmt w:val="bullet"/>
      <w:suff w:val="tab"/>
      <w:lvlText w:val="-"/>
      <w:lvlJc w:val="left"/>
      <w:pPr>
        <w:ind w:hanging="360" w:left="1080"/>
      </w:pPr>
      <w:rPr>
        <w:rFonts w:ascii="Times New Roman" w:hAnsi="Times New Roman"/>
      </w:rPr>
    </w:lvl>
    <w:lvl w:ilvl="1" w:tplc="04190003">
      <w:start w:val="1"/>
      <w:numFmt w:val="bullet"/>
      <w:suff w:val="tab"/>
      <w:lvlText w:val="o"/>
      <w:lvlJc w:val="left"/>
      <w:pPr>
        <w:ind w:hanging="360" w:left="1800"/>
      </w:pPr>
      <w:rPr>
        <w:rFonts w:ascii="Courier New" w:hAnsi="Courier New"/>
      </w:rPr>
    </w:lvl>
    <w:lvl w:ilvl="2" w:tplc="04190005">
      <w:start w:val="1"/>
      <w:numFmt w:val="bullet"/>
      <w:suff w:val="tab"/>
      <w:lvlText w:val=""/>
      <w:lvlJc w:val="left"/>
      <w:pPr>
        <w:ind w:hanging="360" w:left="2520"/>
      </w:pPr>
      <w:rPr>
        <w:rFonts w:ascii="Wingdings" w:hAnsi="Wingdings"/>
      </w:rPr>
    </w:lvl>
    <w:lvl w:ilvl="3" w:tplc="04190001">
      <w:start w:val="1"/>
      <w:numFmt w:val="bullet"/>
      <w:suff w:val="tab"/>
      <w:lvlText w:val=""/>
      <w:lvlJc w:val="left"/>
      <w:pPr>
        <w:ind w:hanging="360" w:left="3240"/>
      </w:pPr>
      <w:rPr>
        <w:rFonts w:ascii="Symbol" w:hAnsi="Symbol"/>
      </w:rPr>
    </w:lvl>
    <w:lvl w:ilvl="4" w:tplc="04190003">
      <w:start w:val="1"/>
      <w:numFmt w:val="bullet"/>
      <w:suff w:val="tab"/>
      <w:lvlText w:val="o"/>
      <w:lvlJc w:val="left"/>
      <w:pPr>
        <w:ind w:hanging="360" w:left="3960"/>
      </w:pPr>
      <w:rPr>
        <w:rFonts w:ascii="Courier New" w:hAnsi="Courier New"/>
      </w:rPr>
    </w:lvl>
    <w:lvl w:ilvl="5" w:tplc="04190005">
      <w:start w:val="1"/>
      <w:numFmt w:val="bullet"/>
      <w:suff w:val="tab"/>
      <w:lvlText w:val=""/>
      <w:lvlJc w:val="left"/>
      <w:pPr>
        <w:ind w:hanging="360" w:left="4680"/>
      </w:pPr>
      <w:rPr>
        <w:rFonts w:ascii="Wingdings" w:hAnsi="Wingdings"/>
      </w:rPr>
    </w:lvl>
    <w:lvl w:ilvl="6" w:tplc="04190001">
      <w:start w:val="1"/>
      <w:numFmt w:val="bullet"/>
      <w:suff w:val="tab"/>
      <w:lvlText w:val=""/>
      <w:lvlJc w:val="left"/>
      <w:pPr>
        <w:ind w:hanging="360" w:left="5400"/>
      </w:pPr>
      <w:rPr>
        <w:rFonts w:ascii="Symbol" w:hAnsi="Symbol"/>
      </w:rPr>
    </w:lvl>
    <w:lvl w:ilvl="7" w:tplc="04190003">
      <w:start w:val="1"/>
      <w:numFmt w:val="bullet"/>
      <w:suff w:val="tab"/>
      <w:lvlText w:val="o"/>
      <w:lvlJc w:val="left"/>
      <w:pPr>
        <w:ind w:hanging="360" w:left="6120"/>
      </w:pPr>
      <w:rPr>
        <w:rFonts w:ascii="Courier New" w:hAnsi="Courier New"/>
      </w:rPr>
    </w:lvl>
    <w:lvl w:ilvl="8" w:tplc="04190005">
      <w:start w:val="1"/>
      <w:numFmt w:val="bullet"/>
      <w:suff w:val="tab"/>
      <w:lvlText w:val=""/>
      <w:lvlJc w:val="left"/>
      <w:pPr>
        <w:ind w:hanging="360" w:left="6840"/>
      </w:pPr>
      <w:rPr>
        <w:rFonts w:ascii="Wingdings" w:hAnsi="Wingdings"/>
      </w:rPr>
    </w:lvl>
  </w:abstractNum>
  <w:abstractNum w:abstractNumId="1">
    <w:nsid w:val="26DF6047"/>
    <w:multiLevelType w:val="hybridMultilevel"/>
    <w:lvl w:ilvl="0" w:tplc="5082163A">
      <w:start w:val="1"/>
      <w:numFmt w:val="decimal"/>
      <w:suff w:val="tab"/>
      <w:lvlText w:val="%1."/>
      <w:lvlJc w:val="left"/>
      <w:pPr>
        <w:ind w:hanging="360" w:left="928"/>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abstractNum w:abstractNumId="2">
    <w:nsid w:val="52A2603D"/>
    <w:multiLevelType w:val="hybridMultilevel"/>
    <w:lvl w:ilvl="0" w:tplc="9ABC9772">
      <w:start w:val="256"/>
      <w:numFmt w:val="bullet"/>
      <w:suff w:val="tab"/>
      <w:lvlText w:val="-"/>
      <w:lvlJc w:val="left"/>
      <w:pPr>
        <w:ind w:hanging="360" w:left="720"/>
      </w:pPr>
      <w:rPr>
        <w:rFonts w:ascii="Times New Roman" w:hAnsi="Times New Roman"/>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abstractNum w:abstractNumId="3">
    <w:nsid w:val="7AC955C2"/>
    <w:multiLevelType w:val="hybridMultilevel"/>
    <w:lvl w:ilvl="0" w:tplc="536855FE">
      <w:start w:val="1"/>
      <w:numFmt w:val="bullet"/>
      <w:suff w:val="tab"/>
      <w:lvlText w:val=""/>
      <w:lvlJc w:val="left"/>
      <w:pPr>
        <w:ind w:hanging="360" w:left="1429"/>
      </w:pPr>
      <w:rPr>
        <w:rFonts w:ascii="Symbol" w:hAnsi="Symbol"/>
      </w:rPr>
    </w:lvl>
    <w:lvl w:ilvl="1" w:tplc="04220003">
      <w:start w:val="1"/>
      <w:numFmt w:val="bullet"/>
      <w:suff w:val="tab"/>
      <w:lvlText w:val="o"/>
      <w:lvlJc w:val="left"/>
      <w:pPr>
        <w:ind w:hanging="360" w:left="2149"/>
      </w:pPr>
      <w:rPr>
        <w:rFonts w:ascii="Courier New" w:hAnsi="Courier New"/>
      </w:rPr>
    </w:lvl>
    <w:lvl w:ilvl="2" w:tplc="04220005">
      <w:start w:val="1"/>
      <w:numFmt w:val="bullet"/>
      <w:suff w:val="tab"/>
      <w:lvlText w:val=""/>
      <w:lvlJc w:val="left"/>
      <w:pPr>
        <w:ind w:hanging="360" w:left="2869"/>
      </w:pPr>
      <w:rPr>
        <w:rFonts w:ascii="Wingdings" w:hAnsi="Wingdings"/>
      </w:rPr>
    </w:lvl>
    <w:lvl w:ilvl="3" w:tplc="04220001">
      <w:start w:val="1"/>
      <w:numFmt w:val="bullet"/>
      <w:suff w:val="tab"/>
      <w:lvlText w:val=""/>
      <w:lvlJc w:val="left"/>
      <w:pPr>
        <w:ind w:hanging="360" w:left="3589"/>
      </w:pPr>
      <w:rPr>
        <w:rFonts w:ascii="Symbol" w:hAnsi="Symbol"/>
      </w:rPr>
    </w:lvl>
    <w:lvl w:ilvl="4" w:tplc="04220003">
      <w:start w:val="1"/>
      <w:numFmt w:val="bullet"/>
      <w:suff w:val="tab"/>
      <w:lvlText w:val="o"/>
      <w:lvlJc w:val="left"/>
      <w:pPr>
        <w:ind w:hanging="360" w:left="4309"/>
      </w:pPr>
      <w:rPr>
        <w:rFonts w:ascii="Courier New" w:hAnsi="Courier New"/>
      </w:rPr>
    </w:lvl>
    <w:lvl w:ilvl="5" w:tplc="04220005">
      <w:start w:val="1"/>
      <w:numFmt w:val="bullet"/>
      <w:suff w:val="tab"/>
      <w:lvlText w:val=""/>
      <w:lvlJc w:val="left"/>
      <w:pPr>
        <w:ind w:hanging="360" w:left="5029"/>
      </w:pPr>
      <w:rPr>
        <w:rFonts w:ascii="Wingdings" w:hAnsi="Wingdings"/>
      </w:rPr>
    </w:lvl>
    <w:lvl w:ilvl="6" w:tplc="04220001">
      <w:start w:val="1"/>
      <w:numFmt w:val="bullet"/>
      <w:suff w:val="tab"/>
      <w:lvlText w:val=""/>
      <w:lvlJc w:val="left"/>
      <w:pPr>
        <w:ind w:hanging="360" w:left="5749"/>
      </w:pPr>
      <w:rPr>
        <w:rFonts w:ascii="Symbol" w:hAnsi="Symbol"/>
      </w:rPr>
    </w:lvl>
    <w:lvl w:ilvl="7" w:tplc="04220003">
      <w:start w:val="1"/>
      <w:numFmt w:val="bullet"/>
      <w:suff w:val="tab"/>
      <w:lvlText w:val="o"/>
      <w:lvlJc w:val="left"/>
      <w:pPr>
        <w:ind w:hanging="360" w:left="6469"/>
      </w:pPr>
      <w:rPr>
        <w:rFonts w:ascii="Courier New" w:hAnsi="Courier New"/>
      </w:rPr>
    </w:lvl>
    <w:lvl w:ilvl="8" w:tplc="04220005">
      <w:start w:val="1"/>
      <w:numFmt w:val="bullet"/>
      <w:suff w:val="tab"/>
      <w:lvlText w:val=""/>
      <w:lvlJc w:val="left"/>
      <w:pPr>
        <w:ind w:hanging="360" w:left="7189"/>
      </w:pPr>
      <w:rPr>
        <w:rFonts w:ascii="Wingdings" w:hAnsi="Wingdings"/>
      </w:rPr>
    </w:lvl>
  </w:abstractNum>
  <w:abstractNum w:abstractNumId="4">
    <w:nsid w:val="7F4F4DA4"/>
    <w:multiLevelType w:val="hybridMultilevel"/>
    <w:lvl w:ilvl="0" w:tplc="34D89008">
      <w:start w:val="2"/>
      <w:numFmt w:val="decimal"/>
      <w:suff w:val="tab"/>
      <w:lvlText w:val="%1."/>
      <w:lvlJc w:val="left"/>
      <w:pPr>
        <w:ind w:hanging="360" w:left="1288"/>
      </w:pPr>
      <w:rPr/>
    </w:lvl>
    <w:lvl w:ilvl="1" w:tplc="04220019">
      <w:start w:val="1"/>
      <w:numFmt w:val="lowerLetter"/>
      <w:suff w:val="tab"/>
      <w:lvlText w:val="%2."/>
      <w:lvlJc w:val="left"/>
      <w:pPr>
        <w:ind w:hanging="360" w:left="2008"/>
      </w:pPr>
      <w:rPr/>
    </w:lvl>
    <w:lvl w:ilvl="2" w:tplc="0422001B">
      <w:start w:val="1"/>
      <w:numFmt w:val="lowerRoman"/>
      <w:suff w:val="tab"/>
      <w:lvlText w:val="%3."/>
      <w:lvlJc w:val="right"/>
      <w:pPr>
        <w:ind w:hanging="180" w:left="2728"/>
      </w:pPr>
      <w:rPr/>
    </w:lvl>
    <w:lvl w:ilvl="3" w:tplc="0422000F">
      <w:start w:val="1"/>
      <w:numFmt w:val="decimal"/>
      <w:suff w:val="tab"/>
      <w:lvlText w:val="%4."/>
      <w:lvlJc w:val="left"/>
      <w:pPr>
        <w:ind w:hanging="360" w:left="3448"/>
      </w:pPr>
      <w:rPr/>
    </w:lvl>
    <w:lvl w:ilvl="4" w:tplc="04220019">
      <w:start w:val="1"/>
      <w:numFmt w:val="lowerLetter"/>
      <w:suff w:val="tab"/>
      <w:lvlText w:val="%5."/>
      <w:lvlJc w:val="left"/>
      <w:pPr>
        <w:ind w:hanging="360" w:left="4168"/>
      </w:pPr>
      <w:rPr/>
    </w:lvl>
    <w:lvl w:ilvl="5" w:tplc="0422001B">
      <w:start w:val="1"/>
      <w:numFmt w:val="lowerRoman"/>
      <w:suff w:val="tab"/>
      <w:lvlText w:val="%6."/>
      <w:lvlJc w:val="right"/>
      <w:pPr>
        <w:ind w:hanging="180" w:left="4888"/>
      </w:pPr>
      <w:rPr/>
    </w:lvl>
    <w:lvl w:ilvl="6" w:tplc="0422000F">
      <w:start w:val="1"/>
      <w:numFmt w:val="decimal"/>
      <w:suff w:val="tab"/>
      <w:lvlText w:val="%7."/>
      <w:lvlJc w:val="left"/>
      <w:pPr>
        <w:ind w:hanging="360" w:left="5608"/>
      </w:pPr>
      <w:rPr/>
    </w:lvl>
    <w:lvl w:ilvl="7" w:tplc="04220019">
      <w:start w:val="1"/>
      <w:numFmt w:val="lowerLetter"/>
      <w:suff w:val="tab"/>
      <w:lvlText w:val="%8."/>
      <w:lvlJc w:val="left"/>
      <w:pPr>
        <w:ind w:hanging="360" w:left="6328"/>
      </w:pPr>
      <w:rPr/>
    </w:lvl>
    <w:lvl w:ilvl="8" w:tplc="0422001B">
      <w:start w:val="1"/>
      <w:numFmt w:val="lowerRoman"/>
      <w:suff w:val="tab"/>
      <w:lvlText w:val="%9."/>
      <w:lvlJc w:val="right"/>
      <w:pPr>
        <w:ind w:hanging="180" w:left="7048"/>
      </w:pPr>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annotation text"/>
    <w:basedOn w:val="P0"/>
    <w:link w:val="C4"/>
    <w:semiHidden/>
    <w:pPr>
      <w:spacing w:lineRule="auto" w:line="240" w:beforeAutospacing="0" w:afterAutospacing="0"/>
    </w:pPr>
    <w:rPr>
      <w:sz w:val="20"/>
      <w:szCs w:val="20"/>
    </w:rPr>
  </w:style>
  <w:style w:type="paragraph" w:styleId="P3">
    <w:name w:val="annotation subject"/>
    <w:basedOn w:val="P2"/>
    <w:next w:val="P2"/>
    <w:link w:val="C5"/>
    <w:semiHidden/>
    <w:pPr/>
    <w:rPr>
      <w:b w:val="1"/>
      <w:bCs w:val="1"/>
    </w:rPr>
  </w:style>
  <w:style w:type="paragraph" w:styleId="P4">
    <w:name w:val="Balloon Text"/>
    <w:basedOn w:val="P0"/>
    <w:link w:val="C6"/>
    <w:semiHidden/>
    <w:pPr>
      <w:spacing w:lineRule="auto" w:line="240" w:after="0" w:beforeAutospacing="0" w:afterAutospacing="0"/>
    </w:pPr>
    <w:rPr>
      <w:rFonts w:ascii="Segoe UI" w:hAnsi="Segoe UI"/>
      <w:sz w:val="18"/>
      <w:szCs w:val="18"/>
    </w:rPr>
  </w:style>
  <w:style w:type="paragraph" w:styleId="P5">
    <w:name w:val="Revision"/>
    <w:hidden/>
    <w:semiHidden/>
    <w:pPr>
      <w:spacing w:lineRule="auto" w:line="240" w:after="0" w:beforeAutospacing="0" w:afterAutospacing="0"/>
    </w:pPr>
    <w:rPr/>
  </w:style>
  <w:style w:type="paragraph" w:styleId="P6">
    <w:name w:val="FR1"/>
    <w:pPr>
      <w:widowControl w:val="0"/>
      <w:spacing w:lineRule="auto" w:line="340" w:before="800" w:after="0" w:beforeAutospacing="0" w:afterAutospacing="0"/>
      <w:ind w:right="5600"/>
    </w:pPr>
    <w:rPr>
      <w:rFonts w:ascii="Times New Roman" w:hAnsi="Times New Roman"/>
      <w:sz w:val="20"/>
      <w:szCs w:val="20"/>
      <w:lang w:eastAsia="ru-RU"/>
    </w:rPr>
  </w:style>
  <w:style w:type="paragraph" w:styleId="P7">
    <w:name w:val="header"/>
    <w:basedOn w:val="P0"/>
    <w:link w:val="C7"/>
    <w:pPr>
      <w:tabs>
        <w:tab w:val="center" w:pos="4819" w:leader="none"/>
        <w:tab w:val="right" w:pos="9639" w:leader="none"/>
      </w:tabs>
      <w:spacing w:lineRule="auto" w:line="240" w:after="0" w:beforeAutospacing="0" w:afterAutospacing="0"/>
    </w:pPr>
    <w:rPr/>
  </w:style>
  <w:style w:type="paragraph" w:styleId="P8">
    <w:name w:val="footer"/>
    <w:basedOn w:val="P0"/>
    <w:link w:val="C8"/>
    <w:pPr>
      <w:tabs>
        <w:tab w:val="center" w:pos="4819" w:leader="none"/>
        <w:tab w:val="right" w:pos="9639" w:leader="none"/>
      </w:tabs>
      <w:spacing w:lineRule="auto" w:line="240" w:after="0" w:beforeAutospacing="0" w:afterAutospacing="0"/>
    </w:pPr>
    <w:rPr/>
  </w:style>
  <w:style w:type="paragraph" w:styleId="P9">
    <w:name w:val="Звичайний"/>
    <w:qFormat/>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pPr>
    <w:rPr>
      <w:rFonts w:ascii="Times New Roman" w:hAnsi="Times New Roman"/>
      <w:szCs w:val="20"/>
      <w:lang w:eastAsia="ru-UA"/>
    </w:rPr>
  </w:style>
  <w:style w:type="paragraph" w:styleId="P10">
    <w:name w:val="Обычный1"/>
    <w:qFormat/>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pPr>
    <w:rPr>
      <w:rFonts w:ascii="Times New Roman" w:hAnsi="Times New Roman"/>
      <w:sz w:val="24"/>
      <w:szCs w:val="20"/>
      <w:lang w:eastAsia="ru-UA"/>
    </w:rPr>
  </w:style>
  <w:style w:type="paragraph" w:styleId="P11">
    <w:name w:val="rvps3"/>
    <w:basedOn w:val="P9"/>
    <w:pPr>
      <w:spacing w:before="100" w:after="100" w:beforeAutospacing="1" w:afterAutospacing="1"/>
    </w:pPr>
    <w:rPr>
      <w:sz w:val="24"/>
    </w:rPr>
  </w:style>
  <w:style w:type="paragraph" w:styleId="P12">
    <w:name w:val="rvps8"/>
    <w:basedOn w:val="P9"/>
    <w:pPr>
      <w:spacing w:before="100" w:after="100" w:beforeAutospacing="1" w:afterAutospacing="1"/>
    </w:pPr>
    <w:rPr>
      <w:sz w:val="24"/>
    </w:rPr>
  </w:style>
  <w:style w:type="paragraph" w:styleId="P13">
    <w:name w:val="Верхний колонтитул1"/>
    <w:basedOn w:val="P10"/>
    <w:pPr>
      <w:tabs>
        <w:tab w:val="center" w:pos="4677" w:leader="none"/>
        <w:tab w:val="right" w:pos="9355" w:leader="none"/>
      </w:tabs>
    </w:pPr>
    <w:rPr/>
  </w:style>
  <w:style w:type="paragraph" w:styleId="P14">
    <w:name w:val="rvps14"/>
    <w:basedOn w:val="P10"/>
    <w:pPr>
      <w:spacing w:before="100" w:after="100" w:beforeAutospacing="1" w:afterAutospacing="1"/>
    </w:pPr>
    <w:rPr/>
  </w:style>
  <w:style w:type="paragraph" w:styleId="P15">
    <w:name w:val="rvps12"/>
    <w:basedOn w:val="P10"/>
    <w:pPr>
      <w:spacing w:before="100" w:after="100" w:beforeAutospacing="1" w:afterAutospacing="1"/>
    </w:pPr>
    <w:rPr/>
  </w:style>
  <w:style w:type="paragraph" w:styleId="P16">
    <w:name w:val="footnote text"/>
    <w:basedOn w:val="P0"/>
    <w:link w:val="C10"/>
    <w:semiHidden/>
    <w:pPr>
      <w:widowControl w:val="0"/>
      <w:spacing w:lineRule="auto" w:line="240" w:after="0" w:beforeAutospacing="0" w:afterAutospacing="0"/>
    </w:pPr>
    <w:rPr>
      <w:rFonts w:ascii="Times New Roman" w:hAnsi="Times New Roman"/>
      <w:sz w:val="20"/>
      <w:szCs w:val="20"/>
      <w:lang w:val="ru-RU" w:eastAsia="ru-RU"/>
    </w:rPr>
  </w:style>
  <w:style w:type="paragraph" w:styleId="P17">
    <w:name w:val="endnote text"/>
    <w:link w:val="C14"/>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themeColor="hyperlink"/>
      <w:u w:val="single"/>
    </w:rPr>
  </w:style>
  <w:style w:type="character" w:styleId="C3">
    <w:name w:val="annotation reference"/>
    <w:basedOn w:val="C0"/>
    <w:semiHidden/>
    <w:rPr>
      <w:sz w:val="16"/>
      <w:szCs w:val="16"/>
    </w:rPr>
  </w:style>
  <w:style w:type="character" w:styleId="C4">
    <w:name w:val="Текст примечания Знак"/>
    <w:basedOn w:val="C0"/>
    <w:link w:val="P2"/>
    <w:semiHidden/>
    <w:rPr>
      <w:sz w:val="20"/>
      <w:szCs w:val="20"/>
    </w:rPr>
  </w:style>
  <w:style w:type="character" w:styleId="C5">
    <w:name w:val="Тема примечания Знак"/>
    <w:basedOn w:val="C4"/>
    <w:link w:val="P3"/>
    <w:semiHidden/>
    <w:rPr>
      <w:b w:val="1"/>
      <w:bCs w:val="1"/>
      <w:sz w:val="20"/>
      <w:szCs w:val="20"/>
    </w:rPr>
  </w:style>
  <w:style w:type="character" w:styleId="C6">
    <w:name w:val="Текст выноски Знак"/>
    <w:basedOn w:val="C0"/>
    <w:link w:val="P4"/>
    <w:semiHidden/>
    <w:rPr>
      <w:rFonts w:ascii="Segoe UI" w:hAnsi="Segoe UI"/>
      <w:sz w:val="18"/>
      <w:szCs w:val="18"/>
    </w:rPr>
  </w:style>
  <w:style w:type="character" w:styleId="C7">
    <w:name w:val="Верхний колонтитул Знак"/>
    <w:basedOn w:val="C0"/>
    <w:link w:val="P7"/>
    <w:rPr/>
  </w:style>
  <w:style w:type="character" w:styleId="C8">
    <w:name w:val="Нижний колонтитул Знак"/>
    <w:basedOn w:val="C0"/>
    <w:link w:val="P8"/>
    <w:rPr/>
  </w:style>
  <w:style w:type="character" w:styleId="C9">
    <w:name w:val="Unresolved Mention"/>
    <w:basedOn w:val="C0"/>
    <w:semiHidden/>
    <w:rPr>
      <w:color w:val="605E5C"/>
      <w:shd w:val="clear" w:color="auto" w:fill="E1DFDD"/>
    </w:rPr>
  </w:style>
  <w:style w:type="character" w:styleId="C10">
    <w:name w:val="Текст сноски Знак"/>
    <w:basedOn w:val="C0"/>
    <w:link w:val="P16"/>
    <w:semiHidden/>
    <w:rPr>
      <w:rFonts w:ascii="Times New Roman" w:hAnsi="Times New Roman"/>
      <w:sz w:val="20"/>
      <w:szCs w:val="20"/>
      <w:lang w:val="ru-RU" w:eastAsia="ru-RU"/>
    </w:rPr>
  </w:style>
  <w:style w:type="character" w:styleId="C11">
    <w:name w:val="footnote reference"/>
    <w:basedOn w:val="C0"/>
    <w:semiHidden/>
    <w:rPr>
      <w:vertAlign w:val="superscript"/>
    </w:rPr>
  </w:style>
  <w:style w:type="character" w:styleId="C12">
    <w:name w:val="Footnote Text Char"/>
    <w:semiHidden/>
    <w:rPr>
      <w:sz w:val="20"/>
      <w:szCs w:val="20"/>
    </w:rPr>
  </w:style>
  <w:style w:type="character" w:styleId="C13">
    <w:name w:val="endnote reference"/>
    <w:semiHidden/>
    <w:rPr>
      <w:vertAlign w:val="superscript"/>
    </w:rPr>
  </w:style>
  <w:style w:type="character" w:styleId="C14">
    <w:name w:val="Endnote Text Char"/>
    <w:link w:val="P17"/>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rPr>
      <w:lang w:val="ru-RU"/>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
    <w:name w:val="Звичайна таблиця"/>
    <w:pPr>
      <w:spacing w:lineRule="auto" w:line="240" w:after="0" w:beforeAutospacing="0" w:afterAutospacing="0"/>
    </w:pPr>
    <w:rPr>
      <w:rFonts w:ascii="Times New Roman" w:hAnsi="Times New Roman"/>
      <w:sz w:val="20"/>
      <w:szCs w:val="20"/>
      <w:lang w:val="ru-UA" w:eastAsia="ru-UA"/>
    </w:rPr>
    <w:tblPr>
      <w:tblInd w:w="0" w:type="dxa"/>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www.mon.gov.ua" TargetMode="External"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e827-ab6f-4859-b107-78558f6e3393}">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Dvigun O.V.</dc:creator>
  <dcterms:created xsi:type="dcterms:W3CDTF">2022-09-12T06:36:00Z</dcterms:created>
  <cp:lastModifiedBy>erp_adm</cp:lastModifiedBy>
  <dcterms:modified xsi:type="dcterms:W3CDTF">2022-09-16T13:57:13Z</dcterms:modified>
  <cp:revision>18</cp:revision>
</cp:coreProperties>
</file>