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12" w:rsidRPr="00410EC0" w:rsidRDefault="00340712" w:rsidP="00340712">
      <w:pPr>
        <w:suppressAutoHyphens w:val="0"/>
        <w:autoSpaceDN/>
        <w:spacing w:line="240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uk-UA" w:eastAsia="ru-RU" w:bidi="ar-SA"/>
        </w:rPr>
        <w:t>АНАЛІЗ РЕГУЛЯТОРНОГО ВПЛИВУ</w:t>
      </w:r>
    </w:p>
    <w:p w:rsidR="00340712" w:rsidRPr="00410EC0" w:rsidRDefault="00340712" w:rsidP="0034071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proofErr w:type="spellStart"/>
      <w:r w:rsidRPr="00410EC0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проєкту</w:t>
      </w:r>
      <w:proofErr w:type="spellEnd"/>
      <w:r w:rsidRPr="00410EC0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 наказу Міністерства освіти і науки України </w:t>
      </w:r>
    </w:p>
    <w:p w:rsidR="00DB10A4" w:rsidRDefault="00340712" w:rsidP="00340712">
      <w:pPr>
        <w:pStyle w:val="HTML"/>
        <w:shd w:val="clear" w:color="auto" w:fill="FFFFFF"/>
        <w:jc w:val="center"/>
        <w:textAlignment w:val="baseline"/>
        <w:rPr>
          <w:rStyle w:val="FontStyle23"/>
          <w:b/>
          <w:sz w:val="28"/>
          <w:szCs w:val="28"/>
        </w:rPr>
      </w:pPr>
      <w:r w:rsidRPr="00410EC0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Style w:val="FontStyle23"/>
          <w:b/>
          <w:sz w:val="28"/>
          <w:szCs w:val="28"/>
        </w:rPr>
        <w:t xml:space="preserve">Деякі питання </w:t>
      </w:r>
      <w:r w:rsidR="00DB10A4">
        <w:rPr>
          <w:rStyle w:val="FontStyle23"/>
          <w:b/>
          <w:sz w:val="28"/>
          <w:szCs w:val="28"/>
        </w:rPr>
        <w:t xml:space="preserve">оформлення та </w:t>
      </w:r>
      <w:r>
        <w:rPr>
          <w:rStyle w:val="FontStyle23"/>
          <w:b/>
          <w:sz w:val="28"/>
          <w:szCs w:val="28"/>
        </w:rPr>
        <w:t>переоформлення</w:t>
      </w:r>
      <w:r w:rsidR="00DB10A4">
        <w:rPr>
          <w:rStyle w:val="FontStyle23"/>
          <w:b/>
          <w:sz w:val="28"/>
          <w:szCs w:val="28"/>
        </w:rPr>
        <w:t xml:space="preserve"> (видачі дублікатів)</w:t>
      </w:r>
      <w:r>
        <w:rPr>
          <w:rStyle w:val="FontStyle23"/>
          <w:b/>
          <w:sz w:val="28"/>
          <w:szCs w:val="28"/>
        </w:rPr>
        <w:t xml:space="preserve"> сертифікатів про акредитацію </w:t>
      </w:r>
      <w:r w:rsidR="00DB10A4">
        <w:rPr>
          <w:rStyle w:val="FontStyle23"/>
          <w:b/>
          <w:sz w:val="28"/>
          <w:szCs w:val="28"/>
        </w:rPr>
        <w:t xml:space="preserve">освітньо-професійних програм </w:t>
      </w:r>
    </w:p>
    <w:p w:rsidR="00340712" w:rsidRPr="00410EC0" w:rsidRDefault="00FB766B" w:rsidP="0034071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Style w:val="FontStyle23"/>
          <w:b/>
          <w:sz w:val="28"/>
          <w:szCs w:val="28"/>
        </w:rPr>
        <w:t>освітнього ступеня фахового молодшого бакалавра</w:t>
      </w:r>
      <w:r w:rsidR="00340712" w:rsidRPr="00410EC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340712" w:rsidRPr="00410EC0" w:rsidRDefault="00340712" w:rsidP="00340712">
      <w:pPr>
        <w:suppressAutoHyphens w:val="0"/>
        <w:autoSpaceDN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uk-UA" w:eastAsia="ru-RU" w:bidi="ar-SA"/>
        </w:rPr>
      </w:pPr>
    </w:p>
    <w:p w:rsidR="00340712" w:rsidRPr="00410EC0" w:rsidRDefault="00B507ED" w:rsidP="00B507ED">
      <w:pPr>
        <w:tabs>
          <w:tab w:val="left" w:pos="900"/>
        </w:tabs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  <w:tab/>
      </w:r>
      <w:r w:rsidR="00340712" w:rsidRPr="00410EC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  <w:t>I. Визначення проблеми</w:t>
      </w:r>
    </w:p>
    <w:p w:rsidR="00340712" w:rsidRDefault="00B507ED" w:rsidP="00B507ED">
      <w:pPr>
        <w:tabs>
          <w:tab w:val="left" w:pos="900"/>
        </w:tabs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  <w:tab/>
      </w:r>
      <w:r w:rsidR="00816C27"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Міністерство освіти і науки України відповідно до пункту 1 частини першої статті 13 Закону України «Про фахову передвищу освіту» є головним органом у системі центральних органів виконавчої влади, що забезпечує формування та реалізацію державної політики у сферах освіти і науки.</w:t>
      </w:r>
    </w:p>
    <w:p w:rsidR="004E1CE1" w:rsidRDefault="00295683" w:rsidP="004E08AA">
      <w:pPr>
        <w:tabs>
          <w:tab w:val="left" w:pos="900"/>
        </w:tabs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ab/>
      </w:r>
      <w:r w:rsidR="00422D87" w:rsidRPr="00422D8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Проєкт наказу Міністерства освіти і науки України</w:t>
      </w:r>
      <w:r w:rsidR="00422D8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</w:t>
      </w:r>
      <w:r w:rsidR="00422D87" w:rsidRPr="00422D8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«Деякі питання оформлення та переоформлення (видачі дублікатів) сертифікатів про акредитацію освітньо-професійних програм </w:t>
      </w:r>
      <w:r w:rsidR="00FB766B" w:rsidRPr="00FB766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освітнього ступеня фахового молодшого бакалавра</w:t>
      </w:r>
      <w:r w:rsidR="00422D87" w:rsidRPr="00422D8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»</w:t>
      </w:r>
      <w:r w:rsidR="00422D8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розроблений Державною службою якості освіти України та Міністерством осв</w:t>
      </w:r>
      <w:r w:rsidR="004E08AA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іти і науки України </w:t>
      </w:r>
      <w:r w:rsidR="001A7D9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на виконання</w:t>
      </w:r>
      <w:r w:rsidR="00111858" w:rsidRPr="001118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150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частини п`ятої статті 19 та </w:t>
      </w:r>
      <w:r w:rsidR="00111858" w:rsidRPr="001118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підпункту 10 пункту 2 розділу ХІV «Прикінцеві положення» Закону України «Про фахову передвищу </w:t>
      </w:r>
      <w:r w:rsidR="002A3F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="00111858" w:rsidRPr="001118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світу»</w:t>
      </w:r>
      <w:r w:rsidR="004E08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70686E" w:rsidRPr="002F2C7D" w:rsidRDefault="0070686E" w:rsidP="004E08AA">
      <w:pPr>
        <w:tabs>
          <w:tab w:val="left" w:pos="900"/>
        </w:tabs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EA73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Крім того, </w:t>
      </w:r>
      <w:r w:rsidR="002F2C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частиною шостою статті 19 </w:t>
      </w:r>
      <w:r w:rsidR="002F2C7D" w:rsidRPr="001118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Закону України «Про фахову передвищу </w:t>
      </w:r>
      <w:r w:rsidR="00A31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="002F2C7D" w:rsidRPr="001118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світу»</w:t>
      </w:r>
      <w:r w:rsidR="002F2C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передбачено, що рішення про акредитацію </w:t>
      </w:r>
      <w:r w:rsidR="002F2C7D" w:rsidRPr="002F2C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дає право на фінансування підготовки здобувачів фахової передвищої освіти за державним або регіональним замовленням, а також за рахунок видатків на оплату послуг з підготовки фахівців у державних та комунальних закладах фахової передвищої освіти з бюджетів міст республіканського Автономної Республіки Крим та обласного значення, районних бюджетів, </w:t>
      </w:r>
      <w:proofErr w:type="spellStart"/>
      <w:r w:rsidR="002F2C7D" w:rsidRPr="002F2C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бюджетів</w:t>
      </w:r>
      <w:proofErr w:type="spellEnd"/>
      <w:r w:rsidR="002F2C7D" w:rsidRPr="002F2C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об’єднаних територіальних громад</w:t>
      </w:r>
      <w:r w:rsidR="002F2C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C46307" w:rsidRPr="00C46307" w:rsidRDefault="00C46307" w:rsidP="00C46307">
      <w:pPr>
        <w:tabs>
          <w:tab w:val="left" w:pos="900"/>
        </w:tabs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Даний про</w:t>
      </w:r>
      <w:r w:rsidR="00F44C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кт акта унормовує питання щодо затвердження форми сертифіката про акредитацію освітнього ступеня фахового молодшого бакалавра </w:t>
      </w:r>
      <w:r w:rsidR="002F2C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вичерпним переліком інформації про акредитацію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визначає порядок </w:t>
      </w:r>
      <w:r w:rsidRPr="00EE547F">
        <w:rPr>
          <w:rFonts w:ascii="Times New Roman" w:hAnsi="Times New Roman"/>
          <w:sz w:val="28"/>
          <w:szCs w:val="28"/>
          <w:lang w:val="uk-UA"/>
        </w:rPr>
        <w:t>оформлення, переоформлення, видачі, зберігання та обліку сертифікатів про акредитацію освітньо-професійної програми освітнього ступеня фахового молодшого бакалавра (та їх дублікатів)</w:t>
      </w:r>
      <w:r w:rsidR="00124DCA">
        <w:rPr>
          <w:rFonts w:ascii="Times New Roman" w:hAnsi="Times New Roman"/>
          <w:sz w:val="28"/>
          <w:szCs w:val="28"/>
          <w:lang w:val="uk-UA"/>
        </w:rPr>
        <w:t xml:space="preserve">, у тому числі </w:t>
      </w:r>
      <w:r w:rsidR="00124D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переоформлення сертифікатів про акредитацію за освітньо-кваліфікаційним рівнем молодшого спеціаліста на сертифікати про акредитацію освітньо-професійних програм освітнього ступеня фахового молодшого бакалавра.</w:t>
      </w:r>
    </w:p>
    <w:p w:rsidR="00C46307" w:rsidRDefault="00C46307" w:rsidP="00C46307">
      <w:pPr>
        <w:tabs>
          <w:tab w:val="left" w:pos="900"/>
        </w:tabs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122D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</w:t>
      </w:r>
      <w:r w:rsidR="00F44C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кт акта передбачає врегулювання питання оплати послуг </w:t>
      </w:r>
      <w:r w:rsidRPr="00C4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організаційного характеру, пов`язаних з переоформленням (видачею дубліката) сертифіката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 акредитацію освітньо-професійної програми освітнього ступеня фахового молодшого бакалавра.</w:t>
      </w:r>
    </w:p>
    <w:p w:rsidR="009040EC" w:rsidRDefault="004E08AA" w:rsidP="004E08AA">
      <w:pPr>
        <w:tabs>
          <w:tab w:val="left" w:pos="900"/>
        </w:tabs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121F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Прийняття </w:t>
      </w:r>
      <w:proofErr w:type="spellStart"/>
      <w:r w:rsidR="00121F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</w:t>
      </w:r>
      <w:r w:rsidR="003435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proofErr w:type="spellEnd"/>
      <w:r w:rsidR="00121F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акта дозволить відповідно </w:t>
      </w:r>
      <w:r w:rsidR="00D00E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</w:t>
      </w:r>
      <w:r w:rsidR="00121F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законодавства</w:t>
      </w:r>
      <w:r w:rsidR="009040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9040EC" w:rsidRDefault="00E245CD" w:rsidP="004E08AA">
      <w:pPr>
        <w:tabs>
          <w:tab w:val="left" w:pos="900"/>
        </w:tabs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="009040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21F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забезпечити своєчасне переоформлення сертифікатів про акредитацію за освітньо-кваліфікаційним рівнем молодшого спеціаліста на сертифікати про акредитацію освітньо-професійних програм освітнього ступен</w:t>
      </w:r>
      <w:r w:rsidR="006C0F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фаховог</w:t>
      </w:r>
      <w:r w:rsidR="00D00E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 молодшого бакалавра</w:t>
      </w:r>
      <w:r w:rsidR="009040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9040EC" w:rsidRDefault="00E245CD" w:rsidP="004E08AA">
      <w:pPr>
        <w:tabs>
          <w:tab w:val="left" w:pos="900"/>
        </w:tabs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–</w:t>
      </w:r>
      <w:r w:rsidR="00D00E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166EF" w:rsidRPr="009166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реалізувати право осіб на отримання фахової передвищої освіти за рахунок коштів державного або місцевого бюд</w:t>
      </w:r>
      <w:r w:rsidR="009040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жетів;</w:t>
      </w:r>
    </w:p>
    <w:p w:rsidR="009040EC" w:rsidRDefault="00E245CD" w:rsidP="004E08AA">
      <w:pPr>
        <w:tabs>
          <w:tab w:val="left" w:pos="900"/>
        </w:tabs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="00384F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040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закладам</w:t>
      </w:r>
      <w:r w:rsidR="00121F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фахової передвищої освіти</w:t>
      </w:r>
      <w:r w:rsidR="00503E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отримувати державне або регіональне замовлення </w:t>
      </w:r>
      <w:r w:rsidR="009040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підготовку фахівців у сфері</w:t>
      </w:r>
      <w:r w:rsidR="00503E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фахової передвищої освіти</w:t>
      </w:r>
      <w:r w:rsidR="009040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7C3946" w:rsidRDefault="00E245CD" w:rsidP="004E08AA">
      <w:pPr>
        <w:tabs>
          <w:tab w:val="left" w:pos="900"/>
        </w:tabs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="00503E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040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закладам фахової передвищої освіти </w:t>
      </w:r>
      <w:r w:rsidR="00194E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 w:rsidR="009166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урахуванням</w:t>
      </w:r>
      <w:r w:rsidR="00194E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166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положень</w:t>
      </w:r>
      <w:r w:rsidR="00194E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частини третьої статті 10 Закону України «Про фахову передвищу освіту»</w:t>
      </w:r>
      <w:r w:rsidR="00121F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видавати документи про фахову передвищу освіту </w:t>
      </w:r>
      <w:r w:rsidR="001A7D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 зазначенням інформації про акредитацію освітньо-професійних програм освітнього ступеня фахового молодшого бакалавра.</w:t>
      </w:r>
    </w:p>
    <w:p w:rsidR="00D71947" w:rsidRDefault="00C46307" w:rsidP="00C46307">
      <w:pPr>
        <w:tabs>
          <w:tab w:val="left" w:pos="900"/>
        </w:tabs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D71947" w:rsidRPr="00111858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uk-UA" w:eastAsia="ru-RU" w:bidi="ar-SA"/>
        </w:rPr>
        <w:t xml:space="preserve">Реалізація </w:t>
      </w:r>
      <w:proofErr w:type="spellStart"/>
      <w:r w:rsidR="00D71947" w:rsidRPr="00111858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uk-UA" w:eastAsia="ru-RU" w:bidi="ar-SA"/>
        </w:rPr>
        <w:t>проєкту</w:t>
      </w:r>
      <w:proofErr w:type="spellEnd"/>
      <w:r w:rsidR="00D71947" w:rsidRPr="00111858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uk-UA" w:eastAsia="ru-RU" w:bidi="ar-SA"/>
        </w:rPr>
        <w:t xml:space="preserve"> регуляторного акта вплине на:</w:t>
      </w:r>
    </w:p>
    <w:tbl>
      <w:tblPr>
        <w:tblpPr w:leftFromText="180" w:rightFromText="180" w:vertAnchor="text" w:horzAnchor="margin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3105"/>
        <w:gridCol w:w="3105"/>
      </w:tblGrid>
      <w:tr w:rsidR="00C46307" w:rsidRPr="00410EC0" w:rsidTr="00C46307">
        <w:tc>
          <w:tcPr>
            <w:tcW w:w="3146" w:type="dxa"/>
            <w:shd w:val="clear" w:color="auto" w:fill="auto"/>
          </w:tcPr>
          <w:p w:rsidR="00C46307" w:rsidRPr="00410EC0" w:rsidRDefault="00C46307" w:rsidP="00C46307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Групи (підгрупи)</w:t>
            </w:r>
          </w:p>
        </w:tc>
        <w:tc>
          <w:tcPr>
            <w:tcW w:w="3105" w:type="dxa"/>
            <w:shd w:val="clear" w:color="auto" w:fill="auto"/>
          </w:tcPr>
          <w:p w:rsidR="00C46307" w:rsidRPr="00410EC0" w:rsidRDefault="00C46307" w:rsidP="00C46307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Так</w:t>
            </w:r>
          </w:p>
        </w:tc>
        <w:tc>
          <w:tcPr>
            <w:tcW w:w="3105" w:type="dxa"/>
            <w:shd w:val="clear" w:color="auto" w:fill="auto"/>
          </w:tcPr>
          <w:p w:rsidR="00C46307" w:rsidRPr="00410EC0" w:rsidRDefault="00C46307" w:rsidP="00C46307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Ні</w:t>
            </w:r>
          </w:p>
        </w:tc>
      </w:tr>
      <w:tr w:rsidR="00C46307" w:rsidRPr="00410EC0" w:rsidTr="00C46307">
        <w:tc>
          <w:tcPr>
            <w:tcW w:w="3146" w:type="dxa"/>
            <w:shd w:val="clear" w:color="auto" w:fill="auto"/>
          </w:tcPr>
          <w:p w:rsidR="00C46307" w:rsidRPr="00410EC0" w:rsidRDefault="00C46307" w:rsidP="00C46307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Громадяни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, іноземці</w:t>
            </w:r>
          </w:p>
        </w:tc>
        <w:tc>
          <w:tcPr>
            <w:tcW w:w="3105" w:type="dxa"/>
            <w:shd w:val="clear" w:color="auto" w:fill="auto"/>
          </w:tcPr>
          <w:p w:rsidR="00C46307" w:rsidRPr="00410EC0" w:rsidRDefault="00C46307" w:rsidP="00C46307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+</w:t>
            </w:r>
          </w:p>
        </w:tc>
        <w:tc>
          <w:tcPr>
            <w:tcW w:w="3105" w:type="dxa"/>
            <w:shd w:val="clear" w:color="auto" w:fill="auto"/>
          </w:tcPr>
          <w:p w:rsidR="00C46307" w:rsidRPr="00410EC0" w:rsidRDefault="00C46307" w:rsidP="00C46307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</w:tr>
      <w:tr w:rsidR="00C46307" w:rsidRPr="00410EC0" w:rsidTr="00C46307">
        <w:tc>
          <w:tcPr>
            <w:tcW w:w="3146" w:type="dxa"/>
            <w:shd w:val="clear" w:color="auto" w:fill="auto"/>
          </w:tcPr>
          <w:p w:rsidR="00C46307" w:rsidRPr="00410EC0" w:rsidRDefault="00C46307" w:rsidP="00C46307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Держава</w:t>
            </w:r>
          </w:p>
        </w:tc>
        <w:tc>
          <w:tcPr>
            <w:tcW w:w="3105" w:type="dxa"/>
            <w:shd w:val="clear" w:color="auto" w:fill="auto"/>
          </w:tcPr>
          <w:p w:rsidR="00C46307" w:rsidRPr="00410EC0" w:rsidRDefault="00C46307" w:rsidP="00C46307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+</w:t>
            </w:r>
          </w:p>
        </w:tc>
        <w:tc>
          <w:tcPr>
            <w:tcW w:w="3105" w:type="dxa"/>
            <w:shd w:val="clear" w:color="auto" w:fill="auto"/>
          </w:tcPr>
          <w:p w:rsidR="00C46307" w:rsidRPr="00410EC0" w:rsidRDefault="00C46307" w:rsidP="00C46307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</w:tr>
      <w:tr w:rsidR="00C46307" w:rsidRPr="00410EC0" w:rsidTr="00C46307">
        <w:tc>
          <w:tcPr>
            <w:tcW w:w="3146" w:type="dxa"/>
            <w:shd w:val="clear" w:color="auto" w:fill="auto"/>
          </w:tcPr>
          <w:p w:rsidR="00C46307" w:rsidRPr="00410EC0" w:rsidRDefault="00C46307" w:rsidP="00C46307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Суб’єкти господарювання, у тому числі суб’єкти малого підприємництва</w:t>
            </w:r>
          </w:p>
        </w:tc>
        <w:tc>
          <w:tcPr>
            <w:tcW w:w="3105" w:type="dxa"/>
            <w:shd w:val="clear" w:color="auto" w:fill="auto"/>
          </w:tcPr>
          <w:p w:rsidR="00C46307" w:rsidRPr="00410EC0" w:rsidRDefault="00C46307" w:rsidP="00C46307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vertAlign w:val="subscript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+</w:t>
            </w:r>
          </w:p>
        </w:tc>
        <w:tc>
          <w:tcPr>
            <w:tcW w:w="3105" w:type="dxa"/>
            <w:shd w:val="clear" w:color="auto" w:fill="auto"/>
          </w:tcPr>
          <w:p w:rsidR="00C46307" w:rsidRPr="00410EC0" w:rsidRDefault="00C46307" w:rsidP="00C46307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</w:tr>
    </w:tbl>
    <w:p w:rsidR="00D71947" w:rsidRDefault="00C46307" w:rsidP="00C46307">
      <w:pPr>
        <w:tabs>
          <w:tab w:val="left" w:pos="900"/>
        </w:tabs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uk-UA" w:eastAsia="ru-RU" w:bidi="ar-SA"/>
        </w:rPr>
        <w:tab/>
      </w:r>
      <w:r w:rsidR="00D71947" w:rsidRPr="00C4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Зазначена проблема не може бути розв’язана за допомогою ринкових механізмів, оскільки питання, що порушуються у ній, не стосуються механізмів</w:t>
      </w:r>
      <w:r w:rsidR="00D71947" w:rsidRPr="00410EC0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uk-UA" w:eastAsia="ru-RU" w:bidi="ar-SA"/>
        </w:rPr>
        <w:t xml:space="preserve"> стихійного регулювання ціни, темпів і пропорцій суспільного виробництва.</w:t>
      </w:r>
    </w:p>
    <w:p w:rsidR="00D71947" w:rsidRDefault="00D71947" w:rsidP="00D71947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D71947" w:rsidRPr="00410EC0" w:rsidRDefault="00D71947" w:rsidP="00D71947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  <w:t>II. Цілі державного регулювання</w:t>
      </w:r>
    </w:p>
    <w:p w:rsidR="00D71947" w:rsidRPr="00410EC0" w:rsidRDefault="00D71947" w:rsidP="00D71947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</w:p>
    <w:p w:rsidR="00D71947" w:rsidRPr="00410EC0" w:rsidRDefault="00D71947" w:rsidP="00D71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bCs/>
          <w:snapToGrid w:val="0"/>
          <w:color w:val="auto"/>
          <w:kern w:val="0"/>
          <w:sz w:val="28"/>
          <w:szCs w:val="28"/>
          <w:lang w:val="uk-UA" w:eastAsia="ru-RU" w:bidi="ar-SA"/>
        </w:rPr>
        <w:t xml:space="preserve">Основною ціллю прийняття акта є </w:t>
      </w:r>
      <w:r w:rsidR="00F44C74">
        <w:rPr>
          <w:rFonts w:ascii="Times New Roman" w:eastAsia="Times New Roman" w:hAnsi="Times New Roman" w:cs="Times New Roman"/>
          <w:bCs/>
          <w:snapToGrid w:val="0"/>
          <w:color w:val="auto"/>
          <w:kern w:val="0"/>
          <w:sz w:val="28"/>
          <w:szCs w:val="28"/>
          <w:lang w:val="uk-UA" w:eastAsia="ru-RU" w:bidi="ar-SA"/>
        </w:rPr>
        <w:t xml:space="preserve">унормування процедур </w:t>
      </w:r>
      <w:r w:rsidR="00B95B24" w:rsidRPr="00EE547F">
        <w:rPr>
          <w:rFonts w:ascii="Times New Roman" w:hAnsi="Times New Roman"/>
          <w:sz w:val="28"/>
          <w:szCs w:val="28"/>
          <w:lang w:val="uk-UA"/>
        </w:rPr>
        <w:t>оформлення, переоформлення, видачі, зберігання та обліку сертифікатів про акредитацію освітньо-професійної програми освітнього ступеня фахового молодшого бакалавра (та їх дублікатів)</w:t>
      </w:r>
      <w:r w:rsidRPr="00410EC0">
        <w:rPr>
          <w:rFonts w:ascii="Times New Roman" w:eastAsia="Times New Roman" w:hAnsi="Times New Roman" w:cs="Times New Roman"/>
          <w:bCs/>
          <w:snapToGrid w:val="0"/>
          <w:color w:val="auto"/>
          <w:kern w:val="0"/>
          <w:sz w:val="28"/>
          <w:szCs w:val="28"/>
          <w:lang w:val="uk-UA" w:eastAsia="ru-RU" w:bidi="ar-SA"/>
        </w:rPr>
        <w:t>.</w:t>
      </w:r>
    </w:p>
    <w:p w:rsidR="00D71947" w:rsidRPr="00410EC0" w:rsidRDefault="00D71947" w:rsidP="00D71947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</w:p>
    <w:p w:rsidR="00D71947" w:rsidRPr="00410EC0" w:rsidRDefault="00D71947" w:rsidP="00D71947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  <w:t>III. Визначення та оцінка альтернативних способів досягнення цілей</w:t>
      </w:r>
    </w:p>
    <w:p w:rsidR="00D71947" w:rsidRPr="00410EC0" w:rsidRDefault="00D71947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</w:p>
    <w:p w:rsidR="00D71947" w:rsidRPr="00410EC0" w:rsidRDefault="00D71947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1. Визначення альтернативних способів</w:t>
      </w:r>
    </w:p>
    <w:p w:rsidR="00D71947" w:rsidRPr="00410EC0" w:rsidRDefault="00D71947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5925"/>
      </w:tblGrid>
      <w:tr w:rsidR="00D71947" w:rsidRPr="00410EC0" w:rsidTr="006C7DE9">
        <w:trPr>
          <w:tblHeader/>
        </w:trPr>
        <w:tc>
          <w:tcPr>
            <w:tcW w:w="4140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Вид альтернативи</w:t>
            </w:r>
          </w:p>
        </w:tc>
        <w:tc>
          <w:tcPr>
            <w:tcW w:w="5925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Опис альтернативи</w:t>
            </w:r>
          </w:p>
        </w:tc>
      </w:tr>
      <w:tr w:rsidR="00D71947" w:rsidRPr="006C0848" w:rsidTr="006C7DE9">
        <w:tc>
          <w:tcPr>
            <w:tcW w:w="4140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Альтернатива 1:</w:t>
            </w:r>
          </w:p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Не затверджувати проєкт акта</w:t>
            </w:r>
          </w:p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5925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Відсутність врегулювання </w:t>
            </w:r>
            <w:r w:rsidR="007F58E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порядку </w:t>
            </w:r>
            <w:r w:rsidR="007F58E0" w:rsidRPr="00EE547F">
              <w:rPr>
                <w:rFonts w:ascii="Times New Roman" w:hAnsi="Times New Roman"/>
                <w:sz w:val="28"/>
                <w:szCs w:val="28"/>
                <w:lang w:val="uk-UA"/>
              </w:rPr>
              <w:t>оформлення, переоформлення, видачі, зберігання та обліку сертифікатів про акредитацію освітньо-професійної програми освітнього ступеня фахового молодшого бакалавра (та їх дублікатів)</w:t>
            </w: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.</w:t>
            </w:r>
          </w:p>
          <w:p w:rsidR="00D71947" w:rsidRDefault="007F58E0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Здобувачі</w:t>
            </w:r>
            <w:r w:rsidR="00D71947"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 закладів фахової передвищої освіти не зможуть отримати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навчання за кошти державного або регіонального замовлення та не зможуть отримувати </w:t>
            </w:r>
            <w:r w:rsidR="00D71947"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документи про фахов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lastRenderedPageBreak/>
              <w:t xml:space="preserve">передвищу освіту з урахуванням відомостей про акредитацію </w:t>
            </w:r>
            <w:r w:rsidRPr="00422D87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освітньо-професійних програм </w:t>
            </w:r>
            <w:r w:rsidRPr="00FB766B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освітнього ступеня фахового молодшого бакалавра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.</w:t>
            </w:r>
          </w:p>
          <w:p w:rsidR="007F58E0" w:rsidRPr="00410EC0" w:rsidRDefault="007F58E0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Заклади фахової передвищої освіти не зможуть отримувати фінансування з державного або місцевого бюджетів на підготовку фахівців у сфері фахової передвищої освіти та не зможуть видавати документи </w:t>
            </w: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про фахов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у передвищу освіту з урахуванням відомостей про акредитацію </w:t>
            </w:r>
            <w:r w:rsidRPr="00422D87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освітньо-професійних програм </w:t>
            </w:r>
            <w:r w:rsidRPr="00FB766B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освітнього ступеня фахового молодшого бакалавра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.</w:t>
            </w:r>
          </w:p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Визначена проблема не буде розв’язана.</w:t>
            </w:r>
          </w:p>
        </w:tc>
      </w:tr>
      <w:tr w:rsidR="00D71947" w:rsidRPr="006C0848" w:rsidTr="006C7DE9">
        <w:tc>
          <w:tcPr>
            <w:tcW w:w="4140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lastRenderedPageBreak/>
              <w:t>Альтернатива 2:</w:t>
            </w:r>
          </w:p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Затвердити проєкт акта</w:t>
            </w:r>
          </w:p>
        </w:tc>
        <w:tc>
          <w:tcPr>
            <w:tcW w:w="5925" w:type="dxa"/>
            <w:shd w:val="clear" w:color="auto" w:fill="auto"/>
          </w:tcPr>
          <w:p w:rsidR="00D71947" w:rsidRDefault="007C3946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Прийняття акта визначить процедуру переоформлення сертифікатів про акредитацію за освітньо-кваліфікаційним рівнем молодшого спеціаліста на сертифікати про акредитацію освітньо-професійних програм освітнього ступеня фахового молодшого бакалавра.</w:t>
            </w:r>
          </w:p>
          <w:p w:rsidR="007C3946" w:rsidRDefault="007C3946" w:rsidP="007C3946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 xml:space="preserve">Громадяни зможуть отримувати фахову передвищу освіту за </w:t>
            </w:r>
            <w:r w:rsidRPr="007C394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 xml:space="preserve">рахунок коштів державного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або місцевого бюджету.</w:t>
            </w:r>
          </w:p>
          <w:p w:rsidR="007C3946" w:rsidRPr="007C3946" w:rsidRDefault="007C3946" w:rsidP="007F58E0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 xml:space="preserve">Заклади фахової передвищої освіти </w:t>
            </w:r>
            <w:r w:rsidR="007F58E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 xml:space="preserve">зможуть отримувати фінансування з державного або місцевого бюджетів на підготовку фахівців у сфері фахової передвищої освіти та зможуть видавати документі про фахову передвищу освіту з </w:t>
            </w:r>
            <w:r w:rsidR="007F58E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урахуванням відомостей про акредитацію </w:t>
            </w:r>
            <w:r w:rsidR="007F58E0" w:rsidRPr="00422D87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освітньо-професійних програм </w:t>
            </w:r>
            <w:r w:rsidR="007F58E0" w:rsidRPr="00FB766B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освітнього ступеня фахового молодшого бакалавра</w:t>
            </w:r>
            <w:r w:rsidR="007F58E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.</w:t>
            </w:r>
          </w:p>
        </w:tc>
      </w:tr>
    </w:tbl>
    <w:p w:rsidR="00D71947" w:rsidRPr="00410EC0" w:rsidRDefault="00D71947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</w:p>
    <w:p w:rsidR="00D71947" w:rsidRPr="00410EC0" w:rsidRDefault="00D71947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2. Оцінка вибраних альтернативних способів досягнення цілей </w:t>
      </w:r>
    </w:p>
    <w:p w:rsidR="00D71947" w:rsidRPr="00410EC0" w:rsidRDefault="00D71947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</w:p>
    <w:p w:rsidR="00D71947" w:rsidRPr="00410EC0" w:rsidRDefault="00D71947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Оцінка впливу на сферу інтересів держави.</w:t>
      </w:r>
    </w:p>
    <w:p w:rsidR="00D71947" w:rsidRPr="00410EC0" w:rsidRDefault="00D71947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val="uk-UA" w:eastAsia="ru-RU" w:bidi="ar-SA"/>
        </w:rPr>
      </w:pPr>
    </w:p>
    <w:tbl>
      <w:tblPr>
        <w:tblW w:w="101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3827"/>
        <w:gridCol w:w="3827"/>
      </w:tblGrid>
      <w:tr w:rsidR="00D71947" w:rsidRPr="00410EC0" w:rsidTr="006C7DE9">
        <w:tc>
          <w:tcPr>
            <w:tcW w:w="2523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Вид альтернативи</w:t>
            </w:r>
          </w:p>
        </w:tc>
        <w:tc>
          <w:tcPr>
            <w:tcW w:w="3827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Вигоди</w:t>
            </w:r>
          </w:p>
        </w:tc>
        <w:tc>
          <w:tcPr>
            <w:tcW w:w="3827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Витрати</w:t>
            </w:r>
          </w:p>
        </w:tc>
      </w:tr>
      <w:tr w:rsidR="00D71947" w:rsidRPr="00E6250E" w:rsidTr="006C7DE9">
        <w:tc>
          <w:tcPr>
            <w:tcW w:w="2523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Альтернатива 1</w:t>
            </w:r>
          </w:p>
        </w:tc>
        <w:tc>
          <w:tcPr>
            <w:tcW w:w="3827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Відсутні</w:t>
            </w:r>
          </w:p>
        </w:tc>
        <w:tc>
          <w:tcPr>
            <w:tcW w:w="3827" w:type="dxa"/>
            <w:shd w:val="clear" w:color="auto" w:fill="auto"/>
          </w:tcPr>
          <w:p w:rsidR="00E6250E" w:rsidRDefault="00E6250E" w:rsidP="006C7DE9">
            <w:pPr>
              <w:suppressAutoHyphens w:val="0"/>
              <w:autoSpaceDN/>
              <w:spacing w:line="240" w:lineRule="auto"/>
              <w:ind w:right="-1" w:firstLine="323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Витрати, пов`язані із неможливістю переоформлення сертифікатів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акредитацію за освітньо-кваліфікаційним рівнем молодшого спеціаліста на сертифікати про акредитацію освітньо-професійних програм освітнього ступеня фахового молодшого бакалавра.</w:t>
            </w:r>
          </w:p>
          <w:p w:rsidR="00D71947" w:rsidRPr="00410EC0" w:rsidRDefault="00D71947" w:rsidP="006C7DE9">
            <w:pPr>
              <w:suppressAutoHyphens w:val="0"/>
              <w:autoSpaceDN/>
              <w:spacing w:line="240" w:lineRule="auto"/>
              <w:ind w:right="-1" w:firstLine="323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Неефективне використання бюджетних коштів на підготовку фахівців.</w:t>
            </w:r>
          </w:p>
          <w:p w:rsidR="007F58E0" w:rsidRPr="00410EC0" w:rsidRDefault="00D71947" w:rsidP="009B2A43">
            <w:pPr>
              <w:suppressAutoHyphens w:val="0"/>
              <w:autoSpaceDN/>
              <w:spacing w:line="240" w:lineRule="auto"/>
              <w:ind w:right="-1" w:firstLine="323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Дефіцит кваліфікованих працівників.</w:t>
            </w:r>
          </w:p>
        </w:tc>
      </w:tr>
      <w:tr w:rsidR="00D71947" w:rsidRPr="00410EC0" w:rsidTr="006C7DE9">
        <w:tc>
          <w:tcPr>
            <w:tcW w:w="2523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Альтернатива 2</w:t>
            </w:r>
          </w:p>
        </w:tc>
        <w:tc>
          <w:tcPr>
            <w:tcW w:w="3827" w:type="dxa"/>
            <w:shd w:val="clear" w:color="auto" w:fill="auto"/>
          </w:tcPr>
          <w:p w:rsidR="00353672" w:rsidRDefault="00353672" w:rsidP="006C7DE9">
            <w:pPr>
              <w:suppressAutoHyphens w:val="0"/>
              <w:autoSpaceDN/>
              <w:spacing w:line="240" w:lineRule="auto"/>
              <w:ind w:firstLine="316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Унормування порядку оформлення, переоформлення, </w:t>
            </w:r>
            <w:r w:rsidRPr="00EE547F">
              <w:rPr>
                <w:rFonts w:ascii="Times New Roman" w:hAnsi="Times New Roman"/>
                <w:sz w:val="28"/>
                <w:szCs w:val="28"/>
                <w:lang w:val="uk-UA"/>
              </w:rPr>
              <w:t>видачі, зберігання та обліку сертифікатів про акредитацію освітньо-професійної програми освітнього ступеня фахового молодшого бакалавра (та їх дублікатів)</w:t>
            </w: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.</w:t>
            </w:r>
          </w:p>
          <w:p w:rsidR="00D71947" w:rsidRPr="00410EC0" w:rsidRDefault="00E6250E" w:rsidP="006C7DE9">
            <w:pPr>
              <w:suppressAutoHyphens w:val="0"/>
              <w:autoSpaceDN/>
              <w:spacing w:line="240" w:lineRule="auto"/>
              <w:ind w:firstLine="316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Забезпечення процедури переоформлення сертифікатів про акредитацію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акредитацію за освітньо-кваліфікаційним рівнем молодшого спеціаліста на сертифікати про акредитацію освітньо-професійних програм освітнього ступеня фахового молодшого бакалавра.</w:t>
            </w:r>
          </w:p>
        </w:tc>
        <w:tc>
          <w:tcPr>
            <w:tcW w:w="3827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Відсутні</w:t>
            </w:r>
          </w:p>
        </w:tc>
      </w:tr>
    </w:tbl>
    <w:p w:rsidR="00D71947" w:rsidRPr="00410EC0" w:rsidRDefault="00D71947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</w:p>
    <w:p w:rsidR="00D71947" w:rsidRPr="00410EC0" w:rsidRDefault="00D71947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Оцінка впливу на сферу інтересів громадян.</w:t>
      </w:r>
    </w:p>
    <w:p w:rsidR="00D71947" w:rsidRPr="00410EC0" w:rsidRDefault="00D71947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val="uk-UA" w:eastAsia="ru-RU" w:bidi="ar-SA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827"/>
        <w:gridCol w:w="3828"/>
      </w:tblGrid>
      <w:tr w:rsidR="00D71947" w:rsidRPr="00410EC0" w:rsidTr="00E6250E">
        <w:tc>
          <w:tcPr>
            <w:tcW w:w="2552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Вид альтернативи</w:t>
            </w:r>
          </w:p>
        </w:tc>
        <w:tc>
          <w:tcPr>
            <w:tcW w:w="3827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Вигоди</w:t>
            </w:r>
          </w:p>
        </w:tc>
        <w:tc>
          <w:tcPr>
            <w:tcW w:w="3828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Витрати</w:t>
            </w:r>
          </w:p>
        </w:tc>
      </w:tr>
      <w:tr w:rsidR="00D71947" w:rsidRPr="006C0848" w:rsidTr="00E6250E">
        <w:tc>
          <w:tcPr>
            <w:tcW w:w="2552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Альтернатива 1</w:t>
            </w:r>
          </w:p>
        </w:tc>
        <w:tc>
          <w:tcPr>
            <w:tcW w:w="3827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Відсутні </w:t>
            </w:r>
          </w:p>
        </w:tc>
        <w:tc>
          <w:tcPr>
            <w:tcW w:w="3828" w:type="dxa"/>
            <w:shd w:val="clear" w:color="auto" w:fill="auto"/>
          </w:tcPr>
          <w:p w:rsidR="009B2A43" w:rsidRDefault="00D71947" w:rsidP="006C7DE9">
            <w:pPr>
              <w:suppressAutoHyphens w:val="0"/>
              <w:autoSpaceDN/>
              <w:spacing w:line="240" w:lineRule="auto"/>
              <w:ind w:firstLine="323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Неможливість отримати </w:t>
            </w:r>
            <w:r w:rsidR="009B2A4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фахову передвищу освіту за рахунок </w:t>
            </w:r>
            <w:r w:rsidR="007443FC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державного замовлення</w:t>
            </w:r>
            <w:r w:rsidR="009B2A4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.</w:t>
            </w:r>
          </w:p>
          <w:p w:rsidR="00D71947" w:rsidRPr="00410EC0" w:rsidRDefault="009B2A43" w:rsidP="009B2A43">
            <w:pPr>
              <w:suppressAutoHyphens w:val="0"/>
              <w:autoSpaceDN/>
              <w:spacing w:line="240" w:lineRule="auto"/>
              <w:ind w:firstLine="323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Неможливість отримати </w:t>
            </w:r>
            <w:r w:rsidR="00D71947"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документ про фахову передвищу освіту,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з урахуванням інформації про акредитацію</w:t>
            </w:r>
            <w:r w:rsidR="00D71947"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.</w:t>
            </w:r>
          </w:p>
        </w:tc>
      </w:tr>
      <w:tr w:rsidR="00D71947" w:rsidRPr="00E6250E" w:rsidTr="00E6250E">
        <w:tc>
          <w:tcPr>
            <w:tcW w:w="2552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Альтернатива 2</w:t>
            </w:r>
          </w:p>
        </w:tc>
        <w:tc>
          <w:tcPr>
            <w:tcW w:w="3827" w:type="dxa"/>
            <w:shd w:val="clear" w:color="auto" w:fill="auto"/>
          </w:tcPr>
          <w:p w:rsidR="00E6250E" w:rsidRDefault="00E6250E" w:rsidP="006C7DE9">
            <w:pPr>
              <w:suppressAutoHyphens w:val="0"/>
              <w:autoSpaceDN/>
              <w:spacing w:line="240" w:lineRule="auto"/>
              <w:ind w:firstLine="176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Отримання фахової передвищої освіти за рахунок державного або місцевого бюджетів.</w:t>
            </w:r>
          </w:p>
          <w:p w:rsidR="00D71947" w:rsidRPr="00410EC0" w:rsidRDefault="00D71947" w:rsidP="00E6250E">
            <w:pPr>
              <w:suppressAutoHyphens w:val="0"/>
              <w:autoSpaceDN/>
              <w:spacing w:line="240" w:lineRule="auto"/>
              <w:ind w:firstLine="176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Отримання документа про фахову передвищу освіту</w:t>
            </w:r>
            <w:r w:rsidR="00E6250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 з достовірною інформацією про акредитацію</w:t>
            </w: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 </w:t>
            </w:r>
            <w:r w:rsidR="00E625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освітньо-професійних програм освітнього ступеня фахового молодшого бакалавра.</w:t>
            </w:r>
            <w:r w:rsidR="00E6250E"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 </w:t>
            </w:r>
            <w:r w:rsidR="00E6250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</w:t>
            </w: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ихід на ринок праці та можливість подальшого навчання.</w:t>
            </w:r>
          </w:p>
        </w:tc>
        <w:tc>
          <w:tcPr>
            <w:tcW w:w="3828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Відсутні</w:t>
            </w:r>
          </w:p>
        </w:tc>
      </w:tr>
    </w:tbl>
    <w:p w:rsidR="00D71947" w:rsidRPr="007443FC" w:rsidRDefault="00D71947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16"/>
          <w:szCs w:val="28"/>
          <w:lang w:val="uk-UA" w:eastAsia="ru-RU" w:bidi="ar-SA"/>
        </w:rPr>
      </w:pPr>
    </w:p>
    <w:p w:rsidR="00D71947" w:rsidRPr="00410EC0" w:rsidRDefault="00D71947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Оцінка впливу на сферу інтересів суб’єктів господарювання</w:t>
      </w:r>
    </w:p>
    <w:p w:rsidR="00D71947" w:rsidRPr="007443FC" w:rsidRDefault="00D71947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16"/>
          <w:szCs w:val="28"/>
          <w:lang w:val="uk-UA" w:eastAsia="ru-RU" w:bidi="ar-SA"/>
        </w:rPr>
      </w:pPr>
    </w:p>
    <w:p w:rsidR="00D71947" w:rsidRPr="00410EC0" w:rsidRDefault="00D71947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Дія </w:t>
      </w:r>
      <w:proofErr w:type="spellStart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проєкту</w:t>
      </w:r>
      <w:proofErr w:type="spellEnd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регуляторного акта поширюватиметься на сферу інтересів суб’єктів господарювання</w:t>
      </w:r>
    </w:p>
    <w:tbl>
      <w:tblPr>
        <w:tblW w:w="55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1087"/>
        <w:gridCol w:w="1207"/>
        <w:gridCol w:w="1151"/>
        <w:gridCol w:w="1393"/>
        <w:gridCol w:w="1746"/>
      </w:tblGrid>
      <w:tr w:rsidR="00D71947" w:rsidRPr="00410EC0" w:rsidTr="006C7DE9">
        <w:trPr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47" w:rsidRPr="00410EC0" w:rsidRDefault="00D71947" w:rsidP="006C7DE9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Показник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47" w:rsidRPr="00410EC0" w:rsidRDefault="00D71947" w:rsidP="006C7DE9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Великі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47" w:rsidRPr="00410EC0" w:rsidRDefault="00D71947" w:rsidP="006C7DE9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Середні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947" w:rsidRPr="00410EC0" w:rsidRDefault="00D71947" w:rsidP="006C7DE9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Малі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947" w:rsidRPr="00410EC0" w:rsidRDefault="00D71947" w:rsidP="006C7DE9">
            <w:pPr>
              <w:widowControl w:val="0"/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ind w:firstLine="208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proofErr w:type="spellStart"/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Мікро</w:t>
            </w:r>
            <w:proofErr w:type="spellEnd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47" w:rsidRPr="00410EC0" w:rsidRDefault="00D71947" w:rsidP="006C7DE9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Разом</w:t>
            </w:r>
          </w:p>
        </w:tc>
      </w:tr>
      <w:tr w:rsidR="00D71947" w:rsidRPr="00410EC0" w:rsidTr="006C7DE9">
        <w:trPr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47" w:rsidRPr="00410EC0" w:rsidRDefault="00D71947" w:rsidP="006C7DE9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47" w:rsidRDefault="00D71947" w:rsidP="006C7DE9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D71947" w:rsidRPr="00410EC0" w:rsidRDefault="00D71947" w:rsidP="006C7DE9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26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47" w:rsidRDefault="00D71947" w:rsidP="006C7DE9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D71947" w:rsidRPr="00410EC0" w:rsidRDefault="00D71947" w:rsidP="006C7DE9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670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947" w:rsidRDefault="00D71947" w:rsidP="006C7DE9">
            <w:pPr>
              <w:widowControl w:val="0"/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ind w:firstLine="318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D71947" w:rsidRPr="00410EC0" w:rsidRDefault="00D71947" w:rsidP="006C7DE9">
            <w:pPr>
              <w:widowControl w:val="0"/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ind w:firstLine="318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54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947" w:rsidRPr="00410EC0" w:rsidRDefault="00D71947" w:rsidP="006C7DE9">
            <w:pPr>
              <w:widowControl w:val="0"/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D71947" w:rsidRPr="00410EC0" w:rsidRDefault="00D71947" w:rsidP="006C7DE9">
            <w:pPr>
              <w:widowControl w:val="0"/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47" w:rsidRDefault="00D71947" w:rsidP="006C7DE9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:rsidR="00D71947" w:rsidRPr="00410EC0" w:rsidRDefault="00D71947" w:rsidP="006C7DE9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750</w:t>
            </w:r>
          </w:p>
        </w:tc>
      </w:tr>
      <w:tr w:rsidR="00D71947" w:rsidRPr="00410EC0" w:rsidTr="006C7DE9">
        <w:trPr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47" w:rsidRPr="00410EC0" w:rsidRDefault="00D71947" w:rsidP="006C7DE9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Питома вага групи у загальній кількості, відсотків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47" w:rsidRPr="00410EC0" w:rsidRDefault="00D71947" w:rsidP="006C7DE9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3%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47" w:rsidRPr="00410EC0" w:rsidRDefault="00D71947" w:rsidP="006C7DE9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89%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47" w:rsidRPr="00410EC0" w:rsidRDefault="00D71947" w:rsidP="006C7DE9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7%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47" w:rsidRPr="00410EC0" w:rsidRDefault="00D71947" w:rsidP="006C7DE9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47" w:rsidRPr="00410EC0" w:rsidRDefault="00D71947" w:rsidP="006C7DE9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100%</w:t>
            </w:r>
          </w:p>
        </w:tc>
      </w:tr>
    </w:tbl>
    <w:p w:rsidR="00D71947" w:rsidRPr="00410EC0" w:rsidRDefault="00D71947" w:rsidP="00D71947">
      <w:pPr>
        <w:suppressAutoHyphens w:val="0"/>
        <w:autoSpaceDN/>
        <w:spacing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</w:p>
    <w:tbl>
      <w:tblPr>
        <w:tblW w:w="106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112"/>
        <w:gridCol w:w="3969"/>
      </w:tblGrid>
      <w:tr w:rsidR="00D71947" w:rsidRPr="00410EC0" w:rsidTr="006C0848">
        <w:trPr>
          <w:tblHeader/>
        </w:trPr>
        <w:tc>
          <w:tcPr>
            <w:tcW w:w="2523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Вид альтернативи</w:t>
            </w:r>
          </w:p>
        </w:tc>
        <w:tc>
          <w:tcPr>
            <w:tcW w:w="4112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Вигоди</w:t>
            </w:r>
          </w:p>
        </w:tc>
        <w:tc>
          <w:tcPr>
            <w:tcW w:w="3969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Витрати</w:t>
            </w:r>
          </w:p>
        </w:tc>
      </w:tr>
      <w:tr w:rsidR="00D71947" w:rsidRPr="006C0848" w:rsidTr="006C0848">
        <w:tc>
          <w:tcPr>
            <w:tcW w:w="2523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Альтернатива 1</w:t>
            </w:r>
          </w:p>
        </w:tc>
        <w:tc>
          <w:tcPr>
            <w:tcW w:w="4112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Відсутні</w:t>
            </w:r>
          </w:p>
          <w:p w:rsidR="00D71947" w:rsidRPr="00410EC0" w:rsidRDefault="00D71947" w:rsidP="006C7DE9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3969" w:type="dxa"/>
            <w:shd w:val="clear" w:color="auto" w:fill="auto"/>
          </w:tcPr>
          <w:p w:rsidR="00D71947" w:rsidRPr="008C565B" w:rsidRDefault="00E6250E" w:rsidP="007D2568">
            <w:pPr>
              <w:suppressAutoHyphens w:val="0"/>
              <w:autoSpaceDN/>
              <w:spacing w:line="240" w:lineRule="auto"/>
              <w:ind w:firstLine="322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Витрати, пов`язані із неможливістю підтвердження спроможності закладу фахової перед</w:t>
            </w:r>
            <w:r w:rsidR="004740CC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вищої освіти провадження якісної освітньої діяльності за освітньо-професійними програмами освітнього ступеня фахового молодшого бакалавра.</w:t>
            </w:r>
            <w:r w:rsidR="007D256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 Неможливість закладами освіти отримувати державні видатки на підготовку кадрів у сфері фахової передвищої освіти.</w:t>
            </w:r>
          </w:p>
        </w:tc>
      </w:tr>
      <w:tr w:rsidR="00D71947" w:rsidRPr="006C0848" w:rsidTr="006C0848">
        <w:tc>
          <w:tcPr>
            <w:tcW w:w="2523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Альтернатива 2</w:t>
            </w:r>
          </w:p>
        </w:tc>
        <w:tc>
          <w:tcPr>
            <w:tcW w:w="4112" w:type="dxa"/>
            <w:shd w:val="clear" w:color="auto" w:fill="auto"/>
          </w:tcPr>
          <w:p w:rsidR="007D2568" w:rsidRDefault="007D2568" w:rsidP="00A31E7D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  <w:t>Отримання державних видатків закладами освіти на підготовку кадрів у сфері фахової передвищої освіти.</w:t>
            </w:r>
          </w:p>
          <w:p w:rsidR="00D71947" w:rsidRPr="00410EC0" w:rsidRDefault="00D71947" w:rsidP="007D2568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Встановлення норм щодо </w:t>
            </w:r>
            <w:r w:rsidRPr="00410EC0"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затвердження </w:t>
            </w:r>
            <w:r w:rsidR="004740CC"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процедур </w:t>
            </w:r>
            <w:r w:rsidR="004740CC" w:rsidRPr="00EE547F">
              <w:rPr>
                <w:rFonts w:ascii="Times New Roman" w:hAnsi="Times New Roman"/>
                <w:sz w:val="28"/>
                <w:szCs w:val="28"/>
                <w:lang w:val="uk-UA"/>
              </w:rPr>
              <w:t>оформлення, переоформлення, видачі, зберігання та обліку сертифікатів про акредитацію освітньо-професійн</w:t>
            </w:r>
            <w:bookmarkStart w:id="0" w:name="_GoBack"/>
            <w:bookmarkEnd w:id="0"/>
            <w:r w:rsidR="004740CC" w:rsidRPr="00EE547F">
              <w:rPr>
                <w:rFonts w:ascii="Times New Roman" w:hAnsi="Times New Roman"/>
                <w:sz w:val="28"/>
                <w:szCs w:val="28"/>
                <w:lang w:val="uk-UA"/>
              </w:rPr>
              <w:t>ої програми освітнього ступеня фахового молодшого бакалавра (та їх дублікатів)</w:t>
            </w:r>
            <w:r w:rsidR="004740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A31E7D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C24654">
              <w:rPr>
                <w:rFonts w:ascii="Times New Roman" w:hAnsi="Times New Roman"/>
                <w:sz w:val="28"/>
                <w:szCs w:val="28"/>
                <w:lang w:val="uk-UA"/>
              </w:rPr>
              <w:t>становлення вичерпного</w:t>
            </w:r>
            <w:r w:rsidR="004740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переліку інформації про акредитацію</w:t>
            </w:r>
            <w:r w:rsidR="00C246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сертифікатах</w:t>
            </w:r>
            <w:r w:rsidR="004740CC">
              <w:rPr>
                <w:rFonts w:ascii="Times New Roman" w:hAnsi="Times New Roman"/>
                <w:sz w:val="28"/>
                <w:szCs w:val="28"/>
                <w:lang w:val="uk-UA"/>
              </w:rPr>
              <w:t>. Зазначення органу (органів) акредитації в п</w:t>
            </w: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ереліку інформації, яка повинна міститися в документах про фахову передвищу освіту</w:t>
            </w:r>
            <w:r w:rsidR="004740CC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D71947" w:rsidRPr="00410EC0" w:rsidRDefault="006C0848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Витрати пов`язані з процедурою переоформлення сертифікатів </w:t>
            </w:r>
            <w:r w:rsidRPr="00EE547F">
              <w:rPr>
                <w:rFonts w:ascii="Times New Roman" w:hAnsi="Times New Roman"/>
                <w:sz w:val="28"/>
                <w:szCs w:val="28"/>
                <w:lang w:val="uk-UA"/>
              </w:rPr>
              <w:t>про акредитацію освітньо-професійної програми освітнього ступеня фахового молодшого бакалавра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 закладами освіти з метою виконання вимог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частини п`ятої статті 19 та </w:t>
            </w:r>
            <w:r w:rsidRPr="001118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підпункту 10 пункту 2 розділу ХІV «Прикінцеві положення» Закону України «Про фахову передвищу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</w:t>
            </w:r>
            <w:r w:rsidRPr="001118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світу»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за наявності здобувачів за освітньо-професійними програмами (3328 освітньо-професійних програм на загальну суму 2 163 200 гривень)</w:t>
            </w:r>
          </w:p>
        </w:tc>
      </w:tr>
    </w:tbl>
    <w:p w:rsidR="00D71947" w:rsidRPr="00410EC0" w:rsidRDefault="00D71947" w:rsidP="00D71947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4990"/>
      </w:tblGrid>
      <w:tr w:rsidR="00D71947" w:rsidRPr="004740CC" w:rsidTr="006C7DE9">
        <w:tc>
          <w:tcPr>
            <w:tcW w:w="5642" w:type="dxa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Сумарні витрати за альтернативами</w:t>
            </w:r>
          </w:p>
        </w:tc>
        <w:tc>
          <w:tcPr>
            <w:tcW w:w="4990" w:type="dxa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Сума витрат, гривень</w:t>
            </w:r>
          </w:p>
        </w:tc>
      </w:tr>
      <w:tr w:rsidR="00D71947" w:rsidRPr="004740CC" w:rsidTr="006C7DE9">
        <w:tc>
          <w:tcPr>
            <w:tcW w:w="5642" w:type="dxa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Альтернатива 1</w:t>
            </w:r>
          </w:p>
        </w:tc>
        <w:tc>
          <w:tcPr>
            <w:tcW w:w="4990" w:type="dxa"/>
          </w:tcPr>
          <w:p w:rsidR="00D71947" w:rsidRPr="007443FC" w:rsidRDefault="006C0848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0</w:t>
            </w:r>
          </w:p>
        </w:tc>
      </w:tr>
      <w:tr w:rsidR="00D71947" w:rsidRPr="00410EC0" w:rsidTr="006C7DE9">
        <w:tc>
          <w:tcPr>
            <w:tcW w:w="5642" w:type="dxa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Альтернатива 2</w:t>
            </w:r>
          </w:p>
        </w:tc>
        <w:tc>
          <w:tcPr>
            <w:tcW w:w="4990" w:type="dxa"/>
          </w:tcPr>
          <w:p w:rsidR="00D71947" w:rsidRPr="007443FC" w:rsidRDefault="007B52D6" w:rsidP="006C084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2</w:t>
            </w:r>
            <w:r w:rsidR="006C084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 163 200</w:t>
            </w:r>
          </w:p>
        </w:tc>
      </w:tr>
    </w:tbl>
    <w:p w:rsidR="00D71947" w:rsidRPr="00410EC0" w:rsidRDefault="00D71947" w:rsidP="00D71947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uk-UA" w:eastAsia="en-US" w:bidi="ar-SA"/>
        </w:rPr>
      </w:pPr>
    </w:p>
    <w:p w:rsidR="00D71947" w:rsidRPr="00410EC0" w:rsidRDefault="00D71947" w:rsidP="00D71947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  <w:t>IV. Вибір найбільш оптимального альтернативного способу досягнення цілей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2410"/>
        <w:gridCol w:w="4961"/>
      </w:tblGrid>
      <w:tr w:rsidR="00D71947" w:rsidRPr="006C0848" w:rsidTr="006C7DE9">
        <w:trPr>
          <w:tblHeader/>
        </w:trPr>
        <w:tc>
          <w:tcPr>
            <w:tcW w:w="3120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410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Бал результативності</w:t>
            </w: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br/>
              <w:t>(за чотирибальною системою оцінки)</w:t>
            </w:r>
          </w:p>
        </w:tc>
        <w:tc>
          <w:tcPr>
            <w:tcW w:w="4961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Коментарі</w:t>
            </w: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br/>
              <w:t>щодо присвоєння відповідного бала</w:t>
            </w:r>
          </w:p>
        </w:tc>
      </w:tr>
      <w:tr w:rsidR="00D71947" w:rsidRPr="00410EC0" w:rsidTr="006C7DE9">
        <w:tc>
          <w:tcPr>
            <w:tcW w:w="3120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Альтернатива 1</w:t>
            </w:r>
          </w:p>
        </w:tc>
        <w:tc>
          <w:tcPr>
            <w:tcW w:w="2410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1</w:t>
            </w:r>
          </w:p>
          <w:p w:rsidR="00D71947" w:rsidRPr="00410EC0" w:rsidRDefault="00D71947" w:rsidP="006C7DE9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4961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Проблему не вирішено.</w:t>
            </w:r>
          </w:p>
        </w:tc>
      </w:tr>
      <w:tr w:rsidR="00D71947" w:rsidRPr="006C0848" w:rsidTr="006C7DE9">
        <w:tc>
          <w:tcPr>
            <w:tcW w:w="3120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Альтернатива 2</w:t>
            </w:r>
          </w:p>
        </w:tc>
        <w:tc>
          <w:tcPr>
            <w:tcW w:w="2410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4</w:t>
            </w:r>
          </w:p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4961" w:type="dxa"/>
            <w:shd w:val="clear" w:color="auto" w:fill="auto"/>
          </w:tcPr>
          <w:p w:rsidR="00D71947" w:rsidRPr="00410EC0" w:rsidRDefault="00D71947" w:rsidP="00124DCA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8C56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Запропонований спосіб вирішення зазначеної проблеми є найбільш доцільним, оскільки прийняття запропонованого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нормативно-правового акта дозволить врегулювати питання </w:t>
            </w:r>
            <w:r w:rsidR="00124DCA" w:rsidRPr="00EE547F">
              <w:rPr>
                <w:rFonts w:ascii="Times New Roman" w:hAnsi="Times New Roman"/>
                <w:sz w:val="28"/>
                <w:szCs w:val="28"/>
                <w:lang w:val="uk-UA"/>
              </w:rPr>
              <w:t>оформлення, переоформлення, видачі, зберігання та обліку сертифікатів про акредитацію освітньо-професійної програми освітнього ступеня фахового молодшого бакалавра (та їх дублікатів)</w:t>
            </w:r>
            <w:r w:rsidR="00124D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у тому числі переоформлення </w:t>
            </w:r>
            <w:r w:rsidR="00124D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сертифікатів про акредитацію за освітньо-кваліфікаційним рівнем молодшого спеціаліста на сертифікати про акредитацію освітньо-професійних програм освітнього ступеня фахового молодшого бакалавра.</w:t>
            </w:r>
          </w:p>
        </w:tc>
      </w:tr>
    </w:tbl>
    <w:p w:rsidR="00D71947" w:rsidRPr="00410EC0" w:rsidRDefault="00D71947" w:rsidP="00D71947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</w:p>
    <w:p w:rsidR="00D71947" w:rsidRPr="00410EC0" w:rsidRDefault="00D71947" w:rsidP="00D71947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sectPr w:rsidR="00D71947" w:rsidRPr="00410EC0" w:rsidSect="002E6BEF">
          <w:headerReference w:type="default" r:id="rId7"/>
          <w:pgSz w:w="11906" w:h="16838"/>
          <w:pgMar w:top="1134" w:right="991" w:bottom="1134" w:left="1410" w:header="708" w:footer="708" w:gutter="0"/>
          <w:cols w:space="720"/>
          <w:titlePg/>
          <w:docGrid w:linePitch="299"/>
        </w:sectPr>
      </w:pPr>
    </w:p>
    <w:p w:rsidR="00D71947" w:rsidRPr="00410EC0" w:rsidRDefault="00D71947" w:rsidP="00D71947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</w:p>
    <w:tbl>
      <w:tblPr>
        <w:tblW w:w="1488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6"/>
        <w:gridCol w:w="4728"/>
        <w:gridCol w:w="5102"/>
        <w:gridCol w:w="2978"/>
      </w:tblGrid>
      <w:tr w:rsidR="00D71947" w:rsidRPr="006C0848" w:rsidTr="006C7DE9">
        <w:trPr>
          <w:tblHeader/>
        </w:trPr>
        <w:tc>
          <w:tcPr>
            <w:tcW w:w="2076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 xml:space="preserve">Рейтинг </w:t>
            </w:r>
            <w:proofErr w:type="spellStart"/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результатив</w:t>
            </w:r>
            <w:proofErr w:type="spellEnd"/>
          </w:p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proofErr w:type="spellStart"/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ності</w:t>
            </w:r>
            <w:proofErr w:type="spellEnd"/>
          </w:p>
        </w:tc>
        <w:tc>
          <w:tcPr>
            <w:tcW w:w="4728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Вигоди</w:t>
            </w: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br/>
              <w:t>(підсумок)</w:t>
            </w:r>
          </w:p>
        </w:tc>
        <w:tc>
          <w:tcPr>
            <w:tcW w:w="5102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Витрати (підсумок)</w:t>
            </w:r>
          </w:p>
        </w:tc>
        <w:tc>
          <w:tcPr>
            <w:tcW w:w="2978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Обґрунтування відповідного місця альтернативи у рейтингу</w:t>
            </w:r>
          </w:p>
        </w:tc>
      </w:tr>
      <w:tr w:rsidR="00D71947" w:rsidRPr="006C0848" w:rsidTr="006C7DE9">
        <w:tc>
          <w:tcPr>
            <w:tcW w:w="2076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Альтернатива 1</w:t>
            </w:r>
          </w:p>
        </w:tc>
        <w:tc>
          <w:tcPr>
            <w:tcW w:w="4728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ind w:firstLine="28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Відсутні</w:t>
            </w:r>
          </w:p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  <w:p w:rsidR="00D71947" w:rsidRPr="00410EC0" w:rsidRDefault="00D71947" w:rsidP="006C7DE9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5102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ind w:firstLine="323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Витрати, пов’язані із неможливістю виконати вчасно норми Конституції України та Закону України «Про фахову передвищу освіту»</w:t>
            </w:r>
            <w:r w:rsidR="00353672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.</w:t>
            </w:r>
          </w:p>
        </w:tc>
        <w:tc>
          <w:tcPr>
            <w:tcW w:w="2978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Зазначений спосіб не  вирішує існуючої проблеми</w:t>
            </w:r>
          </w:p>
        </w:tc>
      </w:tr>
      <w:tr w:rsidR="00D71947" w:rsidRPr="006C0848" w:rsidTr="006C7DE9">
        <w:tc>
          <w:tcPr>
            <w:tcW w:w="2076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Альтернатива 2</w:t>
            </w:r>
          </w:p>
        </w:tc>
        <w:tc>
          <w:tcPr>
            <w:tcW w:w="4728" w:type="dxa"/>
            <w:shd w:val="clear" w:color="auto" w:fill="auto"/>
          </w:tcPr>
          <w:p w:rsidR="00D71947" w:rsidRPr="00353672" w:rsidRDefault="00D71947" w:rsidP="006C7DE9">
            <w:pPr>
              <w:suppressAutoHyphens w:val="0"/>
              <w:autoSpaceDN/>
              <w:spacing w:line="240" w:lineRule="auto"/>
              <w:ind w:firstLine="316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353672"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  <w:t>Ефективне використання бюджетних коштів на підготовку фахівців.</w:t>
            </w:r>
          </w:p>
          <w:p w:rsidR="00D71947" w:rsidRPr="00353672" w:rsidRDefault="00D71947" w:rsidP="006C7DE9">
            <w:pPr>
              <w:suppressAutoHyphens w:val="0"/>
              <w:autoSpaceDN/>
              <w:spacing w:line="240" w:lineRule="auto"/>
              <w:ind w:firstLine="316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353672"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  <w:t>Ринок праці забезпечено фахівцями, які мають на</w:t>
            </w:r>
            <w:r w:rsidR="00353672" w:rsidRPr="00353672"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  <w:t>лежний рівень якості підготовки за освітньо-професійними програмами освітнього ступеня фахового молодшого бакалавра.</w:t>
            </w:r>
          </w:p>
          <w:p w:rsidR="00D71947" w:rsidRPr="00D3346A" w:rsidRDefault="00D71947" w:rsidP="006C7DE9">
            <w:pPr>
              <w:suppressAutoHyphens w:val="0"/>
              <w:autoSpaceDN/>
              <w:spacing w:line="240" w:lineRule="auto"/>
              <w:ind w:firstLine="316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353672"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  <w:t>Забезпечується належний темп економічного розвитку та соціальна стабільність.</w:t>
            </w:r>
          </w:p>
        </w:tc>
        <w:tc>
          <w:tcPr>
            <w:tcW w:w="5102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Відсутні</w:t>
            </w:r>
          </w:p>
        </w:tc>
        <w:tc>
          <w:tcPr>
            <w:tcW w:w="2978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Прийняття акта сприятиме: вирішенню проблеми</w:t>
            </w:r>
          </w:p>
        </w:tc>
      </w:tr>
    </w:tbl>
    <w:p w:rsidR="00D71947" w:rsidRPr="00410EC0" w:rsidRDefault="00D71947" w:rsidP="00D71947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</w:p>
    <w:p w:rsidR="00D71947" w:rsidRPr="00410EC0" w:rsidRDefault="00D71947" w:rsidP="00D71947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</w:p>
    <w:p w:rsidR="00D71947" w:rsidRPr="00410EC0" w:rsidRDefault="00D71947" w:rsidP="00D71947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</w:p>
    <w:p w:rsidR="00D71947" w:rsidRPr="00410EC0" w:rsidRDefault="00D71947" w:rsidP="00D71947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</w:p>
    <w:p w:rsidR="00D71947" w:rsidRPr="00410EC0" w:rsidRDefault="00D71947" w:rsidP="00D71947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</w:p>
    <w:p w:rsidR="00D71947" w:rsidRPr="00410EC0" w:rsidRDefault="00D71947" w:rsidP="00D71947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</w:p>
    <w:p w:rsidR="00D71947" w:rsidRPr="00410EC0" w:rsidRDefault="00D71947" w:rsidP="00D71947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</w:p>
    <w:p w:rsidR="00D71947" w:rsidRPr="00410EC0" w:rsidRDefault="00D71947" w:rsidP="00D71947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</w:p>
    <w:p w:rsidR="00D71947" w:rsidRPr="00410EC0" w:rsidRDefault="00D71947" w:rsidP="00D71947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sectPr w:rsidR="00D71947" w:rsidRPr="00410EC0" w:rsidSect="004B0DA1">
          <w:pgSz w:w="16838" w:h="11906" w:orient="landscape"/>
          <w:pgMar w:top="1410" w:right="1134" w:bottom="991" w:left="1134" w:header="708" w:footer="708" w:gutter="0"/>
          <w:cols w:space="720"/>
          <w:titlePg/>
          <w:docGrid w:linePitch="299"/>
        </w:sect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969"/>
        <w:gridCol w:w="3687"/>
      </w:tblGrid>
      <w:tr w:rsidR="00D71947" w:rsidRPr="006C0848" w:rsidTr="00C24654">
        <w:tc>
          <w:tcPr>
            <w:tcW w:w="2268" w:type="dxa"/>
            <w:shd w:val="clear" w:color="auto" w:fill="auto"/>
            <w:vAlign w:val="center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Рейтинг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Аргументи щодо</w:t>
            </w: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br/>
              <w:t>переваги обраної альтернативи/причини відмови від альтернативи</w:t>
            </w:r>
          </w:p>
        </w:tc>
        <w:tc>
          <w:tcPr>
            <w:tcW w:w="3687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D71947" w:rsidRPr="006C0848" w:rsidTr="00C24654">
        <w:tc>
          <w:tcPr>
            <w:tcW w:w="2268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Альтернатива 1</w:t>
            </w:r>
          </w:p>
        </w:tc>
        <w:tc>
          <w:tcPr>
            <w:tcW w:w="3969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 xml:space="preserve">Альтернатива не сприятиме вирішенню проблеми, зберігаються негативні тенденції і ризики. </w:t>
            </w:r>
          </w:p>
        </w:tc>
        <w:tc>
          <w:tcPr>
            <w:tcW w:w="3687" w:type="dxa"/>
            <w:shd w:val="clear" w:color="auto" w:fill="auto"/>
          </w:tcPr>
          <w:p w:rsidR="00D71947" w:rsidRDefault="00353672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Негативні наслідки відсутності врегулювання процедури оформлення, переоформлення</w:t>
            </w:r>
            <w:r w:rsidR="007C3179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, </w:t>
            </w:r>
            <w:r w:rsidR="007C3179" w:rsidRPr="00EE547F">
              <w:rPr>
                <w:rFonts w:ascii="Times New Roman" w:hAnsi="Times New Roman"/>
                <w:sz w:val="28"/>
                <w:szCs w:val="28"/>
                <w:lang w:val="uk-UA"/>
              </w:rPr>
              <w:t>видачі, зберігання та обліку сертифікатів про акредитацію освітньо-професійної програми освітнього ступеня фахового молодшого бакалавра (та їх дублікатів)</w:t>
            </w:r>
            <w:r w:rsidR="007C3179">
              <w:rPr>
                <w:rFonts w:ascii="Times New Roman" w:hAnsi="Times New Roman"/>
                <w:sz w:val="28"/>
                <w:szCs w:val="28"/>
                <w:lang w:val="uk-UA"/>
              </w:rPr>
              <w:t>. Відсутність підтвердження акредитації за освітньо-професійними програмами освітнього ступеня фахового молодшого бакалавра.</w:t>
            </w:r>
          </w:p>
          <w:p w:rsidR="002A3F6F" w:rsidRPr="00410EC0" w:rsidRDefault="002A3F6F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Негативні наслідки матимуть загальнонаціональний масштаб</w:t>
            </w:r>
            <w:r w:rsidR="00E245CD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оскільки впливають на більш як 120000 здобувачів  та 750 закладів фахової передвищої освіти.</w:t>
            </w:r>
          </w:p>
        </w:tc>
      </w:tr>
      <w:tr w:rsidR="00D71947" w:rsidRPr="006C0848" w:rsidTr="00C24654">
        <w:tc>
          <w:tcPr>
            <w:tcW w:w="2268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Альтернатива 2</w:t>
            </w:r>
          </w:p>
        </w:tc>
        <w:tc>
          <w:tcPr>
            <w:tcW w:w="3969" w:type="dxa"/>
            <w:shd w:val="clear" w:color="auto" w:fill="auto"/>
          </w:tcPr>
          <w:p w:rsidR="00D71947" w:rsidRDefault="00D71947" w:rsidP="007C317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10E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 xml:space="preserve">Альтернатива </w:t>
            </w:r>
            <w:r w:rsidRPr="002A3F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сприятиме</w:t>
            </w:r>
            <w:r w:rsidRPr="00124D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val="uk-UA" w:eastAsia="ru-RU" w:bidi="ar-SA"/>
              </w:rPr>
              <w:t xml:space="preserve"> </w:t>
            </w:r>
            <w:r w:rsidR="007C317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підтвердженню акредитації за освітньо-професійними програмами освітнього ступеня фахового молодшого бакалавра</w:t>
            </w:r>
            <w:r w:rsidR="002A3F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 xml:space="preserve"> з урахуванням вимог </w:t>
            </w:r>
            <w:r w:rsidR="002A3F6F" w:rsidRPr="001118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підпункту 10 пункту 2 розділу ХІV «Прикінцеві положення» Закону України «Про фахову передвищу </w:t>
            </w:r>
            <w:r w:rsidR="002A3F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</w:t>
            </w:r>
            <w:r w:rsidR="002A3F6F" w:rsidRPr="001118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світу»</w:t>
            </w:r>
            <w:r w:rsidR="002A3F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</w:p>
          <w:p w:rsidR="002A3F6F" w:rsidRPr="00410EC0" w:rsidRDefault="002A3F6F" w:rsidP="007C317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Заклади освіти зможуть здійснювати проце</w:t>
            </w:r>
            <w:r w:rsidR="00C23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дуру переоформлення (отримання дублікатів) сертифікатів про акредитацію освітньо-професійних програм освітнього ступеня фахового молодшого бакалавра за єдиними вимогами.</w:t>
            </w:r>
          </w:p>
        </w:tc>
        <w:tc>
          <w:tcPr>
            <w:tcW w:w="3687" w:type="dxa"/>
            <w:shd w:val="clear" w:color="auto" w:fill="auto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Негативних наслідків від прийняття акта не очікується</w:t>
            </w:r>
            <w:r w:rsidR="002A3F6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.</w:t>
            </w:r>
          </w:p>
        </w:tc>
      </w:tr>
    </w:tbl>
    <w:p w:rsidR="00D71947" w:rsidRPr="00410EC0" w:rsidRDefault="00D71947" w:rsidP="00D71947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</w:p>
    <w:p w:rsidR="00D71947" w:rsidRPr="00410EC0" w:rsidRDefault="00D71947" w:rsidP="00D71947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  <w:t>V. Механізми та заходи, які забезпечать розв’язання визначеної проблеми</w:t>
      </w:r>
    </w:p>
    <w:p w:rsidR="00D71947" w:rsidRPr="00410EC0" w:rsidRDefault="00D71947" w:rsidP="00D71947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</w:p>
    <w:p w:rsidR="00D71947" w:rsidRDefault="00D71947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Для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розв’язання</w:t>
      </w: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проблеми, визначеної у розділі І та досягнення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поставлених</w:t>
      </w: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цілей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,</w:t>
      </w: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</w:t>
      </w:r>
      <w:proofErr w:type="spellStart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проєктом</w:t>
      </w:r>
      <w:proofErr w:type="spellEnd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акта передбачено </w:t>
      </w:r>
      <w:r w:rsidRPr="008839E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затвердження </w:t>
      </w:r>
      <w:r w:rsidR="007C317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форми сертифіката про акредитацію освітньо-професійної програми освітнього ступеня фахового молодшого бакалавра та затвердження визначеного порядку оформлення, переоформлення таких сертифікатів. Встановлена вартість за переоформлення (видачу дублікатів) сертифікатів про акредитацію освітньо-професійних програм освітнього ступеня фахового молодшого бакалавра дозволить забезпечити організаційні заходи </w:t>
      </w:r>
      <w:r w:rsidR="002A3F6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з урахуванням витрат людських ресурсів </w:t>
      </w:r>
      <w:r w:rsidR="007C317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щодо вчасного оформлення та видачі сертифікатів </w:t>
      </w:r>
      <w:r w:rsidR="002A3F6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про акредитацію освітньо-професійних програм освітнього ступеня фахового молодшого бакалавра.</w:t>
      </w:r>
    </w:p>
    <w:p w:rsidR="00D71947" w:rsidRDefault="00D71947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</w:p>
    <w:p w:rsidR="00D71947" w:rsidRPr="00410EC0" w:rsidRDefault="00D71947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D71947" w:rsidRPr="00410EC0" w:rsidRDefault="00D71947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Від впровадження </w:t>
      </w:r>
      <w:proofErr w:type="spellStart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проєкту</w:t>
      </w:r>
      <w:proofErr w:type="spellEnd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регуляторного акта негативних наслідків не очікується.</w:t>
      </w:r>
    </w:p>
    <w:p w:rsidR="00D71947" w:rsidRPr="00410EC0" w:rsidRDefault="00D71947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Реалізація </w:t>
      </w:r>
      <w:proofErr w:type="spellStart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проєкту</w:t>
      </w:r>
      <w:proofErr w:type="spellEnd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регуляторного акта не потребує додаткових витрат з державного бюджету України, тому розрахунок бюджетних витрат не здійснювався.</w:t>
      </w:r>
    </w:p>
    <w:p w:rsidR="00D71947" w:rsidRPr="00410EC0" w:rsidRDefault="00D71947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C2391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Розрахунок витрат суб</w:t>
      </w:r>
      <w:r w:rsidR="00C2391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`</w:t>
      </w:r>
      <w:r w:rsidRPr="00C2391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єктів малого підпри</w:t>
      </w:r>
      <w:r w:rsidR="00C2391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ємництва (М-Тест) не проводився, оскільки питома вага суб`єктів малого бізнесу (малих та мікропідприємств разом) у загальній кіл</w:t>
      </w:r>
      <w:r w:rsidR="00E245C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ькості суб`єктів господарювання</w:t>
      </w:r>
      <w:r w:rsidR="00C2391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, на яких поширюється регулювання, не перевищує 10 </w:t>
      </w:r>
      <w:r w:rsidR="00E245C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%</w:t>
      </w:r>
      <w:r w:rsidR="00C2391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.</w:t>
      </w:r>
    </w:p>
    <w:p w:rsidR="00D71947" w:rsidRPr="00410EC0" w:rsidRDefault="00D71947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</w:p>
    <w:p w:rsidR="00D71947" w:rsidRPr="00410EC0" w:rsidRDefault="00D71947" w:rsidP="00D71947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  <w:t>VII. Обґрунтування запропонованого строку дії регуляторного акта</w:t>
      </w:r>
    </w:p>
    <w:p w:rsidR="00D71947" w:rsidRDefault="00D71947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bdr w:val="none" w:sz="0" w:space="0" w:color="auto" w:frame="1"/>
          <w:lang w:val="uk-UA" w:eastAsia="uk-UA" w:bidi="ar-SA"/>
        </w:rPr>
      </w:pPr>
      <w:r w:rsidRPr="00410EC0">
        <w:rPr>
          <w:rFonts w:ascii="Times New Roman" w:eastAsia="Calibri" w:hAnsi="Times New Roman" w:cs="Times New Roman"/>
          <w:bCs/>
          <w:kern w:val="0"/>
          <w:sz w:val="28"/>
          <w:szCs w:val="28"/>
          <w:bdr w:val="none" w:sz="0" w:space="0" w:color="auto" w:frame="1"/>
          <w:lang w:val="uk-UA" w:eastAsia="uk-UA" w:bidi="ar-SA"/>
        </w:rPr>
        <w:t>Розроблений акт не має обмеження щодо строку його дії.</w:t>
      </w:r>
    </w:p>
    <w:p w:rsidR="002A3F6F" w:rsidRPr="00410EC0" w:rsidRDefault="002A3F6F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bdr w:val="none" w:sz="0" w:space="0" w:color="auto" w:frame="1"/>
          <w:lang w:val="uk-UA" w:eastAsia="uk-UA" w:bidi="ar-SA"/>
        </w:rPr>
      </w:pPr>
    </w:p>
    <w:p w:rsidR="00D71947" w:rsidRPr="00410EC0" w:rsidRDefault="00D71947" w:rsidP="00D71947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  <w:t>VIII. Визначення показників результативності дії регуляторного акта</w:t>
      </w:r>
    </w:p>
    <w:p w:rsidR="00D71947" w:rsidRDefault="00D71947" w:rsidP="00D719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Результативність акта можна оцінити за такими показниками:</w:t>
      </w:r>
    </w:p>
    <w:p w:rsidR="00D71947" w:rsidRDefault="00E245CD" w:rsidP="00D719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–</w:t>
      </w:r>
      <w:r w:rsidR="00D719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кількість суб</w:t>
      </w:r>
      <w:r w:rsidR="00C23916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`</w:t>
      </w:r>
      <w:r w:rsidR="00D719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єктів господарювання та/або фізичних осіб, на яких поширюватиметься дія акта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,</w:t>
      </w:r>
      <w:r w:rsidR="00D719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обмежується кількістю закладів фахової передвищої освіти, що надають освітні послуги;</w:t>
      </w:r>
    </w:p>
    <w:p w:rsidR="00F70871" w:rsidRDefault="00F70871" w:rsidP="00D719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– кількість суб`єктів господарювання та/або фізичних осіб, які здійснюють переоформлення сертифікатів у встановленому законодавством порядку;</w:t>
      </w:r>
    </w:p>
    <w:p w:rsidR="00F70871" w:rsidRPr="00410EC0" w:rsidRDefault="00F70871" w:rsidP="00D719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– кількість акредитованих спеціальностей та/або освітньо-професійних програм, які визнані на підставі сертифікатів про акредитацію за освітньо-кваліфікаційним рівнем молодшого спеціаліста;</w:t>
      </w:r>
    </w:p>
    <w:p w:rsidR="00D71947" w:rsidRDefault="00E245CD" w:rsidP="00D719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–</w:t>
      </w:r>
      <w:r w:rsidR="00D719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кількість здобувачів фахової передвищої освіти, які </w:t>
      </w:r>
      <w:r w:rsidR="007D256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навчаються за освітньо-професійними програмами освітнього ступеня фахового молодшого бакалавра</w:t>
      </w:r>
      <w:r w:rsidR="00D719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;</w:t>
      </w:r>
    </w:p>
    <w:p w:rsidR="00D71947" w:rsidRPr="00CC511C" w:rsidRDefault="00E245CD" w:rsidP="00D719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–</w:t>
      </w:r>
      <w:r w:rsidR="00D719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D71947" w:rsidRPr="007D256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розмір надходжень до державного та місцевих бюджетів, пов’язаних з дією акта – залежить від кількості здобувачів фахової передвищої освіти, які навчаються за освітньо-професійним програмами закладів фахової передвищої освіти за кошти юридичних та фізичних осіб</w:t>
      </w:r>
      <w:r w:rsidR="00D719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.</w:t>
      </w:r>
    </w:p>
    <w:p w:rsidR="00D71947" w:rsidRPr="00410EC0" w:rsidRDefault="00D71947" w:rsidP="00D71947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</w:p>
    <w:p w:rsidR="00D71947" w:rsidRPr="00410EC0" w:rsidRDefault="00D71947" w:rsidP="00D71947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D71947" w:rsidRPr="00410EC0" w:rsidRDefault="00D71947" w:rsidP="00D71947">
      <w:pPr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</w:p>
    <w:p w:rsidR="00D71947" w:rsidRPr="00410EC0" w:rsidRDefault="00D71947" w:rsidP="00D71947">
      <w:pPr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Відстеження результативності дії регуляторного акта буде проводитися за допомогою заходів, спрямованих на оцінку стану впровадження регуляторного акта та визначення ефективності та доцільності впровадженого регулювання, шляхом аналізу статистичних показників.</w:t>
      </w:r>
    </w:p>
    <w:p w:rsidR="00D71947" w:rsidRPr="00410EC0" w:rsidRDefault="00D71947" w:rsidP="00D71947">
      <w:pPr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У разі виявлення неврегульованих та проблемних питань шляхом аналізу якісних показників дії цього акта буде внесено відповідні зміни до регуляторного акта.</w:t>
      </w:r>
    </w:p>
    <w:p w:rsidR="006C0848" w:rsidRPr="006C0848" w:rsidRDefault="006C0848" w:rsidP="006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6C084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Базове відстеження буде проведено після набрання чинності цим регуляторним актом, але не пізніше дня, з якого починається проведення повторного відстеження результативності цього акта.</w:t>
      </w:r>
    </w:p>
    <w:p w:rsidR="006C0848" w:rsidRPr="006C0848" w:rsidRDefault="006C0848" w:rsidP="006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6C084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Повторне відстеження результативності регуляторного акта проводитиметься не пізніше двох років з дня набрання чинності цим актом.</w:t>
      </w:r>
    </w:p>
    <w:p w:rsidR="00D71947" w:rsidRPr="00410EC0" w:rsidRDefault="006C0848" w:rsidP="006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6C084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Періодичне відстеження результативності регуляторного акта буде проводитись один раз на три роки після проведення заходів повторного відстеження регуляторного акта.</w:t>
      </w:r>
    </w:p>
    <w:p w:rsidR="00D71947" w:rsidRDefault="00D71947" w:rsidP="00D71947">
      <w:pPr>
        <w:suppressAutoHyphens w:val="0"/>
        <w:autoSpaceDN/>
        <w:spacing w:line="240" w:lineRule="auto"/>
        <w:ind w:firstLine="77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</w:p>
    <w:p w:rsidR="006C0848" w:rsidRPr="00410EC0" w:rsidRDefault="006C0848" w:rsidP="00D71947">
      <w:pPr>
        <w:suppressAutoHyphens w:val="0"/>
        <w:autoSpaceDN/>
        <w:spacing w:line="240" w:lineRule="auto"/>
        <w:ind w:firstLine="77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</w:p>
    <w:p w:rsidR="00D71947" w:rsidRPr="00410EC0" w:rsidRDefault="00D71947" w:rsidP="00D71947">
      <w:pPr>
        <w:suppressAutoHyphens w:val="0"/>
        <w:autoSpaceDN/>
        <w:spacing w:line="240" w:lineRule="auto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uk-UA" w:eastAsia="ru-RU" w:bidi="ar-SA"/>
        </w:rPr>
        <w:t>Міністр освіти і науки України                                          Сергій ШКАРЛЕТ</w:t>
      </w:r>
    </w:p>
    <w:p w:rsidR="00C24654" w:rsidRPr="00124DCA" w:rsidRDefault="00C24654">
      <w:pPr>
        <w:rPr>
          <w:lang w:val="uk-UA"/>
        </w:rPr>
      </w:pPr>
      <w:r w:rsidRPr="00124DCA">
        <w:rPr>
          <w:lang w:val="uk-UA"/>
        </w:rPr>
        <w:br w:type="page"/>
      </w:r>
    </w:p>
    <w:tbl>
      <w:tblPr>
        <w:tblW w:w="5141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9"/>
      </w:tblGrid>
      <w:tr w:rsidR="00D71947" w:rsidRPr="006C0848" w:rsidTr="006C7DE9">
        <w:trPr>
          <w:tblCellSpacing w:w="0" w:type="dxa"/>
        </w:trPr>
        <w:tc>
          <w:tcPr>
            <w:tcW w:w="5000" w:type="pct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ind w:left="5812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br w:type="page"/>
            </w: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 xml:space="preserve">Додаток 2 </w:t>
            </w:r>
          </w:p>
          <w:p w:rsidR="00D71947" w:rsidRPr="00410EC0" w:rsidRDefault="00D71947" w:rsidP="006C7DE9">
            <w:pPr>
              <w:suppressAutoHyphens w:val="0"/>
              <w:autoSpaceDN/>
              <w:spacing w:line="240" w:lineRule="auto"/>
              <w:ind w:left="5812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до Методики проведення аналізу впливу регуляторного акта</w:t>
            </w:r>
          </w:p>
        </w:tc>
      </w:tr>
    </w:tbl>
    <w:p w:rsidR="00D71947" w:rsidRPr="00410EC0" w:rsidRDefault="00D71947" w:rsidP="00D71947">
      <w:pPr>
        <w:suppressAutoHyphens w:val="0"/>
        <w:autoSpaceDN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  <w:bookmarkStart w:id="1" w:name="n177"/>
      <w:bookmarkEnd w:id="1"/>
    </w:p>
    <w:p w:rsidR="00D71947" w:rsidRPr="00410EC0" w:rsidRDefault="00D71947" w:rsidP="00D71947">
      <w:pPr>
        <w:suppressAutoHyphens w:val="0"/>
        <w:autoSpaceDN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ВИТРАТИ</w:t>
      </w:r>
    </w:p>
    <w:p w:rsidR="00D71947" w:rsidRPr="00410EC0" w:rsidRDefault="00D71947" w:rsidP="00D71947">
      <w:pPr>
        <w:suppressAutoHyphens w:val="0"/>
        <w:autoSpaceDN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92"/>
        <w:gridCol w:w="5094"/>
        <w:gridCol w:w="1534"/>
        <w:gridCol w:w="1265"/>
      </w:tblGrid>
      <w:tr w:rsidR="00D71947" w:rsidRPr="00410EC0" w:rsidTr="006C0848">
        <w:tc>
          <w:tcPr>
            <w:tcW w:w="795" w:type="pct"/>
            <w:vAlign w:val="center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bookmarkStart w:id="2" w:name="n178"/>
            <w:bookmarkEnd w:id="2"/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Порядковий номер</w:t>
            </w:r>
          </w:p>
        </w:tc>
        <w:tc>
          <w:tcPr>
            <w:tcW w:w="2714" w:type="pct"/>
            <w:vAlign w:val="center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Витрати</w:t>
            </w:r>
          </w:p>
        </w:tc>
        <w:tc>
          <w:tcPr>
            <w:tcW w:w="817" w:type="pct"/>
            <w:vAlign w:val="center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За перший рік</w:t>
            </w:r>
          </w:p>
        </w:tc>
        <w:tc>
          <w:tcPr>
            <w:tcW w:w="674" w:type="pct"/>
            <w:vAlign w:val="center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За п’ять років</w:t>
            </w:r>
          </w:p>
        </w:tc>
      </w:tr>
      <w:tr w:rsidR="00D71947" w:rsidRPr="00410EC0" w:rsidTr="006C0848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1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7" w:rsidRPr="00410EC0" w:rsidRDefault="00663B9C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не </w:t>
            </w:r>
            <w:r w:rsidR="00D71947"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передбачено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</w:tr>
      <w:tr w:rsidR="00D71947" w:rsidRPr="00410EC0" w:rsidTr="006C0848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2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947" w:rsidRPr="007B52D6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7B52D6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не</w:t>
            </w:r>
          </w:p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7B52D6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передбачено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</w:tr>
      <w:tr w:rsidR="00D71947" w:rsidRPr="00410EC0" w:rsidTr="006C0848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3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не</w:t>
            </w:r>
          </w:p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передбачено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</w:tr>
      <w:tr w:rsidR="00D71947" w:rsidRPr="00410EC0" w:rsidTr="006C0848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4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не</w:t>
            </w:r>
          </w:p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передбачено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</w:tr>
      <w:tr w:rsidR="00D71947" w:rsidRPr="00410EC0" w:rsidTr="006C0848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5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7" w:rsidRPr="00410EC0" w:rsidRDefault="006C0848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650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7" w:rsidRPr="00410EC0" w:rsidRDefault="00E245CD" w:rsidP="006C084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3</w:t>
            </w:r>
            <w:r w:rsidR="006C084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250</w:t>
            </w:r>
          </w:p>
        </w:tc>
      </w:tr>
      <w:tr w:rsidR="006C0848" w:rsidRPr="00410EC0" w:rsidTr="006C0848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8" w:rsidRPr="00410EC0" w:rsidRDefault="006C0848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6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8" w:rsidRPr="00410EC0" w:rsidRDefault="006C0848" w:rsidP="006C7DE9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8" w:rsidRPr="00410EC0" w:rsidRDefault="006C0848" w:rsidP="00477712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не передбачено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48" w:rsidRPr="00410EC0" w:rsidRDefault="006C0848" w:rsidP="00477712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</w:tr>
      <w:tr w:rsidR="00D71947" w:rsidRPr="00410EC0" w:rsidTr="006C0848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7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Витрати, пов’язані із наймом додаткового персоналу, гривень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не передбачено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</w:tr>
      <w:tr w:rsidR="00D71947" w:rsidRPr="00410EC0" w:rsidTr="006C0848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8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Витрати, пов</w:t>
            </w:r>
            <w:r w:rsidR="00667686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`</w:t>
            </w: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язані з ознайомленням та приведенням локальних актів у відповідність до Положення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не передбачено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</w:tr>
      <w:tr w:rsidR="00D71947" w:rsidRPr="00410EC0" w:rsidTr="006C0848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9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РАЗОМ, гривень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7" w:rsidRPr="006C0848" w:rsidRDefault="00663B9C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6C084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650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7" w:rsidRPr="006C0848" w:rsidRDefault="00667686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6C084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3250</w:t>
            </w:r>
          </w:p>
        </w:tc>
      </w:tr>
      <w:tr w:rsidR="00D71947" w:rsidRPr="00410EC0" w:rsidTr="006C0848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10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7" w:rsidRPr="006C0848" w:rsidRDefault="00663B9C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6C084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696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7" w:rsidRPr="006C0848" w:rsidRDefault="00667686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6C084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32</w:t>
            </w:r>
          </w:p>
        </w:tc>
      </w:tr>
      <w:tr w:rsidR="00D71947" w:rsidRPr="00410EC0" w:rsidTr="006C0848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11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7" w:rsidRPr="00410EC0" w:rsidRDefault="00663B9C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452400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7" w:rsidRPr="00410EC0" w:rsidRDefault="00667686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104000</w:t>
            </w:r>
          </w:p>
        </w:tc>
      </w:tr>
      <w:tr w:rsidR="00D71947" w:rsidRPr="00410EC0" w:rsidTr="006C0848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12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Витрати через перерозподіл вступників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не передбачено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</w:tr>
      <w:tr w:rsidR="00D71947" w:rsidRPr="00410EC0" w:rsidTr="006C0848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13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Загальна сума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7" w:rsidRPr="00410EC0" w:rsidRDefault="00110F53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452400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947" w:rsidRPr="00410EC0" w:rsidRDefault="00667686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104000</w:t>
            </w:r>
          </w:p>
        </w:tc>
      </w:tr>
    </w:tbl>
    <w:p w:rsidR="004F1EB5" w:rsidRPr="00410EC0" w:rsidRDefault="004F1EB5" w:rsidP="004F1EB5">
      <w:pPr>
        <w:suppressAutoHyphens w:val="0"/>
        <w:autoSpaceDN/>
        <w:spacing w:line="240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  <w:bookmarkStart w:id="3" w:name="n179"/>
      <w:bookmarkEnd w:id="3"/>
    </w:p>
    <w:p w:rsidR="004F1EB5" w:rsidRPr="00410EC0" w:rsidRDefault="004F1EB5" w:rsidP="004F1EB5">
      <w:pPr>
        <w:suppressAutoHyphens w:val="0"/>
        <w:autoSpaceDN/>
        <w:spacing w:line="240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     Розрахунок відповідних витрат на одного суб’єкта господарювання</w:t>
      </w:r>
    </w:p>
    <w:tbl>
      <w:tblPr>
        <w:tblW w:w="5138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58"/>
        <w:gridCol w:w="1628"/>
        <w:gridCol w:w="1626"/>
        <w:gridCol w:w="1632"/>
      </w:tblGrid>
      <w:tr w:rsidR="004F1EB5" w:rsidRPr="00410EC0" w:rsidTr="00477712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B5" w:rsidRPr="00410EC0" w:rsidRDefault="004F1EB5" w:rsidP="00477712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bookmarkStart w:id="4" w:name="n180"/>
            <w:bookmarkEnd w:id="4"/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Вид витрат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B5" w:rsidRPr="00410EC0" w:rsidRDefault="004F1EB5" w:rsidP="00477712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У перший рік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B5" w:rsidRPr="00410EC0" w:rsidRDefault="004F1EB5" w:rsidP="00477712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Періодичні (за рік)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B5" w:rsidRPr="00410EC0" w:rsidRDefault="004F1EB5" w:rsidP="00477712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Витрати за п’ять років</w:t>
            </w:r>
          </w:p>
        </w:tc>
      </w:tr>
      <w:tr w:rsidR="004F1EB5" w:rsidRPr="00410EC0" w:rsidTr="00477712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B5" w:rsidRPr="00410EC0" w:rsidRDefault="004F1EB5" w:rsidP="00477712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Витрати, пов’язані із веденням обліку, підготовкою та поданням звітності державним органам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B5" w:rsidRPr="00410EC0" w:rsidRDefault="004F1EB5" w:rsidP="00477712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</w:t>
            </w: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е передбачено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B5" w:rsidRPr="00410EC0" w:rsidRDefault="004F1EB5" w:rsidP="00477712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</w:t>
            </w: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е передбачено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B5" w:rsidRPr="00410EC0" w:rsidRDefault="004F1EB5" w:rsidP="00477712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</w:t>
            </w: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е передбачено</w:t>
            </w:r>
          </w:p>
        </w:tc>
      </w:tr>
    </w:tbl>
    <w:p w:rsidR="004F1EB5" w:rsidRDefault="004F1EB5" w:rsidP="00D71947">
      <w:pPr>
        <w:suppressAutoHyphens w:val="0"/>
        <w:autoSpaceDN/>
        <w:spacing w:line="240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</w:p>
    <w:tbl>
      <w:tblPr>
        <w:tblW w:w="5143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1"/>
        <w:gridCol w:w="1763"/>
        <w:gridCol w:w="1533"/>
        <w:gridCol w:w="1666"/>
      </w:tblGrid>
      <w:tr w:rsidR="00D71947" w:rsidRPr="00410EC0" w:rsidTr="004F1EB5"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47" w:rsidRPr="00410EC0" w:rsidRDefault="00D71947" w:rsidP="004F1EB5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bookmarkStart w:id="5" w:name="n181"/>
            <w:bookmarkStart w:id="6" w:name="n182"/>
            <w:bookmarkStart w:id="7" w:name="n187"/>
            <w:bookmarkEnd w:id="5"/>
            <w:bookmarkEnd w:id="6"/>
            <w:bookmarkEnd w:id="7"/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Вид витрат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47" w:rsidRPr="00410EC0" w:rsidRDefault="00D71947" w:rsidP="004F1EB5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У перший рік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47" w:rsidRPr="00410EC0" w:rsidRDefault="00D71947" w:rsidP="004F1EB5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Періодичні (за рік)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47" w:rsidRPr="00410EC0" w:rsidRDefault="00D71947" w:rsidP="004F1EB5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Витрати за п’ять років</w:t>
            </w:r>
          </w:p>
        </w:tc>
      </w:tr>
      <w:tr w:rsidR="00D71947" w:rsidRPr="00410EC0" w:rsidTr="004F1EB5"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47" w:rsidRPr="00410EC0" w:rsidRDefault="006C0848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</w:t>
            </w: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е передбачено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47" w:rsidRPr="00410EC0" w:rsidRDefault="00E245CD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</w:t>
            </w:r>
            <w:r w:rsidR="00D71947"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е передбачено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47" w:rsidRPr="00410EC0" w:rsidRDefault="006C0848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</w:t>
            </w: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е передбачено</w:t>
            </w:r>
          </w:p>
        </w:tc>
      </w:tr>
      <w:tr w:rsidR="00D71947" w:rsidRPr="00410EC0" w:rsidTr="004F1EB5">
        <w:tc>
          <w:tcPr>
            <w:tcW w:w="24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</w:tc>
      </w:tr>
    </w:tbl>
    <w:p w:rsidR="00D71947" w:rsidRPr="00410EC0" w:rsidRDefault="00D71947" w:rsidP="00D71947">
      <w:pPr>
        <w:suppressAutoHyphens w:val="0"/>
        <w:autoSpaceDN/>
        <w:spacing w:line="240" w:lineRule="auto"/>
        <w:textAlignment w:val="auto"/>
        <w:rPr>
          <w:rFonts w:ascii="Times New Roman" w:eastAsia="Times New Roman" w:hAnsi="Times New Roman" w:cs="Times New Roman"/>
          <w:vanish/>
          <w:color w:val="auto"/>
          <w:kern w:val="0"/>
          <w:sz w:val="28"/>
          <w:szCs w:val="28"/>
          <w:lang w:val="uk-UA" w:eastAsia="ru-RU" w:bidi="ar-SA"/>
        </w:rPr>
      </w:pPr>
      <w:bookmarkStart w:id="8" w:name="n188"/>
      <w:bookmarkEnd w:id="8"/>
    </w:p>
    <w:p w:rsidR="00D71947" w:rsidRPr="00410EC0" w:rsidRDefault="00D71947" w:rsidP="00D71947">
      <w:pPr>
        <w:suppressAutoHyphens w:val="0"/>
        <w:autoSpaceDN/>
        <w:spacing w:line="240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</w:p>
    <w:p w:rsidR="00D71947" w:rsidRPr="00410EC0" w:rsidRDefault="00D71947" w:rsidP="00D71947">
      <w:pPr>
        <w:suppressAutoHyphens w:val="0"/>
        <w:autoSpaceDN/>
        <w:spacing w:line="240" w:lineRule="auto"/>
        <w:ind w:left="5529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br w:type="page"/>
      </w:r>
      <w:bookmarkStart w:id="9" w:name="n190"/>
      <w:bookmarkEnd w:id="9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Додаток 3 </w:t>
      </w:r>
    </w:p>
    <w:p w:rsidR="00D71947" w:rsidRPr="00410EC0" w:rsidRDefault="00D71947" w:rsidP="00D71947">
      <w:pPr>
        <w:tabs>
          <w:tab w:val="left" w:pos="3600"/>
        </w:tabs>
        <w:suppressAutoHyphens w:val="0"/>
        <w:autoSpaceDN/>
        <w:spacing w:line="240" w:lineRule="auto"/>
        <w:ind w:left="5529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до Методики проведення аналізу впливу регуляторного акта</w:t>
      </w:r>
    </w:p>
    <w:p w:rsidR="00D71947" w:rsidRPr="00410EC0" w:rsidRDefault="00D71947" w:rsidP="00D71947">
      <w:pPr>
        <w:tabs>
          <w:tab w:val="left" w:pos="3600"/>
        </w:tabs>
        <w:suppressAutoHyphens w:val="0"/>
        <w:autoSpaceDN/>
        <w:spacing w:line="240" w:lineRule="auto"/>
        <w:ind w:left="5529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</w:p>
    <w:p w:rsidR="00D71947" w:rsidRPr="00410EC0" w:rsidRDefault="00D71947" w:rsidP="00D71947">
      <w:pPr>
        <w:suppressAutoHyphens w:val="0"/>
        <w:autoSpaceDN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БЮДЖЕТНІ ВИТРАТИ</w:t>
      </w:r>
    </w:p>
    <w:p w:rsidR="00D71947" w:rsidRPr="00410EC0" w:rsidRDefault="00D71947" w:rsidP="00D71947">
      <w:pPr>
        <w:suppressAutoHyphens w:val="0"/>
        <w:autoSpaceDN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на адміністрування регулювання для суб’єктів великого і середнього підприємництва</w:t>
      </w:r>
    </w:p>
    <w:p w:rsidR="00D71947" w:rsidRPr="00410EC0" w:rsidRDefault="00D71947" w:rsidP="00D71947">
      <w:pPr>
        <w:suppressAutoHyphens w:val="0"/>
        <w:autoSpaceDN/>
        <w:spacing w:line="240" w:lineRule="auto"/>
        <w:ind w:left="2124" w:firstLine="708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</w:p>
    <w:p w:rsidR="00D71947" w:rsidRPr="00410EC0" w:rsidRDefault="00110F53" w:rsidP="00110F53">
      <w:pPr>
        <w:suppressAutoHyphens w:val="0"/>
        <w:autoSpaceDN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Державна служба якості освіти України</w:t>
      </w:r>
    </w:p>
    <w:p w:rsidR="00D71947" w:rsidRPr="00410EC0" w:rsidRDefault="00D71947" w:rsidP="00D71947">
      <w:pPr>
        <w:suppressAutoHyphens w:val="0"/>
        <w:autoSpaceDN/>
        <w:spacing w:line="240" w:lineRule="auto"/>
        <w:ind w:left="2124" w:firstLine="708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97"/>
        <w:gridCol w:w="1141"/>
        <w:gridCol w:w="1432"/>
        <w:gridCol w:w="1282"/>
        <w:gridCol w:w="1472"/>
        <w:gridCol w:w="1661"/>
      </w:tblGrid>
      <w:tr w:rsidR="00D71947" w:rsidRPr="006C0848" w:rsidTr="006C7DE9">
        <w:tc>
          <w:tcPr>
            <w:tcW w:w="1277" w:type="pct"/>
          </w:tcPr>
          <w:p w:rsidR="00D71947" w:rsidRPr="00410EC0" w:rsidRDefault="00D71947" w:rsidP="00C24654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bookmarkStart w:id="10" w:name="n191"/>
            <w:bookmarkStart w:id="11" w:name="n192"/>
            <w:bookmarkStart w:id="12" w:name="n194"/>
            <w:bookmarkEnd w:id="10"/>
            <w:bookmarkEnd w:id="11"/>
            <w:bookmarkEnd w:id="12"/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Процедура регулювання суб’єктів великого і середнього підприємництва (розрахунок на одного типового суб’єкта господарювання)</w:t>
            </w:r>
          </w:p>
        </w:tc>
        <w:tc>
          <w:tcPr>
            <w:tcW w:w="608" w:type="pct"/>
          </w:tcPr>
          <w:p w:rsidR="00D71947" w:rsidRPr="00410EC0" w:rsidRDefault="00D71947" w:rsidP="00C24654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Планові витрати часу на процедуру</w:t>
            </w:r>
          </w:p>
        </w:tc>
        <w:tc>
          <w:tcPr>
            <w:tcW w:w="763" w:type="pct"/>
          </w:tcPr>
          <w:p w:rsidR="00D71947" w:rsidRPr="00410EC0" w:rsidRDefault="00D71947" w:rsidP="00C24654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683" w:type="pct"/>
          </w:tcPr>
          <w:p w:rsidR="00D71947" w:rsidRPr="00410EC0" w:rsidRDefault="00D71947" w:rsidP="00C24654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784" w:type="pct"/>
          </w:tcPr>
          <w:p w:rsidR="00D71947" w:rsidRPr="00410EC0" w:rsidRDefault="00E245CD" w:rsidP="00C24654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Оцінка кількості</w:t>
            </w:r>
            <w:r w:rsidR="00D71947"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 xml:space="preserve"> суб’єктів, що підпадають під дію процедури регулювання</w:t>
            </w:r>
          </w:p>
        </w:tc>
        <w:tc>
          <w:tcPr>
            <w:tcW w:w="885" w:type="pct"/>
          </w:tcPr>
          <w:p w:rsidR="00D71947" w:rsidRPr="00410EC0" w:rsidRDefault="00D71947" w:rsidP="00C24654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Витрати на адміністрування регулювання* (за рік), гривень</w:t>
            </w:r>
          </w:p>
        </w:tc>
      </w:tr>
      <w:tr w:rsidR="00C24654" w:rsidRPr="0070686E" w:rsidTr="00C24654">
        <w:tc>
          <w:tcPr>
            <w:tcW w:w="1277" w:type="pct"/>
          </w:tcPr>
          <w:p w:rsidR="00C24654" w:rsidRPr="00410EC0" w:rsidRDefault="00C24654" w:rsidP="00C24654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 w:bidi="ar-SA"/>
              </w:rPr>
              <w:t>1. Облік суб’єкта господарювання що перебуває у сфері регулювання</w:t>
            </w:r>
          </w:p>
        </w:tc>
        <w:tc>
          <w:tcPr>
            <w:tcW w:w="608" w:type="pct"/>
            <w:vAlign w:val="center"/>
          </w:tcPr>
          <w:p w:rsidR="00C24654" w:rsidRPr="00410EC0" w:rsidRDefault="00C24654" w:rsidP="00C24654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763" w:type="pct"/>
            <w:vAlign w:val="center"/>
          </w:tcPr>
          <w:p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683" w:type="pct"/>
            <w:vAlign w:val="center"/>
          </w:tcPr>
          <w:p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784" w:type="pct"/>
            <w:vAlign w:val="center"/>
          </w:tcPr>
          <w:p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885" w:type="pct"/>
            <w:vAlign w:val="center"/>
          </w:tcPr>
          <w:p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</w:tr>
      <w:tr w:rsidR="00C24654" w:rsidRPr="0070686E" w:rsidTr="00C24654">
        <w:tc>
          <w:tcPr>
            <w:tcW w:w="1277" w:type="pct"/>
          </w:tcPr>
          <w:p w:rsidR="00C24654" w:rsidRDefault="00C24654" w:rsidP="00C24654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 w:bidi="ar-SA"/>
              </w:rPr>
              <w:t>2. Поточний контроль за суб’єктом господарювання що перебуває у сфері регулювання, у тому числі:</w:t>
            </w:r>
          </w:p>
          <w:p w:rsidR="00C24654" w:rsidRDefault="00C24654" w:rsidP="00C24654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 w:bidi="ar-SA"/>
              </w:rPr>
              <w:t>к</w:t>
            </w:r>
            <w:r w:rsidRPr="00410E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 w:bidi="ar-SA"/>
              </w:rPr>
              <w:t>амеральні</w:t>
            </w:r>
          </w:p>
          <w:p w:rsidR="00C24654" w:rsidRPr="00410EC0" w:rsidRDefault="00C24654" w:rsidP="00C24654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 w:bidi="ar-SA"/>
              </w:rPr>
              <w:t>виїзні</w:t>
            </w:r>
          </w:p>
        </w:tc>
        <w:tc>
          <w:tcPr>
            <w:tcW w:w="608" w:type="pct"/>
            <w:vAlign w:val="center"/>
          </w:tcPr>
          <w:p w:rsidR="00C24654" w:rsidRDefault="00C24654" w:rsidP="00C24654">
            <w:pPr>
              <w:jc w:val="center"/>
            </w:pPr>
            <w:r w:rsidRPr="00025626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763" w:type="pct"/>
            <w:vAlign w:val="center"/>
          </w:tcPr>
          <w:p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683" w:type="pct"/>
            <w:vAlign w:val="center"/>
          </w:tcPr>
          <w:p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784" w:type="pct"/>
            <w:vAlign w:val="center"/>
          </w:tcPr>
          <w:p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885" w:type="pct"/>
            <w:vAlign w:val="center"/>
          </w:tcPr>
          <w:p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</w:tr>
      <w:tr w:rsidR="00C24654" w:rsidRPr="0070686E" w:rsidTr="00C24654">
        <w:tc>
          <w:tcPr>
            <w:tcW w:w="1277" w:type="pct"/>
          </w:tcPr>
          <w:p w:rsidR="00C24654" w:rsidRPr="00410EC0" w:rsidRDefault="00C24654" w:rsidP="00C24654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 w:bidi="ar-SA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608" w:type="pct"/>
            <w:vAlign w:val="center"/>
          </w:tcPr>
          <w:p w:rsidR="00C24654" w:rsidRDefault="00C24654" w:rsidP="00C24654">
            <w:pPr>
              <w:jc w:val="center"/>
            </w:pPr>
            <w:r w:rsidRPr="00025626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763" w:type="pct"/>
            <w:vAlign w:val="center"/>
          </w:tcPr>
          <w:p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683" w:type="pct"/>
            <w:vAlign w:val="center"/>
          </w:tcPr>
          <w:p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784" w:type="pct"/>
            <w:vAlign w:val="center"/>
          </w:tcPr>
          <w:p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885" w:type="pct"/>
            <w:vAlign w:val="center"/>
          </w:tcPr>
          <w:p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</w:tr>
      <w:tr w:rsidR="00C24654" w:rsidRPr="0070686E" w:rsidTr="00C24654">
        <w:tc>
          <w:tcPr>
            <w:tcW w:w="1277" w:type="pct"/>
          </w:tcPr>
          <w:p w:rsidR="00C24654" w:rsidRPr="00410EC0" w:rsidRDefault="00C24654" w:rsidP="00C24654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 w:bidi="ar-S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608" w:type="pct"/>
            <w:vAlign w:val="center"/>
          </w:tcPr>
          <w:p w:rsidR="00C24654" w:rsidRDefault="00C24654" w:rsidP="00C24654">
            <w:pPr>
              <w:jc w:val="center"/>
            </w:pPr>
            <w:r w:rsidRPr="00025626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763" w:type="pct"/>
            <w:vAlign w:val="center"/>
          </w:tcPr>
          <w:p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683" w:type="pct"/>
            <w:vAlign w:val="center"/>
          </w:tcPr>
          <w:p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784" w:type="pct"/>
            <w:vAlign w:val="center"/>
          </w:tcPr>
          <w:p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885" w:type="pct"/>
            <w:vAlign w:val="center"/>
          </w:tcPr>
          <w:p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</w:tr>
      <w:tr w:rsidR="00C24654" w:rsidRPr="0070686E" w:rsidTr="00C24654">
        <w:tc>
          <w:tcPr>
            <w:tcW w:w="1277" w:type="pct"/>
          </w:tcPr>
          <w:p w:rsidR="00C24654" w:rsidRPr="00410EC0" w:rsidRDefault="00C24654" w:rsidP="00C24654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 w:bidi="ar-SA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608" w:type="pct"/>
            <w:vAlign w:val="center"/>
          </w:tcPr>
          <w:p w:rsidR="00C24654" w:rsidRDefault="00C24654" w:rsidP="00C24654">
            <w:pPr>
              <w:jc w:val="center"/>
            </w:pPr>
            <w:r w:rsidRPr="00215889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763" w:type="pct"/>
            <w:vAlign w:val="center"/>
          </w:tcPr>
          <w:p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683" w:type="pct"/>
            <w:vAlign w:val="center"/>
          </w:tcPr>
          <w:p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784" w:type="pct"/>
            <w:vAlign w:val="center"/>
          </w:tcPr>
          <w:p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885" w:type="pct"/>
            <w:vAlign w:val="center"/>
          </w:tcPr>
          <w:p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</w:tr>
      <w:tr w:rsidR="00C24654" w:rsidRPr="0070686E" w:rsidTr="00C24654">
        <w:tc>
          <w:tcPr>
            <w:tcW w:w="1277" w:type="pct"/>
          </w:tcPr>
          <w:p w:rsidR="00C24654" w:rsidRPr="00410EC0" w:rsidRDefault="00C24654" w:rsidP="00C24654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 w:bidi="ar-SA"/>
              </w:rPr>
              <w:t>6. Підготовка звітності за результатами регулювання</w:t>
            </w:r>
          </w:p>
        </w:tc>
        <w:tc>
          <w:tcPr>
            <w:tcW w:w="608" w:type="pct"/>
            <w:vAlign w:val="center"/>
          </w:tcPr>
          <w:p w:rsidR="00C24654" w:rsidRDefault="00C24654" w:rsidP="00C24654">
            <w:pPr>
              <w:jc w:val="center"/>
            </w:pPr>
            <w:r w:rsidRPr="00215889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763" w:type="pct"/>
            <w:vAlign w:val="center"/>
          </w:tcPr>
          <w:p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683" w:type="pct"/>
            <w:vAlign w:val="center"/>
          </w:tcPr>
          <w:p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784" w:type="pct"/>
            <w:vAlign w:val="center"/>
          </w:tcPr>
          <w:p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885" w:type="pct"/>
            <w:vAlign w:val="center"/>
          </w:tcPr>
          <w:p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</w:tr>
      <w:tr w:rsidR="00C24654" w:rsidRPr="0070686E" w:rsidTr="00C24654">
        <w:tc>
          <w:tcPr>
            <w:tcW w:w="1277" w:type="pct"/>
          </w:tcPr>
          <w:p w:rsidR="00C24654" w:rsidRPr="00410EC0" w:rsidRDefault="00C24654" w:rsidP="00C24654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 w:bidi="ar-SA"/>
              </w:rPr>
              <w:t>7. Інші адміністративні процедури</w:t>
            </w:r>
          </w:p>
        </w:tc>
        <w:tc>
          <w:tcPr>
            <w:tcW w:w="608" w:type="pct"/>
            <w:vAlign w:val="center"/>
          </w:tcPr>
          <w:p w:rsidR="00C24654" w:rsidRDefault="00C24654" w:rsidP="00C24654">
            <w:pPr>
              <w:jc w:val="center"/>
            </w:pPr>
            <w:r w:rsidRPr="00215889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763" w:type="pct"/>
            <w:vAlign w:val="center"/>
          </w:tcPr>
          <w:p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683" w:type="pct"/>
            <w:vAlign w:val="center"/>
          </w:tcPr>
          <w:p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784" w:type="pct"/>
            <w:vAlign w:val="center"/>
          </w:tcPr>
          <w:p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885" w:type="pct"/>
            <w:vAlign w:val="center"/>
          </w:tcPr>
          <w:p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</w:tr>
      <w:tr w:rsidR="00C24654" w:rsidRPr="0070686E" w:rsidTr="00C24654">
        <w:tc>
          <w:tcPr>
            <w:tcW w:w="1277" w:type="pct"/>
          </w:tcPr>
          <w:p w:rsidR="00C24654" w:rsidRPr="00410EC0" w:rsidRDefault="00C24654" w:rsidP="00C24654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Облік суб’єкта господарювання, що перебуває у сфері регулювання</w:t>
            </w:r>
          </w:p>
        </w:tc>
        <w:tc>
          <w:tcPr>
            <w:tcW w:w="608" w:type="pct"/>
            <w:vAlign w:val="center"/>
          </w:tcPr>
          <w:p w:rsidR="00C24654" w:rsidRDefault="00C24654" w:rsidP="00C24654">
            <w:pPr>
              <w:jc w:val="center"/>
            </w:pPr>
            <w:r w:rsidRPr="00215889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763" w:type="pct"/>
            <w:vAlign w:val="center"/>
          </w:tcPr>
          <w:p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683" w:type="pct"/>
            <w:vAlign w:val="center"/>
          </w:tcPr>
          <w:p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784" w:type="pct"/>
            <w:vAlign w:val="center"/>
          </w:tcPr>
          <w:p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885" w:type="pct"/>
            <w:vAlign w:val="center"/>
          </w:tcPr>
          <w:p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</w:tr>
      <w:tr w:rsidR="00D71947" w:rsidRPr="00410EC0" w:rsidTr="006C7DE9">
        <w:tc>
          <w:tcPr>
            <w:tcW w:w="1277" w:type="pct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Разом за рік</w:t>
            </w:r>
          </w:p>
        </w:tc>
        <w:tc>
          <w:tcPr>
            <w:tcW w:w="608" w:type="pct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  <w:tc>
          <w:tcPr>
            <w:tcW w:w="763" w:type="pct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  <w:tc>
          <w:tcPr>
            <w:tcW w:w="683" w:type="pct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784" w:type="pct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885" w:type="pct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</w:tr>
      <w:tr w:rsidR="00D71947" w:rsidRPr="00410EC0" w:rsidTr="006C7DE9">
        <w:tc>
          <w:tcPr>
            <w:tcW w:w="1277" w:type="pct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Сумарно за п’ять років</w:t>
            </w:r>
          </w:p>
        </w:tc>
        <w:tc>
          <w:tcPr>
            <w:tcW w:w="608" w:type="pct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  <w:tc>
          <w:tcPr>
            <w:tcW w:w="763" w:type="pct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  <w:tc>
          <w:tcPr>
            <w:tcW w:w="683" w:type="pct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784" w:type="pct"/>
          </w:tcPr>
          <w:p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885" w:type="pct"/>
          </w:tcPr>
          <w:p w:rsidR="00D71947" w:rsidRPr="00410EC0" w:rsidRDefault="00E245CD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</w:tr>
    </w:tbl>
    <w:p w:rsidR="00D71947" w:rsidRPr="00410EC0" w:rsidRDefault="00D71947" w:rsidP="00D71947">
      <w:pPr>
        <w:suppressAutoHyphens w:val="0"/>
        <w:autoSpaceDN/>
        <w:spacing w:line="240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  <w:bookmarkStart w:id="13" w:name="n195"/>
      <w:bookmarkEnd w:id="13"/>
    </w:p>
    <w:p w:rsidR="00D71947" w:rsidRPr="00702968" w:rsidRDefault="00D71947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Витрати з державного бюджету не передбачені, оскільки </w:t>
      </w:r>
      <w:proofErr w:type="spellStart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про</w:t>
      </w:r>
      <w:r w:rsidR="00E245C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є</w:t>
      </w: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ктом</w:t>
      </w:r>
      <w:proofErr w:type="spellEnd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 акта передбачено затвердження </w:t>
      </w:r>
      <w:r w:rsidR="00E5068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форми сертифіката про акредитацію освітньо-професійної програми освітнього ступеня фахового молодшого бакалавра та затвердження визначеного порядку оформлення, переоформлення таких сертифікатів</w:t>
      </w:r>
      <w:r w:rsidRPr="00DB4C2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.</w:t>
      </w:r>
      <w:r w:rsidR="0070296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 Встановлення вартості переоформлення регулюється з урахуванням коштів для здійснення організаційних заходів, які </w:t>
      </w:r>
      <w:r w:rsidR="00702968" w:rsidRPr="00702968">
        <w:rPr>
          <w:rFonts w:ascii="Times New Roman" w:hAnsi="Times New Roman"/>
          <w:sz w:val="28"/>
          <w:szCs w:val="28"/>
          <w:lang w:val="uk-UA"/>
        </w:rPr>
        <w:t xml:space="preserve">зараховується </w:t>
      </w:r>
      <w:r w:rsidR="006C0848">
        <w:rPr>
          <w:rFonts w:ascii="Times New Roman" w:hAnsi="Times New Roman"/>
          <w:sz w:val="28"/>
          <w:szCs w:val="28"/>
          <w:lang w:val="uk-UA"/>
        </w:rPr>
        <w:t xml:space="preserve">від закладів освіти </w:t>
      </w:r>
      <w:r w:rsidR="00702968" w:rsidRPr="00702968">
        <w:rPr>
          <w:rFonts w:ascii="Times New Roman" w:hAnsi="Times New Roman"/>
          <w:sz w:val="28"/>
          <w:szCs w:val="28"/>
          <w:lang w:val="uk-UA"/>
        </w:rPr>
        <w:t xml:space="preserve">до спеціального фонду державного бюджету як власні надходження з урахуванням вимог Бюджетного кодексу України на рахунок уповноваженої </w:t>
      </w:r>
      <w:r w:rsidR="00702968">
        <w:rPr>
          <w:rFonts w:ascii="Times New Roman" w:hAnsi="Times New Roman"/>
          <w:sz w:val="28"/>
          <w:szCs w:val="28"/>
          <w:lang w:val="uk-UA"/>
        </w:rPr>
        <w:t>Державною службою якості освіти України</w:t>
      </w:r>
      <w:r w:rsidR="00702968" w:rsidRPr="00702968">
        <w:rPr>
          <w:rFonts w:ascii="Times New Roman" w:hAnsi="Times New Roman"/>
          <w:sz w:val="28"/>
          <w:szCs w:val="28"/>
          <w:lang w:val="uk-UA"/>
        </w:rPr>
        <w:t xml:space="preserve"> установи.</w:t>
      </w:r>
    </w:p>
    <w:p w:rsidR="00D71947" w:rsidRPr="00340712" w:rsidRDefault="00D71947" w:rsidP="00D71947">
      <w:pPr>
        <w:pStyle w:val="a3"/>
        <w:rPr>
          <w:rFonts w:ascii="Times New Roman" w:hAnsi="Times New Roman" w:cs="Times New Roman"/>
          <w:sz w:val="28"/>
          <w:lang w:val="uk-UA"/>
        </w:rPr>
      </w:pPr>
    </w:p>
    <w:sectPr w:rsidR="00D71947" w:rsidRPr="0034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388" w:rsidRDefault="00124DCA">
      <w:pPr>
        <w:spacing w:line="240" w:lineRule="auto"/>
      </w:pPr>
      <w:r>
        <w:separator/>
      </w:r>
    </w:p>
  </w:endnote>
  <w:endnote w:type="continuationSeparator" w:id="0">
    <w:p w:rsidR="00776388" w:rsidRDefault="00124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388" w:rsidRDefault="00124DCA">
      <w:pPr>
        <w:spacing w:line="240" w:lineRule="auto"/>
      </w:pPr>
      <w:r>
        <w:separator/>
      </w:r>
    </w:p>
  </w:footnote>
  <w:footnote w:type="continuationSeparator" w:id="0">
    <w:p w:rsidR="00776388" w:rsidRDefault="00124D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0D" w:rsidRPr="00530588" w:rsidRDefault="00E575AE">
    <w:pPr>
      <w:pStyle w:val="a4"/>
      <w:jc w:val="right"/>
      <w:rPr>
        <w:rFonts w:ascii="Times New Roman" w:hAnsi="Times New Roman" w:cs="Times New Roman"/>
      </w:rPr>
    </w:pPr>
    <w:r w:rsidRPr="00530588">
      <w:rPr>
        <w:rFonts w:ascii="Times New Roman" w:hAnsi="Times New Roman" w:cs="Times New Roman"/>
      </w:rPr>
      <w:fldChar w:fldCharType="begin"/>
    </w:r>
    <w:r w:rsidRPr="00530588">
      <w:rPr>
        <w:rFonts w:ascii="Times New Roman" w:hAnsi="Times New Roman" w:cs="Times New Roman"/>
      </w:rPr>
      <w:instrText>PAGE   \* MERGEFORMAT</w:instrText>
    </w:r>
    <w:r w:rsidRPr="00530588">
      <w:rPr>
        <w:rFonts w:ascii="Times New Roman" w:hAnsi="Times New Roman" w:cs="Times New Roman"/>
      </w:rPr>
      <w:fldChar w:fldCharType="separate"/>
    </w:r>
    <w:r w:rsidR="008753AA" w:rsidRPr="008753AA">
      <w:rPr>
        <w:rFonts w:ascii="Times New Roman" w:hAnsi="Times New Roman" w:cs="Times New Roman"/>
        <w:noProof/>
        <w:lang w:val="ru-RU"/>
      </w:rPr>
      <w:t>5</w:t>
    </w:r>
    <w:r w:rsidRPr="00530588">
      <w:rPr>
        <w:rFonts w:ascii="Times New Roman" w:hAnsi="Times New Roman" w:cs="Times New Roman"/>
      </w:rPr>
      <w:fldChar w:fldCharType="end"/>
    </w:r>
  </w:p>
  <w:p w:rsidR="00AB420D" w:rsidRDefault="008753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44"/>
    <w:rsid w:val="000407E4"/>
    <w:rsid w:val="0009708C"/>
    <w:rsid w:val="00110F53"/>
    <w:rsid w:val="00111858"/>
    <w:rsid w:val="00121F19"/>
    <w:rsid w:val="00122DDB"/>
    <w:rsid w:val="00124DCA"/>
    <w:rsid w:val="00194EED"/>
    <w:rsid w:val="00196444"/>
    <w:rsid w:val="001A7D98"/>
    <w:rsid w:val="00224896"/>
    <w:rsid w:val="00295683"/>
    <w:rsid w:val="002A3F6F"/>
    <w:rsid w:val="002F2C7D"/>
    <w:rsid w:val="00340712"/>
    <w:rsid w:val="00343574"/>
    <w:rsid w:val="00353672"/>
    <w:rsid w:val="00384F64"/>
    <w:rsid w:val="00422D87"/>
    <w:rsid w:val="004740CC"/>
    <w:rsid w:val="004E08AA"/>
    <w:rsid w:val="004E1CE1"/>
    <w:rsid w:val="004F1EB5"/>
    <w:rsid w:val="00503E0B"/>
    <w:rsid w:val="005F41E9"/>
    <w:rsid w:val="0061504C"/>
    <w:rsid w:val="00663B9C"/>
    <w:rsid w:val="00667686"/>
    <w:rsid w:val="006C0848"/>
    <w:rsid w:val="006C0F1D"/>
    <w:rsid w:val="006C5D1F"/>
    <w:rsid w:val="00702968"/>
    <w:rsid w:val="0070686E"/>
    <w:rsid w:val="007443FC"/>
    <w:rsid w:val="00776388"/>
    <w:rsid w:val="007B52D6"/>
    <w:rsid w:val="007C3179"/>
    <w:rsid w:val="007C3946"/>
    <w:rsid w:val="007C4728"/>
    <w:rsid w:val="007D2568"/>
    <w:rsid w:val="007F58E0"/>
    <w:rsid w:val="00816C27"/>
    <w:rsid w:val="008753AA"/>
    <w:rsid w:val="009040EC"/>
    <w:rsid w:val="009166EF"/>
    <w:rsid w:val="009B2A43"/>
    <w:rsid w:val="00A31E7D"/>
    <w:rsid w:val="00B507ED"/>
    <w:rsid w:val="00B95B24"/>
    <w:rsid w:val="00C23916"/>
    <w:rsid w:val="00C24654"/>
    <w:rsid w:val="00C46307"/>
    <w:rsid w:val="00D00E26"/>
    <w:rsid w:val="00D71947"/>
    <w:rsid w:val="00DB10A4"/>
    <w:rsid w:val="00E245CD"/>
    <w:rsid w:val="00E5068F"/>
    <w:rsid w:val="00E575AE"/>
    <w:rsid w:val="00E6250E"/>
    <w:rsid w:val="00EA7344"/>
    <w:rsid w:val="00EE547F"/>
    <w:rsid w:val="00F44C74"/>
    <w:rsid w:val="00F70871"/>
    <w:rsid w:val="00FB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0712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D71947"/>
    <w:pPr>
      <w:keepNext/>
      <w:overflowPunct w:val="0"/>
      <w:autoSpaceDE w:val="0"/>
      <w:adjustRightInd w:val="0"/>
      <w:outlineLvl w:val="0"/>
    </w:pPr>
    <w:rPr>
      <w:rFonts w:ascii="Times New Roman CYR" w:hAnsi="Times New Roman CYR"/>
      <w:b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712"/>
    <w:pPr>
      <w:spacing w:after="0" w:line="240" w:lineRule="auto"/>
    </w:pPr>
  </w:style>
  <w:style w:type="character" w:customStyle="1" w:styleId="FontStyle23">
    <w:name w:val="Font Style23"/>
    <w:uiPriority w:val="99"/>
    <w:rsid w:val="00340712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340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line="240" w:lineRule="auto"/>
      <w:textAlignment w:val="auto"/>
    </w:pPr>
    <w:rPr>
      <w:rFonts w:ascii="Courier New" w:eastAsia="Times New Roman" w:hAnsi="Courier New" w:cs="Courier New"/>
      <w:color w:val="auto"/>
      <w:kern w:val="0"/>
      <w:sz w:val="20"/>
      <w:szCs w:val="20"/>
      <w:lang w:val="uk-UA" w:eastAsia="uk-UA" w:bidi="ar-SA"/>
    </w:rPr>
  </w:style>
  <w:style w:type="character" w:customStyle="1" w:styleId="HTML0">
    <w:name w:val="Стандартный HTML Знак"/>
    <w:basedOn w:val="a0"/>
    <w:link w:val="HTML"/>
    <w:uiPriority w:val="99"/>
    <w:rsid w:val="0034071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10">
    <w:name w:val="Заголовок 1 Знак"/>
    <w:basedOn w:val="a0"/>
    <w:link w:val="1"/>
    <w:uiPriority w:val="99"/>
    <w:rsid w:val="00D71947"/>
    <w:rPr>
      <w:rFonts w:ascii="Times New Roman CYR" w:eastAsia="Arial" w:hAnsi="Times New Roman CYR" w:cs="Arial"/>
      <w:b/>
      <w:caps/>
      <w:color w:val="000000"/>
      <w:kern w:val="3"/>
      <w:szCs w:val="28"/>
      <w:lang w:val="en-US" w:eastAsia="zh-CN" w:bidi="hi-IN"/>
    </w:rPr>
  </w:style>
  <w:style w:type="paragraph" w:styleId="a4">
    <w:name w:val="header"/>
    <w:basedOn w:val="a"/>
    <w:link w:val="a5"/>
    <w:uiPriority w:val="99"/>
    <w:rsid w:val="00D71947"/>
  </w:style>
  <w:style w:type="character" w:customStyle="1" w:styleId="a5">
    <w:name w:val="Верхний колонтитул Знак"/>
    <w:basedOn w:val="a0"/>
    <w:link w:val="a4"/>
    <w:uiPriority w:val="99"/>
    <w:rsid w:val="00D71947"/>
    <w:rPr>
      <w:rFonts w:ascii="Arial" w:eastAsia="Arial" w:hAnsi="Arial" w:cs="Arial"/>
      <w:color w:val="000000"/>
      <w:kern w:val="3"/>
      <w:lang w:val="en-US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E6250E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E6250E"/>
    <w:rPr>
      <w:rFonts w:ascii="Tahoma" w:eastAsia="Arial" w:hAnsi="Tahoma" w:cs="Mangal"/>
      <w:color w:val="000000"/>
      <w:kern w:val="3"/>
      <w:sz w:val="16"/>
      <w:szCs w:val="14"/>
      <w:lang w:val="en-US" w:eastAsia="zh-CN" w:bidi="hi-IN"/>
    </w:rPr>
  </w:style>
  <w:style w:type="paragraph" w:styleId="a8">
    <w:name w:val="List Paragraph"/>
    <w:basedOn w:val="a"/>
    <w:uiPriority w:val="34"/>
    <w:qFormat/>
    <w:rsid w:val="00110F53"/>
    <w:pPr>
      <w:suppressAutoHyphens w:val="0"/>
      <w:autoSpaceDN/>
      <w:spacing w:after="200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lang w:val="uk-UA" w:eastAsia="en-US" w:bidi="ar-SA"/>
    </w:rPr>
  </w:style>
  <w:style w:type="paragraph" w:customStyle="1" w:styleId="rvps21">
    <w:name w:val="rvps21"/>
    <w:basedOn w:val="a"/>
    <w:rsid w:val="00110F53"/>
    <w:pPr>
      <w:suppressAutoHyphens w:val="0"/>
      <w:autoSpaceDN/>
      <w:spacing w:after="125" w:line="240" w:lineRule="auto"/>
      <w:ind w:firstLine="376"/>
      <w:jc w:val="both"/>
      <w:textAlignment w:val="auto"/>
    </w:pPr>
    <w:rPr>
      <w:rFonts w:ascii="Times New Roman" w:eastAsiaTheme="minorEastAsia" w:hAnsi="Times New Roman" w:cs="Times New Roman"/>
      <w:color w:val="auto"/>
      <w:kern w:val="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0712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D71947"/>
    <w:pPr>
      <w:keepNext/>
      <w:overflowPunct w:val="0"/>
      <w:autoSpaceDE w:val="0"/>
      <w:adjustRightInd w:val="0"/>
      <w:outlineLvl w:val="0"/>
    </w:pPr>
    <w:rPr>
      <w:rFonts w:ascii="Times New Roman CYR" w:hAnsi="Times New Roman CYR"/>
      <w:b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712"/>
    <w:pPr>
      <w:spacing w:after="0" w:line="240" w:lineRule="auto"/>
    </w:pPr>
  </w:style>
  <w:style w:type="character" w:customStyle="1" w:styleId="FontStyle23">
    <w:name w:val="Font Style23"/>
    <w:uiPriority w:val="99"/>
    <w:rsid w:val="00340712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340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line="240" w:lineRule="auto"/>
      <w:textAlignment w:val="auto"/>
    </w:pPr>
    <w:rPr>
      <w:rFonts w:ascii="Courier New" w:eastAsia="Times New Roman" w:hAnsi="Courier New" w:cs="Courier New"/>
      <w:color w:val="auto"/>
      <w:kern w:val="0"/>
      <w:sz w:val="20"/>
      <w:szCs w:val="20"/>
      <w:lang w:val="uk-UA" w:eastAsia="uk-UA" w:bidi="ar-SA"/>
    </w:rPr>
  </w:style>
  <w:style w:type="character" w:customStyle="1" w:styleId="HTML0">
    <w:name w:val="Стандартный HTML Знак"/>
    <w:basedOn w:val="a0"/>
    <w:link w:val="HTML"/>
    <w:uiPriority w:val="99"/>
    <w:rsid w:val="0034071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10">
    <w:name w:val="Заголовок 1 Знак"/>
    <w:basedOn w:val="a0"/>
    <w:link w:val="1"/>
    <w:uiPriority w:val="99"/>
    <w:rsid w:val="00D71947"/>
    <w:rPr>
      <w:rFonts w:ascii="Times New Roman CYR" w:eastAsia="Arial" w:hAnsi="Times New Roman CYR" w:cs="Arial"/>
      <w:b/>
      <w:caps/>
      <w:color w:val="000000"/>
      <w:kern w:val="3"/>
      <w:szCs w:val="28"/>
      <w:lang w:val="en-US" w:eastAsia="zh-CN" w:bidi="hi-IN"/>
    </w:rPr>
  </w:style>
  <w:style w:type="paragraph" w:styleId="a4">
    <w:name w:val="header"/>
    <w:basedOn w:val="a"/>
    <w:link w:val="a5"/>
    <w:uiPriority w:val="99"/>
    <w:rsid w:val="00D71947"/>
  </w:style>
  <w:style w:type="character" w:customStyle="1" w:styleId="a5">
    <w:name w:val="Верхний колонтитул Знак"/>
    <w:basedOn w:val="a0"/>
    <w:link w:val="a4"/>
    <w:uiPriority w:val="99"/>
    <w:rsid w:val="00D71947"/>
    <w:rPr>
      <w:rFonts w:ascii="Arial" w:eastAsia="Arial" w:hAnsi="Arial" w:cs="Arial"/>
      <w:color w:val="000000"/>
      <w:kern w:val="3"/>
      <w:lang w:val="en-US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E6250E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E6250E"/>
    <w:rPr>
      <w:rFonts w:ascii="Tahoma" w:eastAsia="Arial" w:hAnsi="Tahoma" w:cs="Mangal"/>
      <w:color w:val="000000"/>
      <w:kern w:val="3"/>
      <w:sz w:val="16"/>
      <w:szCs w:val="14"/>
      <w:lang w:val="en-US" w:eastAsia="zh-CN" w:bidi="hi-IN"/>
    </w:rPr>
  </w:style>
  <w:style w:type="paragraph" w:styleId="a8">
    <w:name w:val="List Paragraph"/>
    <w:basedOn w:val="a"/>
    <w:uiPriority w:val="34"/>
    <w:qFormat/>
    <w:rsid w:val="00110F53"/>
    <w:pPr>
      <w:suppressAutoHyphens w:val="0"/>
      <w:autoSpaceDN/>
      <w:spacing w:after="200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lang w:val="uk-UA" w:eastAsia="en-US" w:bidi="ar-SA"/>
    </w:rPr>
  </w:style>
  <w:style w:type="paragraph" w:customStyle="1" w:styleId="rvps21">
    <w:name w:val="rvps21"/>
    <w:basedOn w:val="a"/>
    <w:rsid w:val="00110F53"/>
    <w:pPr>
      <w:suppressAutoHyphens w:val="0"/>
      <w:autoSpaceDN/>
      <w:spacing w:after="125" w:line="240" w:lineRule="auto"/>
      <w:ind w:firstLine="376"/>
      <w:jc w:val="both"/>
      <w:textAlignment w:val="auto"/>
    </w:pPr>
    <w:rPr>
      <w:rFonts w:ascii="Times New Roman" w:eastAsiaTheme="minorEastAsia" w:hAnsi="Times New Roman" w:cs="Times New Roman"/>
      <w:color w:val="auto"/>
      <w:kern w:val="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15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Деп_Вищої_Освіти</dc:creator>
  <cp:keywords/>
  <dc:description/>
  <cp:lastModifiedBy>Деп_Вищої_Освіти</cp:lastModifiedBy>
  <cp:revision>9</cp:revision>
  <cp:lastPrinted>2021-02-22T14:27:00Z</cp:lastPrinted>
  <dcterms:created xsi:type="dcterms:W3CDTF">2021-02-15T13:58:00Z</dcterms:created>
  <dcterms:modified xsi:type="dcterms:W3CDTF">2021-02-22T15:25:00Z</dcterms:modified>
</cp:coreProperties>
</file>