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2D" w:rsidRPr="00410EC0" w:rsidRDefault="00A7112D" w:rsidP="00A7112D">
      <w:pPr>
        <w:suppressAutoHyphens w:val="0"/>
        <w:autoSpaceDN/>
        <w:spacing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АНАЛІЗ РЕГУЛЯТОРНОГО ВПЛИВУ</w:t>
      </w:r>
    </w:p>
    <w:p w:rsidR="0030316E" w:rsidRPr="00410EC0" w:rsidRDefault="00A7112D" w:rsidP="00A7112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410EC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проєкту</w:t>
      </w:r>
      <w:proofErr w:type="spellEnd"/>
      <w:r w:rsidRPr="00410EC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наказу Міністерства освіти і науки України </w:t>
      </w:r>
    </w:p>
    <w:p w:rsidR="00A7112D" w:rsidRPr="00410EC0" w:rsidRDefault="00A7112D" w:rsidP="00A7112D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EC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410EC0">
        <w:rPr>
          <w:rStyle w:val="FontStyle23"/>
          <w:b/>
          <w:sz w:val="28"/>
          <w:szCs w:val="28"/>
        </w:rPr>
        <w:t xml:space="preserve">Про </w:t>
      </w:r>
      <w:r w:rsidR="0030316E" w:rsidRPr="00410EC0">
        <w:rPr>
          <w:rStyle w:val="FontStyle23"/>
          <w:b/>
          <w:sz w:val="28"/>
          <w:szCs w:val="28"/>
        </w:rPr>
        <w:t xml:space="preserve">документи про фахову </w:t>
      </w:r>
      <w:proofErr w:type="spellStart"/>
      <w:r w:rsidR="0030316E" w:rsidRPr="00410EC0">
        <w:rPr>
          <w:rStyle w:val="FontStyle23"/>
          <w:b/>
          <w:sz w:val="28"/>
          <w:szCs w:val="28"/>
        </w:rPr>
        <w:t>передвищу</w:t>
      </w:r>
      <w:proofErr w:type="spellEnd"/>
      <w:r w:rsidR="0030316E" w:rsidRPr="00410EC0">
        <w:rPr>
          <w:rStyle w:val="FontStyle23"/>
          <w:b/>
          <w:sz w:val="28"/>
          <w:szCs w:val="28"/>
        </w:rPr>
        <w:t xml:space="preserve"> освіту</w:t>
      </w:r>
      <w:r w:rsidRPr="00410EC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7112D" w:rsidRPr="00410EC0" w:rsidRDefault="00A7112D" w:rsidP="00A7112D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I. Визначення проблеми</w:t>
      </w: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Міністерство освіти і науки України </w:t>
      </w:r>
      <w:r w:rsidR="0060655D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відповідно до пункту 1 частини першої статті 13 Закону України «Про фахову </w:t>
      </w:r>
      <w:proofErr w:type="spellStart"/>
      <w:r w:rsidR="0060655D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60655D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освіту» 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є головним органом у системі центральних органів виконавчої влади, що заб</w:t>
      </w:r>
      <w:r w:rsidR="0060655D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езпечує формування та реалізацію державної політики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у сферах освіти і науки</w:t>
      </w:r>
      <w:r w:rsidR="0060655D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.</w:t>
      </w:r>
    </w:p>
    <w:p w:rsidR="007B38D0" w:rsidRPr="00410EC0" w:rsidRDefault="007B38D0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Відповідно до частини четвертої статті 10 та </w:t>
      </w:r>
      <w:r w:rsidR="003F6DA8">
        <w:fldChar w:fldCharType="begin"/>
      </w:r>
      <w:r w:rsidR="003F6DA8" w:rsidRPr="008839EF">
        <w:rPr>
          <w:lang w:val="uk-UA"/>
        </w:rPr>
        <w:instrText xml:space="preserve"> </w:instrText>
      </w:r>
      <w:r w:rsidR="003F6DA8">
        <w:instrText>HYPERLINK</w:instrText>
      </w:r>
      <w:r w:rsidR="003F6DA8" w:rsidRPr="008839EF">
        <w:rPr>
          <w:lang w:val="uk-UA"/>
        </w:rPr>
        <w:instrText xml:space="preserve"> "</w:instrText>
      </w:r>
      <w:r w:rsidR="003F6DA8">
        <w:instrText>https</w:instrText>
      </w:r>
      <w:r w:rsidR="003F6DA8" w:rsidRPr="008839EF">
        <w:rPr>
          <w:lang w:val="uk-UA"/>
        </w:rPr>
        <w:instrText>://</w:instrText>
      </w:r>
      <w:r w:rsidR="003F6DA8">
        <w:instrText>zakon</w:instrText>
      </w:r>
      <w:r w:rsidR="003F6DA8" w:rsidRPr="008839EF">
        <w:rPr>
          <w:lang w:val="uk-UA"/>
        </w:rPr>
        <w:instrText>.</w:instrText>
      </w:r>
      <w:r w:rsidR="003F6DA8">
        <w:instrText>rada</w:instrText>
      </w:r>
      <w:r w:rsidR="003F6DA8" w:rsidRPr="008839EF">
        <w:rPr>
          <w:lang w:val="uk-UA"/>
        </w:rPr>
        <w:instrText>.</w:instrText>
      </w:r>
      <w:r w:rsidR="003F6DA8">
        <w:instrText>gov</w:instrText>
      </w:r>
      <w:r w:rsidR="003F6DA8" w:rsidRPr="008839EF">
        <w:rPr>
          <w:lang w:val="uk-UA"/>
        </w:rPr>
        <w:instrText>.</w:instrText>
      </w:r>
      <w:r w:rsidR="003F6DA8">
        <w:instrText>ua</w:instrText>
      </w:r>
      <w:r w:rsidR="003F6DA8" w:rsidRPr="008839EF">
        <w:rPr>
          <w:lang w:val="uk-UA"/>
        </w:rPr>
        <w:instrText>/</w:instrText>
      </w:r>
      <w:r w:rsidR="003F6DA8">
        <w:instrText>laws</w:instrText>
      </w:r>
      <w:r w:rsidR="003F6DA8" w:rsidRPr="008839EF">
        <w:rPr>
          <w:lang w:val="uk-UA"/>
        </w:rPr>
        <w:instrText>/</w:instrText>
      </w:r>
      <w:r w:rsidR="003F6DA8">
        <w:instrText>show</w:instrText>
      </w:r>
      <w:r w:rsidR="003F6DA8" w:rsidRPr="008839EF">
        <w:rPr>
          <w:lang w:val="uk-UA"/>
        </w:rPr>
        <w:instrText>/193-2015-%</w:instrText>
      </w:r>
      <w:r w:rsidR="003F6DA8">
        <w:instrText>D</w:instrText>
      </w:r>
      <w:r w:rsidR="003F6DA8" w:rsidRPr="008839EF">
        <w:rPr>
          <w:lang w:val="uk-UA"/>
        </w:rPr>
        <w:instrText>0%</w:instrText>
      </w:r>
      <w:r w:rsidR="003F6DA8">
        <w:instrText>BF</w:instrText>
      </w:r>
      <w:r w:rsidR="003F6DA8" w:rsidRPr="008839EF">
        <w:rPr>
          <w:lang w:val="uk-UA"/>
        </w:rPr>
        <w:instrText>" \</w:instrText>
      </w:r>
      <w:r w:rsidR="003F6DA8">
        <w:instrText>l</w:instrText>
      </w:r>
      <w:r w:rsidR="003F6DA8" w:rsidRPr="008839EF">
        <w:rPr>
          <w:lang w:val="uk-UA"/>
        </w:rPr>
        <w:instrText xml:space="preserve"> "</w:instrText>
      </w:r>
      <w:r w:rsidR="003F6DA8">
        <w:instrText>n</w:instrText>
      </w:r>
      <w:r w:rsidR="003F6DA8" w:rsidRPr="008839EF">
        <w:rPr>
          <w:lang w:val="uk-UA"/>
        </w:rPr>
        <w:instrText>11" \</w:instrText>
      </w:r>
      <w:r w:rsidR="003F6DA8">
        <w:instrText>t</w:instrText>
      </w:r>
      <w:r w:rsidR="003F6DA8" w:rsidRPr="008839EF">
        <w:rPr>
          <w:lang w:val="uk-UA"/>
        </w:rPr>
        <w:instrText xml:space="preserve"> "_</w:instrText>
      </w:r>
      <w:r w:rsidR="003F6DA8">
        <w:instrText>blank</w:instrText>
      </w:r>
      <w:r w:rsidR="003F6DA8" w:rsidRPr="008839EF">
        <w:rPr>
          <w:lang w:val="uk-UA"/>
        </w:rPr>
        <w:instrText xml:space="preserve">" </w:instrText>
      </w:r>
      <w:r w:rsidR="003F6DA8">
        <w:fldChar w:fldCharType="separate"/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пункту </w:t>
      </w:r>
      <w:r w:rsidR="003F6DA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fldChar w:fldCharType="end"/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19 частини першої статті 13 Закону України «Про фахову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освіту» центральний орган виконавчої влади у сфері освіти і науки затверджує перелік інформації, яка повинна міститися в документах про фахову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освіту та вимоги до їх форми та/або змісту.</w:t>
      </w:r>
    </w:p>
    <w:p w:rsidR="007B38D0" w:rsidRPr="00410EC0" w:rsidRDefault="00D05661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Прийняття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дозволить відповідно до законодавства </w:t>
      </w:r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уточнити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перелік інформації, яка повинна </w:t>
      </w:r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міститися в документах про фахову </w:t>
      </w:r>
      <w:proofErr w:type="spellStart"/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освіту, вимоги до їх форми та/або змісту та встановити форм</w:t>
      </w:r>
      <w:r w:rsidR="0034061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у</w:t>
      </w:r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диплома фахового молодшого бакалавра та додатку до нього.</w:t>
      </w:r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Заклади фахової </w:t>
      </w:r>
      <w:proofErr w:type="spellStart"/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передвищої</w:t>
      </w:r>
      <w:proofErr w:type="spellEnd"/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освіти зможуть видавати документи про фахову </w:t>
      </w:r>
      <w:proofErr w:type="spellStart"/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освіту здобувачам фахової </w:t>
      </w:r>
      <w:proofErr w:type="spellStart"/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передвищої</w:t>
      </w:r>
      <w:proofErr w:type="spellEnd"/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освіти відповідно до установлен</w:t>
      </w:r>
      <w:r w:rsidR="0034061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ого</w:t>
      </w:r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законодавством </w:t>
      </w:r>
      <w:r w:rsidR="00410EC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порядку</w:t>
      </w:r>
      <w:r w:rsidR="00BC4A6F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.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Реалізація </w:t>
      </w:r>
      <w:proofErr w:type="spellStart"/>
      <w:r w:rsidRPr="00410EC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>проєкту</w:t>
      </w:r>
      <w:proofErr w:type="spellEnd"/>
      <w:r w:rsidRPr="00410EC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 регуляторного </w:t>
      </w:r>
      <w:proofErr w:type="spellStart"/>
      <w:r w:rsidRPr="00410EC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 вплине на:</w:t>
      </w:r>
    </w:p>
    <w:p w:rsidR="00705127" w:rsidRPr="00410EC0" w:rsidRDefault="00705127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0"/>
          <w:szCs w:val="20"/>
          <w:lang w:val="uk-UA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105"/>
        <w:gridCol w:w="3105"/>
      </w:tblGrid>
      <w:tr w:rsidR="00A7112D" w:rsidRPr="00410EC0" w:rsidTr="00126AD8">
        <w:tc>
          <w:tcPr>
            <w:tcW w:w="314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Групи (підгрупи)</w:t>
            </w:r>
          </w:p>
        </w:tc>
        <w:tc>
          <w:tcPr>
            <w:tcW w:w="310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Так</w:t>
            </w:r>
          </w:p>
        </w:tc>
        <w:tc>
          <w:tcPr>
            <w:tcW w:w="310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Ні</w:t>
            </w:r>
          </w:p>
        </w:tc>
      </w:tr>
      <w:tr w:rsidR="00A7112D" w:rsidRPr="00410EC0" w:rsidTr="00126AD8">
        <w:tc>
          <w:tcPr>
            <w:tcW w:w="314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Громадяни</w:t>
            </w:r>
          </w:p>
        </w:tc>
        <w:tc>
          <w:tcPr>
            <w:tcW w:w="310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314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Держава</w:t>
            </w:r>
          </w:p>
        </w:tc>
        <w:tc>
          <w:tcPr>
            <w:tcW w:w="310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314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10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vertAlign w:val="subscript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</w:tbl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  <w:t>Зазначена проблема не може бути розв’язана за допомогою ринкових механізмів, оскільки питання, що порушуються у ній, не стосуються механізмів стихійного регулювання ціни, темпів і пропорцій суспільного виробництва.</w:t>
      </w: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II. Цілі державного регулювання</w:t>
      </w: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A7112D" w:rsidRPr="00410EC0" w:rsidRDefault="00A7112D" w:rsidP="00A7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 xml:space="preserve">Основною ціллю прийняття </w:t>
      </w:r>
      <w:proofErr w:type="spellStart"/>
      <w:r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 xml:space="preserve"> є </w:t>
      </w:r>
      <w:r w:rsidR="00410EC0"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>затвердження П</w:t>
      </w:r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ерелік</w:t>
      </w:r>
      <w:r w:rsidR="00410EC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у</w:t>
      </w:r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інформації, яка повинна міститися в документах про фахову </w:t>
      </w:r>
      <w:proofErr w:type="spellStart"/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освіту та </w:t>
      </w:r>
      <w:r w:rsidR="00410EC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затвердження В</w:t>
      </w:r>
      <w:r w:rsidR="00D12AD2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имог до форми та/або змісту</w:t>
      </w:r>
      <w:r w:rsidR="00410EC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документів про фахову </w:t>
      </w:r>
      <w:proofErr w:type="spellStart"/>
      <w:r w:rsidR="00410EC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410EC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</w:t>
      </w:r>
      <w:r w:rsidR="0034061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у</w:t>
      </w:r>
      <w:r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>.</w:t>
      </w: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III. Визначення та оцінка альтернативних способів досягнення цілей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1. Визначення альтернативних способів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925"/>
      </w:tblGrid>
      <w:tr w:rsidR="00A7112D" w:rsidRPr="00410EC0" w:rsidTr="00126AD8">
        <w:trPr>
          <w:tblHeader/>
        </w:trPr>
        <w:tc>
          <w:tcPr>
            <w:tcW w:w="414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lastRenderedPageBreak/>
              <w:t>Вид альтернативи</w:t>
            </w:r>
          </w:p>
        </w:tc>
        <w:tc>
          <w:tcPr>
            <w:tcW w:w="592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Опис альтернативи</w:t>
            </w:r>
          </w:p>
        </w:tc>
      </w:tr>
      <w:tr w:rsidR="00A7112D" w:rsidRPr="008839EF" w:rsidTr="00126AD8">
        <w:tc>
          <w:tcPr>
            <w:tcW w:w="414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1: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 затверджувати </w:t>
            </w:r>
            <w:proofErr w:type="spellStart"/>
            <w:r w:rsidR="00D12AD2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проєкт</w:t>
            </w:r>
            <w:proofErr w:type="spellEnd"/>
            <w:r w:rsidR="00D12AD2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proofErr w:type="spellStart"/>
            <w:r w:rsidR="00D12AD2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акта</w:t>
            </w:r>
            <w:proofErr w:type="spellEnd"/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592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Відсутність </w:t>
            </w:r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передбаченого </w:t>
            </w:r>
            <w:r w:rsidR="0034061D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законодав</w:t>
            </w:r>
            <w:r w:rsidR="0034061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ством</w:t>
            </w:r>
            <w:r w:rsidR="0034061D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врегулювання переліку інформації, яка повинна міститися в документах про фахову </w:t>
            </w:r>
            <w:proofErr w:type="spellStart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 та вимоги до форми та/або змісту</w:t>
            </w:r>
            <w:r w:rsidR="00410EC0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 w:rsidR="00410EC0" w:rsidRPr="00410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документів про фахову </w:t>
            </w:r>
            <w:proofErr w:type="spellStart"/>
            <w:r w:rsidR="00410EC0" w:rsidRPr="00410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передвищу</w:t>
            </w:r>
            <w:proofErr w:type="spellEnd"/>
            <w:r w:rsidR="00410EC0" w:rsidRPr="00410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освіти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Випускники закладів </w:t>
            </w:r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фахової </w:t>
            </w:r>
            <w:proofErr w:type="spellStart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передвищої</w:t>
            </w:r>
            <w:proofErr w:type="spellEnd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освіти не зможуть отримати документи про фахову </w:t>
            </w:r>
            <w:proofErr w:type="spellStart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Визначена проблема не буде розв’язана.</w:t>
            </w:r>
          </w:p>
        </w:tc>
      </w:tr>
      <w:tr w:rsidR="00A7112D" w:rsidRPr="008839EF" w:rsidTr="00126AD8">
        <w:tc>
          <w:tcPr>
            <w:tcW w:w="414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2:</w:t>
            </w:r>
          </w:p>
          <w:p w:rsidR="00A7112D" w:rsidRPr="00410EC0" w:rsidRDefault="00A7112D" w:rsidP="00D12AD2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Затвердити </w:t>
            </w:r>
            <w:proofErr w:type="spellStart"/>
            <w:r w:rsidR="00D12AD2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проєкт</w:t>
            </w:r>
            <w:proofErr w:type="spellEnd"/>
            <w:r w:rsidR="00D12AD2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proofErr w:type="spellStart"/>
            <w:r w:rsidR="00D12AD2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акта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Прийняття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акта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 визначить </w:t>
            </w:r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перелік інформації, яка повинна міститися в документах про фахову </w:t>
            </w:r>
            <w:proofErr w:type="spellStart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освіту, вимоги до їх форми та/або змісту та дасть можливість закладам фахової </w:t>
            </w:r>
            <w:proofErr w:type="spellStart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передвищої</w:t>
            </w:r>
            <w:proofErr w:type="spellEnd"/>
            <w:r w:rsidR="0070512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освіти </w:t>
            </w:r>
            <w:r w:rsidR="00B5640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видавати здобувачам фахової </w:t>
            </w:r>
            <w:proofErr w:type="spellStart"/>
            <w:r w:rsidR="00B5640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пердвищої</w:t>
            </w:r>
            <w:proofErr w:type="spellEnd"/>
            <w:r w:rsidR="00B5640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освіти документи про фахову </w:t>
            </w:r>
            <w:proofErr w:type="spellStart"/>
            <w:r w:rsidR="00B5640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="00B5640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 відповідно до законодавства.</w:t>
            </w:r>
          </w:p>
        </w:tc>
      </w:tr>
    </w:tbl>
    <w:p w:rsidR="00A1754F" w:rsidRPr="00410EC0" w:rsidRDefault="00A1754F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2. Оцінка вибраних альтернативних способів досягнення цілей 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Оцінка впливу на сферу інтересів держави.</w:t>
      </w:r>
    </w:p>
    <w:p w:rsidR="00B56407" w:rsidRPr="00410EC0" w:rsidRDefault="00B56407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val="uk-UA" w:eastAsia="ru-RU" w:bidi="ar-SA"/>
        </w:rPr>
      </w:pP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827"/>
        <w:gridCol w:w="3827"/>
      </w:tblGrid>
      <w:tr w:rsidR="00A7112D" w:rsidRPr="00410EC0" w:rsidTr="00410EC0">
        <w:tc>
          <w:tcPr>
            <w:tcW w:w="2523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3827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A7112D" w:rsidRPr="00410EC0" w:rsidTr="00410EC0">
        <w:tc>
          <w:tcPr>
            <w:tcW w:w="2523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  <w:tc>
          <w:tcPr>
            <w:tcW w:w="3827" w:type="dxa"/>
            <w:shd w:val="clear" w:color="auto" w:fill="auto"/>
          </w:tcPr>
          <w:p w:rsidR="00410EC0" w:rsidRPr="00410EC0" w:rsidRDefault="00410EC0" w:rsidP="00126AD8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Витрати,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повязані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неможливістю видачі документів про фахову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освіту.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Неефективне використання бюджетних коштів на підготовку фахівців.</w:t>
            </w:r>
          </w:p>
          <w:p w:rsidR="00A7112D" w:rsidRPr="00410EC0" w:rsidRDefault="00A7112D" w:rsidP="00410EC0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Дефі</w:t>
            </w:r>
            <w:r w:rsidR="00410EC0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цит кваліфікованих працівників.</w:t>
            </w:r>
          </w:p>
        </w:tc>
      </w:tr>
      <w:tr w:rsidR="00A7112D" w:rsidRPr="00410EC0" w:rsidTr="00410EC0">
        <w:tc>
          <w:tcPr>
            <w:tcW w:w="2523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Ефективне використання бюджетних коштів на підготовку фахівців.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Ринок праці забезпечується фахівцями, які мають </w:t>
            </w:r>
            <w:r w:rsid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відповідний</w:t>
            </w: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рівень якості підготовки.</w:t>
            </w:r>
          </w:p>
          <w:p w:rsidR="00A7112D" w:rsidRPr="00410EC0" w:rsidRDefault="00A7112D" w:rsidP="00B56407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Забезпечується належний темп економічного розвитку та соціальна стабільність.</w:t>
            </w:r>
          </w:p>
        </w:tc>
        <w:tc>
          <w:tcPr>
            <w:tcW w:w="3827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lastRenderedPageBreak/>
        <w:t>Оцінка впливу на сферу інтересів громадян.</w:t>
      </w:r>
    </w:p>
    <w:p w:rsidR="00B56407" w:rsidRPr="00410EC0" w:rsidRDefault="00B56407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val="uk-UA" w:eastAsia="ru-RU" w:bidi="ar-SA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536"/>
        <w:gridCol w:w="3657"/>
      </w:tblGrid>
      <w:tr w:rsidR="00A7112D" w:rsidRPr="00410EC0" w:rsidTr="00E60AAD">
        <w:tc>
          <w:tcPr>
            <w:tcW w:w="2269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453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3657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A7112D" w:rsidRPr="008839EF" w:rsidTr="00E60AAD">
        <w:tc>
          <w:tcPr>
            <w:tcW w:w="2269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4536" w:type="dxa"/>
            <w:shd w:val="clear" w:color="auto" w:fill="auto"/>
          </w:tcPr>
          <w:p w:rsidR="00A7112D" w:rsidRPr="00410EC0" w:rsidRDefault="00781033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Відсутні </w:t>
            </w:r>
          </w:p>
        </w:tc>
        <w:tc>
          <w:tcPr>
            <w:tcW w:w="3657" w:type="dxa"/>
            <w:shd w:val="clear" w:color="auto" w:fill="auto"/>
          </w:tcPr>
          <w:p w:rsidR="00A7112D" w:rsidRPr="00410EC0" w:rsidRDefault="00781033" w:rsidP="00781033">
            <w:pPr>
              <w:suppressAutoHyphens w:val="0"/>
              <w:autoSpaceDN/>
              <w:spacing w:line="240" w:lineRule="auto"/>
              <w:ind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Неможливість отримати документ про фахову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освіту, а отже, </w:t>
            </w:r>
            <w:r w:rsidR="008F5743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неможливість вступити до закладів освіти для продовження навчання та </w:t>
            </w:r>
            <w:r w:rsidR="00587A3D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працевлаштування.</w:t>
            </w:r>
          </w:p>
        </w:tc>
      </w:tr>
      <w:tr w:rsidR="00A7112D" w:rsidRPr="00410EC0" w:rsidTr="00E60AAD">
        <w:tc>
          <w:tcPr>
            <w:tcW w:w="2269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4536" w:type="dxa"/>
            <w:shd w:val="clear" w:color="auto" w:fill="auto"/>
          </w:tcPr>
          <w:p w:rsidR="00A7112D" w:rsidRPr="00410EC0" w:rsidRDefault="00587A3D" w:rsidP="00587A3D">
            <w:pPr>
              <w:suppressAutoHyphens w:val="0"/>
              <w:autoSpaceDN/>
              <w:spacing w:line="240" w:lineRule="auto"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Отримання документа про фахову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 вихід на ринок праці та можливість подальшого навчання.</w:t>
            </w:r>
          </w:p>
        </w:tc>
        <w:tc>
          <w:tcPr>
            <w:tcW w:w="3657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Оцінка впливу на сферу інтересів суб’єктів господарювання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Дія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проєкту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регуляторного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поширюватиметься на сферу інтересів суб’єктів господарювання</w:t>
      </w:r>
    </w:p>
    <w:tbl>
      <w:tblPr>
        <w:tblW w:w="5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1062"/>
        <w:gridCol w:w="1179"/>
        <w:gridCol w:w="1125"/>
        <w:gridCol w:w="1361"/>
        <w:gridCol w:w="1706"/>
      </w:tblGrid>
      <w:tr w:rsidR="00A7112D" w:rsidRPr="00410EC0" w:rsidTr="00126AD8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Показник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Великі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Середні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Малі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208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Мікро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Разом</w:t>
            </w:r>
          </w:p>
        </w:tc>
      </w:tr>
      <w:tr w:rsidR="00A7112D" w:rsidRPr="00410EC0" w:rsidTr="00126AD8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B" w:rsidRDefault="008C565B" w:rsidP="008C565B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587A3D" w:rsidP="008C565B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B" w:rsidRDefault="008C565B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587A3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670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5B" w:rsidRDefault="008C565B" w:rsidP="00126AD8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31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587A3D" w:rsidP="00126AD8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31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54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5B" w:rsidRDefault="008C565B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587A3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750</w:t>
            </w:r>
          </w:p>
        </w:tc>
      </w:tr>
      <w:tr w:rsidR="00A7112D" w:rsidRPr="00410EC0" w:rsidTr="00126AD8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Питома вага групи у загальній кількості, відсотків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587A3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3</w:t>
            </w:r>
            <w:r w:rsidR="00A7112D"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587A3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89</w:t>
            </w:r>
            <w:r w:rsidR="00A7112D"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%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587A3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7</w:t>
            </w:r>
            <w:r w:rsidR="00A7112D"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%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2D" w:rsidRPr="00410EC0" w:rsidRDefault="00A7112D" w:rsidP="00126AD8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100%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5246"/>
        <w:gridCol w:w="2835"/>
      </w:tblGrid>
      <w:tr w:rsidR="00A7112D" w:rsidRPr="00410EC0" w:rsidTr="00126AD8">
        <w:trPr>
          <w:tblHeader/>
        </w:trPr>
        <w:tc>
          <w:tcPr>
            <w:tcW w:w="2523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524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283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8C565B" w:rsidRPr="008839EF" w:rsidTr="00126AD8">
        <w:tc>
          <w:tcPr>
            <w:tcW w:w="2523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524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A7112D" w:rsidRPr="008C565B" w:rsidRDefault="00A7112D" w:rsidP="00126AD8">
            <w:pPr>
              <w:suppressAutoHyphens w:val="0"/>
              <w:autoSpaceDN/>
              <w:spacing w:line="240" w:lineRule="auto"/>
              <w:ind w:firstLine="322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8C565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Репутаційні та іміджеві втрати ЗВО </w:t>
            </w:r>
          </w:p>
        </w:tc>
      </w:tr>
      <w:tr w:rsidR="00A7112D" w:rsidRPr="00410EC0" w:rsidTr="00126AD8">
        <w:tc>
          <w:tcPr>
            <w:tcW w:w="2523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5246" w:type="dxa"/>
            <w:shd w:val="clear" w:color="auto" w:fill="auto"/>
          </w:tcPr>
          <w:p w:rsidR="00A7112D" w:rsidRPr="00410EC0" w:rsidRDefault="008C565B" w:rsidP="008C565B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Встановлення законодавчих норм щодо </w:t>
            </w: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затвердження П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ереліку інформації, яка повинна міститися в документах про фахову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 та Вимог до форми та/або змісту документів про фахову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освіти</w:t>
            </w:r>
          </w:p>
        </w:tc>
        <w:tc>
          <w:tcPr>
            <w:tcW w:w="2835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Відсутні.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990"/>
      </w:tblGrid>
      <w:tr w:rsidR="00A7112D" w:rsidRPr="00410EC0" w:rsidTr="00126AD8">
        <w:tc>
          <w:tcPr>
            <w:tcW w:w="5642" w:type="dxa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Сумарні витрати за альтернативами</w:t>
            </w:r>
          </w:p>
        </w:tc>
        <w:tc>
          <w:tcPr>
            <w:tcW w:w="4990" w:type="dxa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 витрат, гривень</w:t>
            </w:r>
          </w:p>
        </w:tc>
      </w:tr>
      <w:tr w:rsidR="00A7112D" w:rsidRPr="00410EC0" w:rsidTr="00126AD8">
        <w:tc>
          <w:tcPr>
            <w:tcW w:w="5642" w:type="dxa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4990" w:type="dxa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  <w:tr w:rsidR="00A7112D" w:rsidRPr="00410EC0" w:rsidTr="00126AD8">
        <w:tc>
          <w:tcPr>
            <w:tcW w:w="5642" w:type="dxa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4990" w:type="dxa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IV. Вибір найбільш оптимального альтернативного способу досягнення цілей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410"/>
        <w:gridCol w:w="4961"/>
      </w:tblGrid>
      <w:tr w:rsidR="00A7112D" w:rsidRPr="008839EF" w:rsidTr="00126AD8">
        <w:trPr>
          <w:tblHeader/>
        </w:trPr>
        <w:tc>
          <w:tcPr>
            <w:tcW w:w="312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Бал результативності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(за чотирибальною системою оцінки)</w:t>
            </w:r>
          </w:p>
        </w:tc>
        <w:tc>
          <w:tcPr>
            <w:tcW w:w="4961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Коментарі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 xml:space="preserve">щодо присвоєння відповідного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бала</w:t>
            </w:r>
            <w:proofErr w:type="spellEnd"/>
          </w:p>
        </w:tc>
      </w:tr>
      <w:tr w:rsidR="00A7112D" w:rsidRPr="00410EC0" w:rsidTr="00126AD8">
        <w:tc>
          <w:tcPr>
            <w:tcW w:w="312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241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Проблему не вирішено.</w:t>
            </w:r>
          </w:p>
        </w:tc>
      </w:tr>
      <w:tr w:rsidR="00A7112D" w:rsidRPr="008839EF" w:rsidTr="00126AD8">
        <w:tc>
          <w:tcPr>
            <w:tcW w:w="312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2410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A7112D" w:rsidRPr="00410EC0" w:rsidRDefault="008C565B" w:rsidP="008C565B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8C56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Запропонований спосіб вирішення зазначеної проблеми є найбільш доцільним, оскільки прийняття запропонованого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нормативно-правового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дозволить врегулювати питання щодо 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перелік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у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інформації, яка повинна міститися в документах про фахову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освіту, вимоги до їх форми та/або змісту та встановити форми диплома фахового молодшого бакалавра та додатку до нього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sectPr w:rsidR="00A7112D" w:rsidRPr="00410EC0" w:rsidSect="002E6BEF">
          <w:headerReference w:type="default" r:id="rId6"/>
          <w:pgSz w:w="11906" w:h="16838"/>
          <w:pgMar w:top="1134" w:right="991" w:bottom="1134" w:left="1410" w:header="708" w:footer="708" w:gutter="0"/>
          <w:cols w:space="720"/>
          <w:titlePg/>
          <w:docGrid w:linePitch="299"/>
        </w:sect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148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728"/>
        <w:gridCol w:w="5102"/>
        <w:gridCol w:w="2978"/>
      </w:tblGrid>
      <w:tr w:rsidR="00A7112D" w:rsidRPr="008839EF" w:rsidTr="00126AD8">
        <w:trPr>
          <w:tblHeader/>
        </w:trPr>
        <w:tc>
          <w:tcPr>
            <w:tcW w:w="207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Рейтинг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результатив</w:t>
            </w:r>
            <w:proofErr w:type="spellEnd"/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ності</w:t>
            </w:r>
            <w:proofErr w:type="spellEnd"/>
          </w:p>
        </w:tc>
        <w:tc>
          <w:tcPr>
            <w:tcW w:w="4728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Вигоди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(підсумок)</w:t>
            </w:r>
          </w:p>
        </w:tc>
        <w:tc>
          <w:tcPr>
            <w:tcW w:w="5102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(підсумок)</w:t>
            </w:r>
          </w:p>
        </w:tc>
        <w:tc>
          <w:tcPr>
            <w:tcW w:w="2978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Обґрунтування відповідного місця альтернативи у рейтингу</w:t>
            </w:r>
          </w:p>
        </w:tc>
      </w:tr>
      <w:tr w:rsidR="00A7112D" w:rsidRPr="008839EF" w:rsidTr="00126AD8">
        <w:tc>
          <w:tcPr>
            <w:tcW w:w="207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4728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firstLine="28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5102" w:type="dxa"/>
            <w:shd w:val="clear" w:color="auto" w:fill="auto"/>
          </w:tcPr>
          <w:p w:rsidR="00A7112D" w:rsidRPr="00410EC0" w:rsidRDefault="00D3346A" w:rsidP="00D3346A">
            <w:pPr>
              <w:suppressAutoHyphens w:val="0"/>
              <w:autoSpaceDN/>
              <w:spacing w:line="240" w:lineRule="auto"/>
              <w:ind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Витрати, пов’язані із неможливістю виконати вчасно норми Конституції України та Закону України «Про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освіту»</w:t>
            </w:r>
          </w:p>
        </w:tc>
        <w:tc>
          <w:tcPr>
            <w:tcW w:w="2978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Зазначений спосіб не  вирішує існуючої проблеми</w:t>
            </w:r>
          </w:p>
        </w:tc>
      </w:tr>
      <w:tr w:rsidR="00A7112D" w:rsidRPr="008839EF" w:rsidTr="00126AD8">
        <w:tc>
          <w:tcPr>
            <w:tcW w:w="2076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4728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Ефективне використання бюджетних коштів на підготовку фахівців.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Ринок праці забезпечено фахівцями, які мають належний рівень якості підготовки.</w:t>
            </w:r>
          </w:p>
          <w:p w:rsidR="00A7112D" w:rsidRPr="00D3346A" w:rsidRDefault="00A7112D" w:rsidP="00D3346A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Забезпечується належний темп економічного розвитку та соціальна стабільність.</w:t>
            </w:r>
          </w:p>
        </w:tc>
        <w:tc>
          <w:tcPr>
            <w:tcW w:w="5102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  <w:tc>
          <w:tcPr>
            <w:tcW w:w="2978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Прийняття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акта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 сприятиме: вирішенню проблеми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sectPr w:rsidR="00A7112D" w:rsidRPr="00410EC0" w:rsidSect="004B0DA1">
          <w:pgSz w:w="16838" w:h="11906" w:orient="landscape"/>
          <w:pgMar w:top="1410" w:right="1134" w:bottom="991" w:left="1134" w:header="708" w:footer="708" w:gutter="0"/>
          <w:cols w:space="720"/>
          <w:titlePg/>
          <w:docGrid w:linePitch="299"/>
        </w:sect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4254"/>
      </w:tblGrid>
      <w:tr w:rsidR="00A7112D" w:rsidRPr="008839EF" w:rsidTr="00126AD8">
        <w:tc>
          <w:tcPr>
            <w:tcW w:w="2268" w:type="dxa"/>
            <w:shd w:val="clear" w:color="auto" w:fill="auto"/>
            <w:vAlign w:val="center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Рейтинг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Аргументи щодо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переваги обраної альтернативи/причини відмови від альтернативи</w:t>
            </w:r>
          </w:p>
        </w:tc>
        <w:tc>
          <w:tcPr>
            <w:tcW w:w="4254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акта</w:t>
            </w:r>
            <w:proofErr w:type="spellEnd"/>
          </w:p>
        </w:tc>
      </w:tr>
      <w:tr w:rsidR="00A7112D" w:rsidRPr="008839EF" w:rsidTr="00126AD8">
        <w:tc>
          <w:tcPr>
            <w:tcW w:w="2268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969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Альтернатива не сприятиме вирішенню проблеми, зберігаються негативні тенденції і ризики. </w:t>
            </w:r>
          </w:p>
        </w:tc>
        <w:tc>
          <w:tcPr>
            <w:tcW w:w="4254" w:type="dxa"/>
            <w:shd w:val="clear" w:color="auto" w:fill="auto"/>
          </w:tcPr>
          <w:p w:rsidR="00A7112D" w:rsidRPr="00410EC0" w:rsidRDefault="00A7112D" w:rsidP="00CC511C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Ризик </w:t>
            </w:r>
            <w:r w:rsidR="00D3346A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неможливість закладами фахової </w:t>
            </w:r>
            <w:proofErr w:type="spellStart"/>
            <w:r w:rsidR="00D3346A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передвищої</w:t>
            </w:r>
            <w:proofErr w:type="spellEnd"/>
            <w:r w:rsidR="00D3346A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освіти видати документи про фахову </w:t>
            </w:r>
            <w:proofErr w:type="spellStart"/>
            <w:r w:rsidR="00D3346A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передвищу</w:t>
            </w:r>
            <w:proofErr w:type="spellEnd"/>
            <w:r w:rsidR="00D3346A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освіту здобувачам фахової </w:t>
            </w:r>
            <w:proofErr w:type="spellStart"/>
            <w:r w:rsidR="00D3346A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передвищої</w:t>
            </w:r>
            <w:proofErr w:type="spellEnd"/>
            <w:r w:rsidR="00D3346A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освіти</w:t>
            </w:r>
          </w:p>
        </w:tc>
      </w:tr>
      <w:tr w:rsidR="00A7112D" w:rsidRPr="008839EF" w:rsidTr="00126AD8">
        <w:tc>
          <w:tcPr>
            <w:tcW w:w="2268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969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Альтернатива сприятиме врегулюванню існуючої проблеми, що матиме позитивний вплив на усі групи учасників.</w:t>
            </w:r>
          </w:p>
        </w:tc>
        <w:tc>
          <w:tcPr>
            <w:tcW w:w="4254" w:type="dxa"/>
            <w:shd w:val="clear" w:color="auto" w:fill="auto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Негативних наслідків від прийняття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акта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не очікується</w:t>
            </w:r>
          </w:p>
        </w:tc>
      </w:tr>
    </w:tbl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V. Механізми та заходи, які забезпечать розв’язання визначеної проблеми</w:t>
      </w: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CC511C" w:rsidRDefault="00A7112D" w:rsidP="00CC511C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Для </w:t>
      </w:r>
      <w:r w:rsidR="0034061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розв’язання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проблеми, визначеної у розділі І та досягнення</w:t>
      </w:r>
      <w:r w:rsidR="0034061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поставлених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цілей</w:t>
      </w:r>
      <w:r w:rsidR="00CD116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,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проєктом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передбачено </w:t>
      </w:r>
      <w:bookmarkStart w:id="0" w:name="_GoBack"/>
      <w:r w:rsidRPr="008839E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затвердження </w:t>
      </w:r>
      <w:bookmarkEnd w:id="0"/>
      <w:r w:rsidR="00CC511C"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>П</w:t>
      </w:r>
      <w:r w:rsidR="00CC511C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ереліку інформації, яка повинна міститися в документах про фахову </w:t>
      </w:r>
      <w:proofErr w:type="spellStart"/>
      <w:r w:rsidR="00CC511C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CC511C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освіту та затвердження Вимог до форми та/або змісту документів про фахову </w:t>
      </w:r>
      <w:proofErr w:type="spellStart"/>
      <w:r w:rsidR="00CC511C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CC511C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 w:rsidR="00CD116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освіту</w:t>
      </w:r>
      <w:r w:rsidR="00CC511C" w:rsidRPr="00CC511C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  <w:t>.</w:t>
      </w:r>
    </w:p>
    <w:p w:rsidR="00CC511C" w:rsidRDefault="00CC511C" w:rsidP="00CC511C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A7112D" w:rsidRPr="00410EC0" w:rsidRDefault="00A7112D" w:rsidP="00CC511C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 xml:space="preserve">VI. Оцінка виконання вимог регуляторного </w:t>
      </w:r>
      <w:proofErr w:type="spellStart"/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Від впровадження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проєкту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регуляторного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негативних наслідків не очікується.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Реалізація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проєкту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регуляторного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не потребує додаткових витрат з державного бюджету України, тому розрахунок бюджетних витрат не здійснювався.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Розрахунок витрат суб'єктів малого підприємництва (М-Тест) не проводився.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 xml:space="preserve">VII. Обґрунтування запропонованого строку дії регуляторного </w:t>
      </w:r>
      <w:proofErr w:type="spellStart"/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акта</w:t>
      </w:r>
      <w:proofErr w:type="spellEnd"/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 w:rsidRPr="00410EC0"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  <w:t>Розроблений акт не має обмеження щодо строку його дії.</w:t>
      </w: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 xml:space="preserve">VIII. Визначення показників результативності дії регуляторного </w:t>
      </w:r>
      <w:proofErr w:type="spellStart"/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акта</w:t>
      </w:r>
      <w:proofErr w:type="spellEnd"/>
    </w:p>
    <w:p w:rsidR="00A7112D" w:rsidRPr="00410EC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Default="00A7112D" w:rsidP="00A7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Результативність </w:t>
      </w:r>
      <w:proofErr w:type="spellStart"/>
      <w:r w:rsidRPr="00410EC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можна оцінити за такими показниками:</w:t>
      </w:r>
    </w:p>
    <w:p w:rsidR="00CC511C" w:rsidRPr="00410EC0" w:rsidRDefault="00CC511C" w:rsidP="00A71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- кількість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субєктів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господарювання та/або фізичних осіб, на яких поширюватиметься дія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акта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– обмежується кількістю закладів фахової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освіти, що надають освітні послуги;</w:t>
      </w:r>
    </w:p>
    <w:p w:rsidR="00A7112D" w:rsidRDefault="00DB4C20" w:rsidP="00CC51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- </w:t>
      </w:r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кількість здобувачів фахової </w:t>
      </w:r>
      <w:proofErr w:type="spellStart"/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передвищої</w:t>
      </w:r>
      <w:proofErr w:type="spellEnd"/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освіти, які повинні отримати документи про фахову </w:t>
      </w:r>
      <w:proofErr w:type="spellStart"/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освіту;</w:t>
      </w:r>
    </w:p>
    <w:p w:rsidR="00CC511C" w:rsidRPr="00CC511C" w:rsidRDefault="00DB4C20" w:rsidP="00CC51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- </w:t>
      </w:r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розмір надходжень до державного та місцевих бюджетів,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пов’язаних</w:t>
      </w:r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з дією </w:t>
      </w:r>
      <w:proofErr w:type="spellStart"/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акта</w:t>
      </w:r>
      <w:proofErr w:type="spellEnd"/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– залежить від кількості здобувачів фахової </w:t>
      </w:r>
      <w:proofErr w:type="spellStart"/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передвищої</w:t>
      </w:r>
      <w:proofErr w:type="spellEnd"/>
      <w:r w:rsidR="00CC511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освіти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, які навчаються за освітньо-професійним програмами закладів фахової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освіти за кошти юридичних та фізичних осіб.</w:t>
      </w: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A7112D" w:rsidRPr="00410EC0" w:rsidRDefault="00A7112D" w:rsidP="00A7112D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акта</w:t>
      </w:r>
      <w:proofErr w:type="spellEnd"/>
    </w:p>
    <w:p w:rsidR="00A7112D" w:rsidRPr="00410EC0" w:rsidRDefault="00A7112D" w:rsidP="00A7112D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Відстеження результативності дії регуляторного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буде проводитися за допомогою заходів, спрямованих на оцінку стану впровадження регуляторного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та визначення ефективності та доцільності впровадженого регулювання, шляхом аналізу статистичних показників.</w:t>
      </w:r>
    </w:p>
    <w:p w:rsidR="00A7112D" w:rsidRPr="00410EC0" w:rsidRDefault="00A7112D" w:rsidP="00A7112D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У разі виявлення неврегульованих та проблемних питань шляхом аналізу якісних показників дії цього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буде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внесено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відповідні зміни до регуляторного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.</w:t>
      </w:r>
    </w:p>
    <w:p w:rsidR="00A7112D" w:rsidRPr="00410EC0" w:rsidRDefault="00A7112D" w:rsidP="00A71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firstLine="77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Міністр</w:t>
      </w:r>
      <w:r w:rsidR="003A2849"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 xml:space="preserve"> </w:t>
      </w:r>
      <w:r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 xml:space="preserve">освіти і науки України                                      </w:t>
      </w:r>
      <w:r w:rsidR="003A2849"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 xml:space="preserve">      Сергій</w:t>
      </w:r>
      <w:r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 xml:space="preserve"> </w:t>
      </w:r>
      <w:r w:rsidR="003A2849"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ШКАРЛЕТ</w:t>
      </w:r>
    </w:p>
    <w:tbl>
      <w:tblPr>
        <w:tblW w:w="514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A7112D" w:rsidRPr="008839EF" w:rsidTr="00126AD8">
        <w:trPr>
          <w:tblCellSpacing w:w="0" w:type="dxa"/>
        </w:trPr>
        <w:tc>
          <w:tcPr>
            <w:tcW w:w="5000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br w:type="page"/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3A2849" w:rsidRPr="00410EC0" w:rsidRDefault="003A2849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3A2849" w:rsidRDefault="003A2849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CD116E" w:rsidRDefault="00CD116E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CD116E" w:rsidRDefault="00CD116E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CD116E" w:rsidRPr="00410EC0" w:rsidRDefault="00CD116E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3A2849" w:rsidRPr="00410EC0" w:rsidRDefault="003A2849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3A2849" w:rsidRPr="00410EC0" w:rsidRDefault="003A2849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3A2849" w:rsidRPr="00410EC0" w:rsidRDefault="003A2849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 xml:space="preserve">Додаток 2 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до Методики проведення аналізу впливу регуляторного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акта</w:t>
            </w:r>
            <w:proofErr w:type="spellEnd"/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1" w:name="n177"/>
      <w:bookmarkEnd w:id="1"/>
    </w:p>
    <w:p w:rsidR="00A7112D" w:rsidRPr="00410EC0" w:rsidRDefault="00A7112D" w:rsidP="00A7112D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ВИТРАТИ</w:t>
      </w:r>
    </w:p>
    <w:p w:rsidR="00A7112D" w:rsidRPr="00410EC0" w:rsidRDefault="00A7112D" w:rsidP="00A7112D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акта</w:t>
      </w:r>
      <w:proofErr w:type="spellEnd"/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5812"/>
        <w:gridCol w:w="1555"/>
        <w:gridCol w:w="934"/>
      </w:tblGrid>
      <w:tr w:rsidR="00A7112D" w:rsidRPr="00410EC0" w:rsidTr="00126AD8">
        <w:tc>
          <w:tcPr>
            <w:tcW w:w="771" w:type="pct"/>
            <w:vAlign w:val="center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2" w:name="n178"/>
            <w:bookmarkEnd w:id="2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Порядковий номер</w:t>
            </w:r>
          </w:p>
        </w:tc>
        <w:tc>
          <w:tcPr>
            <w:tcW w:w="2961" w:type="pct"/>
            <w:vAlign w:val="center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</w:t>
            </w:r>
          </w:p>
        </w:tc>
        <w:tc>
          <w:tcPr>
            <w:tcW w:w="792" w:type="pct"/>
            <w:vAlign w:val="center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 перший рік</w:t>
            </w:r>
          </w:p>
        </w:tc>
        <w:tc>
          <w:tcPr>
            <w:tcW w:w="476" w:type="pct"/>
            <w:vAlign w:val="center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 п’ять років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 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6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7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Витрати, пов’язані із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наймом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додаткового персоналу,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8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Витрати,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повязані</w:t>
            </w:r>
            <w:proofErr w:type="spellEnd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з ознайомленням та приведенням локальних актів у відповідність до Положення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РАЗОМ,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3405D0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750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11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через перерозподіл вступників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A7112D" w:rsidRPr="00410EC0" w:rsidTr="00126AD8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Загальна сума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3" w:name="n179"/>
      <w:bookmarkEnd w:id="3"/>
    </w:p>
    <w:p w:rsidR="00A7112D" w:rsidRPr="00410EC0" w:rsidRDefault="00A7112D" w:rsidP="00A7112D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    Розрахунок відповідних витрат на одного суб’єкта господарювання</w:t>
      </w:r>
    </w:p>
    <w:tbl>
      <w:tblPr>
        <w:tblW w:w="513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7"/>
        <w:gridCol w:w="773"/>
        <w:gridCol w:w="363"/>
        <w:gridCol w:w="1065"/>
        <w:gridCol w:w="582"/>
        <w:gridCol w:w="1454"/>
        <w:gridCol w:w="94"/>
        <w:gridCol w:w="98"/>
        <w:gridCol w:w="1651"/>
      </w:tblGrid>
      <w:tr w:rsidR="00A7112D" w:rsidRPr="00410EC0" w:rsidTr="00126AD8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4" w:name="n180"/>
            <w:bookmarkEnd w:id="4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Вид витрат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 перший рік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Періодичні (за рік)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за п’ять років</w:t>
            </w:r>
          </w:p>
        </w:tc>
      </w:tr>
      <w:tr w:rsidR="00A7112D" w:rsidRPr="00410EC0" w:rsidTr="00126AD8"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із веденням обліку, підготовкою та поданням звітності державним органам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</w:tr>
      <w:tr w:rsidR="00A7112D" w:rsidRPr="00410EC0" w:rsidTr="00126AD8">
        <w:tc>
          <w:tcPr>
            <w:tcW w:w="2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5" w:name="n181"/>
            <w:bookmarkEnd w:id="5"/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8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</w:tr>
      <w:tr w:rsidR="00A7112D" w:rsidRPr="00410EC0" w:rsidTr="00126AD8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6" w:name="n182"/>
            <w:bookmarkStart w:id="7" w:name="n187"/>
            <w:bookmarkEnd w:id="6"/>
            <w:bookmarkEnd w:id="7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Вид витрат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 перший рік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Періодичні (за рік)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за п’ять років</w:t>
            </w:r>
          </w:p>
        </w:tc>
      </w:tr>
      <w:tr w:rsidR="00A7112D" w:rsidRPr="00410EC0" w:rsidTr="00126AD8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</w:tr>
      <w:tr w:rsidR="00A7112D" w:rsidRPr="00410EC0" w:rsidTr="00126AD8">
        <w:tc>
          <w:tcPr>
            <w:tcW w:w="18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8"/>
          <w:szCs w:val="28"/>
          <w:lang w:val="uk-UA" w:eastAsia="ru-RU" w:bidi="ar-SA"/>
        </w:rPr>
      </w:pPr>
      <w:bookmarkStart w:id="8" w:name="n188"/>
      <w:bookmarkEnd w:id="8"/>
    </w:p>
    <w:p w:rsidR="00A7112D" w:rsidRPr="00410EC0" w:rsidRDefault="00A7112D" w:rsidP="00A7112D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left="5529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br w:type="page"/>
      </w:r>
      <w:bookmarkStart w:id="9" w:name="n190"/>
      <w:bookmarkEnd w:id="9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lastRenderedPageBreak/>
        <w:t xml:space="preserve">Додаток 3 </w:t>
      </w:r>
    </w:p>
    <w:p w:rsidR="00A7112D" w:rsidRPr="00410EC0" w:rsidRDefault="00A7112D" w:rsidP="00A7112D">
      <w:pPr>
        <w:tabs>
          <w:tab w:val="left" w:pos="3600"/>
        </w:tabs>
        <w:suppressAutoHyphens w:val="0"/>
        <w:autoSpaceDN/>
        <w:spacing w:line="240" w:lineRule="auto"/>
        <w:ind w:left="5529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до Методики проведення аналізу впливу регуляторного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акта</w:t>
      </w:r>
      <w:proofErr w:type="spellEnd"/>
    </w:p>
    <w:p w:rsidR="00A7112D" w:rsidRPr="00410EC0" w:rsidRDefault="00A7112D" w:rsidP="00A7112D">
      <w:pPr>
        <w:tabs>
          <w:tab w:val="left" w:pos="3600"/>
        </w:tabs>
        <w:suppressAutoHyphens w:val="0"/>
        <w:autoSpaceDN/>
        <w:spacing w:line="240" w:lineRule="auto"/>
        <w:ind w:left="5529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БЮДЖЕТНІ ВИТРАТИ</w:t>
      </w:r>
    </w:p>
    <w:p w:rsidR="00A7112D" w:rsidRPr="00410EC0" w:rsidRDefault="00A7112D" w:rsidP="00A7112D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на адміністрування регулювання для суб’єктів великого і середнього підприємництва</w:t>
      </w:r>
    </w:p>
    <w:p w:rsidR="00A7112D" w:rsidRPr="00410EC0" w:rsidRDefault="00A7112D" w:rsidP="00A7112D">
      <w:pPr>
        <w:suppressAutoHyphens w:val="0"/>
        <w:autoSpaceDN/>
        <w:spacing w:line="240" w:lineRule="auto"/>
        <w:ind w:left="2124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A7112D" w:rsidRPr="00410EC0" w:rsidRDefault="00A7112D" w:rsidP="00A7112D">
      <w:pPr>
        <w:suppressAutoHyphens w:val="0"/>
        <w:autoSpaceDN/>
        <w:spacing w:line="240" w:lineRule="auto"/>
        <w:ind w:left="2124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Міністерство освіти і науки України</w:t>
      </w:r>
    </w:p>
    <w:p w:rsidR="00A7112D" w:rsidRPr="00410EC0" w:rsidRDefault="00A7112D" w:rsidP="00A7112D">
      <w:pPr>
        <w:suppressAutoHyphens w:val="0"/>
        <w:autoSpaceDN/>
        <w:spacing w:line="240" w:lineRule="auto"/>
        <w:ind w:left="2124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4"/>
        <w:gridCol w:w="1155"/>
        <w:gridCol w:w="1449"/>
        <w:gridCol w:w="1297"/>
        <w:gridCol w:w="1489"/>
        <w:gridCol w:w="1681"/>
      </w:tblGrid>
      <w:tr w:rsidR="00A7112D" w:rsidRPr="008839EF" w:rsidTr="00126AD8">
        <w:tc>
          <w:tcPr>
            <w:tcW w:w="1277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10" w:name="n191"/>
            <w:bookmarkStart w:id="11" w:name="n192"/>
            <w:bookmarkStart w:id="12" w:name="n194"/>
            <w:bookmarkEnd w:id="10"/>
            <w:bookmarkEnd w:id="11"/>
            <w:bookmarkEnd w:id="12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08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Планові витрати часу на процедуру</w:t>
            </w:r>
          </w:p>
        </w:tc>
        <w:tc>
          <w:tcPr>
            <w:tcW w:w="763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3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84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85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адміністрування регулювання* (за рік), гривень</w:t>
            </w:r>
          </w:p>
        </w:tc>
      </w:tr>
      <w:tr w:rsidR="00A7112D" w:rsidRPr="00410EC0" w:rsidTr="00126AD8">
        <w:tc>
          <w:tcPr>
            <w:tcW w:w="1277" w:type="pct"/>
          </w:tcPr>
          <w:tbl>
            <w:tblPr>
              <w:tblW w:w="2449" w:type="dxa"/>
              <w:tblInd w:w="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72"/>
              <w:gridCol w:w="172"/>
              <w:gridCol w:w="172"/>
              <w:gridCol w:w="172"/>
              <w:gridCol w:w="20"/>
            </w:tblGrid>
            <w:tr w:rsidR="00A7112D" w:rsidRPr="008839EF" w:rsidTr="00126AD8">
              <w:tc>
                <w:tcPr>
                  <w:tcW w:w="3555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1. Облік суб’єкта господарювання що перебуває у сфері регулювання</w:t>
                  </w: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  <w:tr w:rsidR="00A7112D" w:rsidRPr="008839EF" w:rsidTr="00126AD8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2. Поточний контроль за суб’єктом господарювання що перебуває у сфері регулювання, у тому числі: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  <w:tr w:rsidR="00A7112D" w:rsidRPr="00410EC0" w:rsidTr="00126AD8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камеральні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  <w:tr w:rsidR="00A7112D" w:rsidRPr="00410EC0" w:rsidTr="00126AD8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виїзні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  <w:tr w:rsidR="00A7112D" w:rsidRPr="008839EF" w:rsidTr="00126AD8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 xml:space="preserve">3. Підготовка, затвердження та опрацювання одного окремого </w:t>
                  </w:r>
                  <w:proofErr w:type="spellStart"/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акта</w:t>
                  </w:r>
                  <w:proofErr w:type="spellEnd"/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 xml:space="preserve"> </w:t>
                  </w: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lastRenderedPageBreak/>
                    <w:t>про порушення вимог регулювання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  <w:tr w:rsidR="00A7112D" w:rsidRPr="008839EF" w:rsidTr="00126AD8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4. Реалізація одного окремого рішення щодо порушення вимог регулювання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  <w:tr w:rsidR="00A7112D" w:rsidRPr="008839EF" w:rsidTr="00126AD8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5. Оскарження одного окремого рішення суб’єктами господарювання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  <w:tr w:rsidR="00A7112D" w:rsidRPr="008839EF" w:rsidTr="00126AD8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>6. Підготовка звітності за результатами регулювання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  <w:tr w:rsidR="00A7112D" w:rsidRPr="008839EF" w:rsidTr="00126AD8">
              <w:tc>
                <w:tcPr>
                  <w:tcW w:w="355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  <w:r w:rsidRPr="00410EC0"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  <w:t xml:space="preserve">7. Інші адміністративні процедури 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  <w:tc>
                <w:tcPr>
                  <w:tcW w:w="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7112D" w:rsidRPr="00410EC0" w:rsidRDefault="00A7112D" w:rsidP="00126AD8">
                  <w:pPr>
                    <w:suppressAutoHyphens w:val="0"/>
                    <w:autoSpaceDN/>
                    <w:spacing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val="uk-UA" w:eastAsia="uk-UA" w:bidi="ar-SA"/>
                    </w:rPr>
                  </w:pPr>
                </w:p>
              </w:tc>
            </w:tr>
          </w:tbl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Облік суб’єкта господарювання, що перебуває у сфері регулювання</w:t>
            </w:r>
          </w:p>
        </w:tc>
        <w:tc>
          <w:tcPr>
            <w:tcW w:w="608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 xml:space="preserve">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-  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- 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</w:t>
            </w:r>
          </w:p>
        </w:tc>
        <w:tc>
          <w:tcPr>
            <w:tcW w:w="763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 -</w:t>
            </w:r>
          </w:p>
        </w:tc>
        <w:tc>
          <w:tcPr>
            <w:tcW w:w="683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784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885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 xml:space="preserve">  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      -</w:t>
            </w: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        -</w:t>
            </w:r>
          </w:p>
        </w:tc>
      </w:tr>
      <w:tr w:rsidR="00A7112D" w:rsidRPr="00410EC0" w:rsidTr="00126AD8">
        <w:tc>
          <w:tcPr>
            <w:tcW w:w="1277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Разом за рік</w:t>
            </w:r>
          </w:p>
        </w:tc>
        <w:tc>
          <w:tcPr>
            <w:tcW w:w="608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763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683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A7112D" w:rsidRPr="00410EC0" w:rsidTr="00126AD8">
        <w:tc>
          <w:tcPr>
            <w:tcW w:w="1277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Сумарно за п’ять років</w:t>
            </w:r>
          </w:p>
        </w:tc>
        <w:tc>
          <w:tcPr>
            <w:tcW w:w="608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763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683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</w:tcPr>
          <w:p w:rsidR="00A7112D" w:rsidRPr="00410EC0" w:rsidRDefault="00A7112D" w:rsidP="00126AD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-.</w:t>
            </w:r>
          </w:p>
        </w:tc>
      </w:tr>
    </w:tbl>
    <w:p w:rsidR="00A7112D" w:rsidRPr="00410EC0" w:rsidRDefault="00A7112D" w:rsidP="00A7112D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13" w:name="n195"/>
      <w:bookmarkEnd w:id="13"/>
    </w:p>
    <w:p w:rsidR="00A7112D" w:rsidRPr="00DB4C20" w:rsidRDefault="00A7112D" w:rsidP="00A7112D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Витрати з державного бюджету не передбачені, оскільки проектом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акта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передбачено </w:t>
      </w:r>
      <w:r w:rsidR="00CD116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лише 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затвердження </w:t>
      </w:r>
      <w:r w:rsidR="00DB4C20"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>П</w:t>
      </w:r>
      <w:r w:rsidR="00DB4C2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ереліку інформації, яка повинна міститися в документах про фахову </w:t>
      </w:r>
      <w:proofErr w:type="spellStart"/>
      <w:r w:rsidR="00DB4C2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DB4C20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освіту та </w:t>
      </w:r>
      <w:r w:rsidR="00DB4C20" w:rsidRPr="00DB4C2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затвердження Вимог до форми та/або змісту документів про фахову </w:t>
      </w:r>
      <w:proofErr w:type="spellStart"/>
      <w:r w:rsidR="00DB4C20" w:rsidRPr="00DB4C2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передвищу</w:t>
      </w:r>
      <w:proofErr w:type="spellEnd"/>
      <w:r w:rsidR="00DB4C20" w:rsidRPr="00DB4C2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освіти</w:t>
      </w:r>
      <w:r w:rsidRPr="00DB4C2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.</w:t>
      </w:r>
    </w:p>
    <w:sectPr w:rsidR="00A7112D" w:rsidRPr="00DB4C20" w:rsidSect="00E524B7">
      <w:pgSz w:w="11906" w:h="16838"/>
      <w:pgMar w:top="1134" w:right="991" w:bottom="1134" w:left="141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A8" w:rsidRDefault="003F6DA8">
      <w:pPr>
        <w:spacing w:line="240" w:lineRule="auto"/>
      </w:pPr>
      <w:r>
        <w:separator/>
      </w:r>
    </w:p>
  </w:endnote>
  <w:endnote w:type="continuationSeparator" w:id="0">
    <w:p w:rsidR="003F6DA8" w:rsidRDefault="003F6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A8" w:rsidRDefault="003F6DA8">
      <w:pPr>
        <w:spacing w:line="240" w:lineRule="auto"/>
      </w:pPr>
      <w:r>
        <w:separator/>
      </w:r>
    </w:p>
  </w:footnote>
  <w:footnote w:type="continuationSeparator" w:id="0">
    <w:p w:rsidR="003F6DA8" w:rsidRDefault="003F6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0D" w:rsidRPr="00530588" w:rsidRDefault="003405D0">
    <w:pPr>
      <w:pStyle w:val="a8"/>
      <w:jc w:val="right"/>
      <w:rPr>
        <w:rFonts w:ascii="Times New Roman" w:hAnsi="Times New Roman" w:cs="Times New Roman"/>
      </w:rPr>
    </w:pPr>
    <w:r w:rsidRPr="00530588">
      <w:rPr>
        <w:rFonts w:ascii="Times New Roman" w:hAnsi="Times New Roman" w:cs="Times New Roman"/>
      </w:rPr>
      <w:fldChar w:fldCharType="begin"/>
    </w:r>
    <w:r w:rsidRPr="00530588">
      <w:rPr>
        <w:rFonts w:ascii="Times New Roman" w:hAnsi="Times New Roman" w:cs="Times New Roman"/>
      </w:rPr>
      <w:instrText>PAGE   \* MERGEFORMAT</w:instrText>
    </w:r>
    <w:r w:rsidRPr="00530588">
      <w:rPr>
        <w:rFonts w:ascii="Times New Roman" w:hAnsi="Times New Roman" w:cs="Times New Roman"/>
      </w:rPr>
      <w:fldChar w:fldCharType="separate"/>
    </w:r>
    <w:r w:rsidR="008839EF" w:rsidRPr="008839EF">
      <w:rPr>
        <w:rFonts w:ascii="Times New Roman" w:hAnsi="Times New Roman" w:cs="Times New Roman"/>
        <w:noProof/>
        <w:lang w:val="ru-RU"/>
      </w:rPr>
      <w:t>11</w:t>
    </w:r>
    <w:r w:rsidRPr="00530588">
      <w:rPr>
        <w:rFonts w:ascii="Times New Roman" w:hAnsi="Times New Roman" w:cs="Times New Roman"/>
      </w:rPr>
      <w:fldChar w:fldCharType="end"/>
    </w:r>
  </w:p>
  <w:p w:rsidR="00AB420D" w:rsidRDefault="003F6D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2D"/>
    <w:rsid w:val="0030316E"/>
    <w:rsid w:val="003405D0"/>
    <w:rsid w:val="0034061D"/>
    <w:rsid w:val="003A2849"/>
    <w:rsid w:val="003F6DA8"/>
    <w:rsid w:val="00410EC0"/>
    <w:rsid w:val="0041706A"/>
    <w:rsid w:val="00550044"/>
    <w:rsid w:val="00587A3D"/>
    <w:rsid w:val="0060655D"/>
    <w:rsid w:val="00705127"/>
    <w:rsid w:val="007242AA"/>
    <w:rsid w:val="00781033"/>
    <w:rsid w:val="007B095B"/>
    <w:rsid w:val="007B38D0"/>
    <w:rsid w:val="008839EF"/>
    <w:rsid w:val="008C565B"/>
    <w:rsid w:val="008F5743"/>
    <w:rsid w:val="00A1754F"/>
    <w:rsid w:val="00A7112D"/>
    <w:rsid w:val="00B56407"/>
    <w:rsid w:val="00BC4A6F"/>
    <w:rsid w:val="00CC511C"/>
    <w:rsid w:val="00CD116E"/>
    <w:rsid w:val="00D05661"/>
    <w:rsid w:val="00D12AD2"/>
    <w:rsid w:val="00D3346A"/>
    <w:rsid w:val="00DB4C20"/>
    <w:rsid w:val="00E60AAD"/>
    <w:rsid w:val="00E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DF608-9EB6-413F-8123-AED429B7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112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djustRightInd w:val="0"/>
      <w:jc w:val="center"/>
      <w:outlineLvl w:val="6"/>
    </w:pPr>
    <w:rPr>
      <w:rFonts w:ascii="Times New Roman CYR" w:hAnsi="Times New Roman CYR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djustRightInd w:val="0"/>
      <w:ind w:left="720" w:firstLine="720"/>
      <w:jc w:val="center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A7112D"/>
  </w:style>
  <w:style w:type="character" w:customStyle="1" w:styleId="a9">
    <w:name w:val="Верхній колонтитул Знак"/>
    <w:basedOn w:val="a0"/>
    <w:link w:val="a8"/>
    <w:uiPriority w:val="99"/>
    <w:rsid w:val="00A7112D"/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character" w:customStyle="1" w:styleId="FontStyle23">
    <w:name w:val="Font Style23"/>
    <w:uiPriority w:val="99"/>
    <w:rsid w:val="00A7112D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A7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uk-UA"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rsid w:val="00A7112D"/>
    <w:rPr>
      <w:rFonts w:ascii="Courier New" w:eastAsia="Times New Roman" w:hAnsi="Courier New" w:cs="Courier New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8343</Words>
  <Characters>4756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4</cp:revision>
  <dcterms:created xsi:type="dcterms:W3CDTF">2020-12-28T13:09:00Z</dcterms:created>
  <dcterms:modified xsi:type="dcterms:W3CDTF">2021-01-26T11:03:00Z</dcterms:modified>
</cp:coreProperties>
</file>