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2E" w:rsidRPr="00EE133B" w:rsidRDefault="0099112E" w:rsidP="00EE133B">
      <w:pPr>
        <w:pStyle w:val="10"/>
        <w:keepNext/>
        <w:keepLines/>
        <w:shd w:val="clear" w:color="auto" w:fill="auto"/>
        <w:tabs>
          <w:tab w:val="left" w:pos="851"/>
        </w:tabs>
        <w:spacing w:line="264" w:lineRule="auto"/>
        <w:ind w:firstLine="0"/>
      </w:pPr>
      <w:bookmarkStart w:id="0" w:name="bookmark0"/>
      <w:bookmarkStart w:id="1" w:name="_GoBack"/>
      <w:bookmarkEnd w:id="1"/>
      <w:r w:rsidRPr="00EE133B">
        <w:t>Аналіз</w:t>
      </w:r>
      <w:bookmarkEnd w:id="0"/>
    </w:p>
    <w:p w:rsidR="0099112E" w:rsidRPr="00EE133B" w:rsidRDefault="0099112E" w:rsidP="00EE133B">
      <w:pPr>
        <w:pStyle w:val="a3"/>
        <w:spacing w:line="264" w:lineRule="auto"/>
        <w:jc w:val="center"/>
        <w:rPr>
          <w:b/>
          <w:color w:val="auto"/>
          <w:sz w:val="28"/>
          <w:szCs w:val="28"/>
        </w:rPr>
      </w:pPr>
      <w:r w:rsidRPr="00EE133B">
        <w:rPr>
          <w:b/>
          <w:color w:val="auto"/>
          <w:sz w:val="28"/>
          <w:szCs w:val="28"/>
        </w:rPr>
        <w:t xml:space="preserve">регуляторного впливу </w:t>
      </w:r>
      <w:r w:rsidR="00B57D5A" w:rsidRPr="00EE133B">
        <w:rPr>
          <w:b/>
          <w:color w:val="auto"/>
          <w:sz w:val="28"/>
          <w:szCs w:val="28"/>
        </w:rPr>
        <w:t>проєк</w:t>
      </w:r>
      <w:r w:rsidRPr="00EE133B">
        <w:rPr>
          <w:b/>
          <w:color w:val="auto"/>
          <w:sz w:val="28"/>
          <w:szCs w:val="28"/>
        </w:rPr>
        <w:t xml:space="preserve">ту наказу Міністерства освіти і науки України </w:t>
      </w:r>
      <w:r w:rsidR="009075E0" w:rsidRPr="00EE133B">
        <w:rPr>
          <w:b/>
          <w:color w:val="auto"/>
          <w:sz w:val="28"/>
          <w:szCs w:val="28"/>
        </w:rPr>
        <w:t>«</w:t>
      </w:r>
      <w:r w:rsidR="00765421" w:rsidRPr="00EE133B">
        <w:rPr>
          <w:b/>
          <w:bCs/>
          <w:color w:val="auto"/>
          <w:sz w:val="28"/>
          <w:szCs w:val="28"/>
        </w:rPr>
        <w:t>Про затвердження Порядку надання грифів навчальній літературі та навчальним програмам</w:t>
      </w:r>
      <w:r w:rsidR="009075E0" w:rsidRPr="00EE133B">
        <w:rPr>
          <w:b/>
          <w:color w:val="auto"/>
          <w:sz w:val="28"/>
          <w:szCs w:val="28"/>
        </w:rPr>
        <w:t>»</w:t>
      </w:r>
    </w:p>
    <w:p w:rsidR="0099112E" w:rsidRPr="00EE133B" w:rsidRDefault="0099112E" w:rsidP="00EE133B">
      <w:pPr>
        <w:pStyle w:val="32"/>
        <w:shd w:val="clear" w:color="auto" w:fill="auto"/>
        <w:tabs>
          <w:tab w:val="left" w:pos="851"/>
        </w:tabs>
        <w:spacing w:after="0" w:line="264" w:lineRule="auto"/>
        <w:ind w:firstLine="0"/>
        <w:jc w:val="center"/>
      </w:pPr>
    </w:p>
    <w:p w:rsidR="00C8780D" w:rsidRPr="00EE133B" w:rsidRDefault="00C8780D" w:rsidP="00EE133B">
      <w:pPr>
        <w:pStyle w:val="32"/>
        <w:shd w:val="clear" w:color="auto" w:fill="auto"/>
        <w:tabs>
          <w:tab w:val="left" w:pos="851"/>
        </w:tabs>
        <w:spacing w:after="0" w:line="264" w:lineRule="auto"/>
        <w:ind w:firstLine="0"/>
        <w:jc w:val="center"/>
      </w:pPr>
    </w:p>
    <w:p w:rsidR="0099112E" w:rsidRPr="00EE133B" w:rsidRDefault="002312C9" w:rsidP="00C65DF9">
      <w:pPr>
        <w:pStyle w:val="10"/>
        <w:keepNext/>
        <w:keepLines/>
        <w:shd w:val="clear" w:color="auto" w:fill="auto"/>
        <w:tabs>
          <w:tab w:val="left" w:pos="851"/>
          <w:tab w:val="left" w:pos="3674"/>
        </w:tabs>
        <w:spacing w:line="264" w:lineRule="auto"/>
        <w:ind w:firstLine="0"/>
      </w:pPr>
      <w:bookmarkStart w:id="2" w:name="bookmark1"/>
      <w:r>
        <w:t>І. </w:t>
      </w:r>
      <w:r w:rsidR="0099112E" w:rsidRPr="00EE133B">
        <w:t>Визначення проблеми</w:t>
      </w:r>
      <w:bookmarkEnd w:id="2"/>
    </w:p>
    <w:p w:rsidR="004468B8" w:rsidRPr="00EE133B" w:rsidRDefault="004468B8" w:rsidP="00C65DF9">
      <w:pPr>
        <w:pStyle w:val="10"/>
        <w:keepNext/>
        <w:keepLines/>
        <w:shd w:val="clear" w:color="auto" w:fill="auto"/>
        <w:tabs>
          <w:tab w:val="left" w:pos="851"/>
          <w:tab w:val="left" w:pos="3674"/>
        </w:tabs>
        <w:spacing w:line="264" w:lineRule="auto"/>
        <w:ind w:firstLine="0"/>
        <w:jc w:val="both"/>
      </w:pPr>
    </w:p>
    <w:p w:rsidR="009D17D4" w:rsidRPr="00EE133B" w:rsidRDefault="009D17D4" w:rsidP="00C65DF9">
      <w:pPr>
        <w:pStyle w:val="a3"/>
        <w:tabs>
          <w:tab w:val="left" w:pos="851"/>
        </w:tabs>
        <w:spacing w:line="264" w:lineRule="auto"/>
        <w:ind w:firstLine="709"/>
        <w:jc w:val="both"/>
        <w:rPr>
          <w:rFonts w:eastAsia="Times New Roman"/>
          <w:color w:val="auto"/>
          <w:sz w:val="28"/>
          <w:szCs w:val="28"/>
          <w:lang w:bidi="ar-SA"/>
        </w:rPr>
      </w:pPr>
      <w:r w:rsidRPr="00EE133B">
        <w:rPr>
          <w:rFonts w:eastAsia="Calibri"/>
          <w:sz w:val="28"/>
          <w:szCs w:val="28"/>
          <w:lang w:eastAsia="en-US"/>
        </w:rPr>
        <w:t>Реформування змісту освіти передбачає розроблення принципово нових засобів навчання, що ґрунтуються на впровадженні компетентнісного та особистісно-орієнтованого підход</w:t>
      </w:r>
      <w:r w:rsidR="006210EE" w:rsidRPr="00EE133B">
        <w:rPr>
          <w:rFonts w:eastAsia="Calibri"/>
          <w:sz w:val="28"/>
          <w:szCs w:val="28"/>
          <w:lang w:eastAsia="en-US"/>
        </w:rPr>
        <w:t>ів</w:t>
      </w:r>
      <w:r w:rsidRPr="00EE133B">
        <w:rPr>
          <w:rFonts w:eastAsia="Calibri"/>
          <w:sz w:val="28"/>
          <w:szCs w:val="28"/>
          <w:lang w:eastAsia="en-US"/>
        </w:rPr>
        <w:t xml:space="preserve"> до навчання, вікових особливостях психофізичного розвитку учнів (вихованців)</w:t>
      </w:r>
      <w:r w:rsidR="00EE133B" w:rsidRPr="00EE133B">
        <w:rPr>
          <w:rFonts w:eastAsia="Calibri"/>
          <w:sz w:val="28"/>
          <w:szCs w:val="28"/>
          <w:lang w:eastAsia="en-US"/>
        </w:rPr>
        <w:t xml:space="preserve">. </w:t>
      </w:r>
      <w:r w:rsidRPr="00EE133B">
        <w:rPr>
          <w:rFonts w:eastAsia="Calibri"/>
          <w:sz w:val="28"/>
          <w:szCs w:val="28"/>
          <w:lang w:eastAsia="en-US"/>
        </w:rPr>
        <w:t xml:space="preserve"> </w:t>
      </w:r>
    </w:p>
    <w:p w:rsidR="009D17D4" w:rsidRPr="00EE133B" w:rsidRDefault="009D17D4" w:rsidP="00C65DF9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3B">
        <w:rPr>
          <w:rFonts w:ascii="Times New Roman" w:hAnsi="Times New Roman" w:cs="Times New Roman"/>
          <w:sz w:val="28"/>
          <w:szCs w:val="28"/>
        </w:rPr>
        <w:t xml:space="preserve">Відповідно до частини першої статті 75 Закону України «Про освіту» центральний орган виконавчої влади у сфері освіти і науки здійснює наукове і методичне забезпечення освіти, зокрема організовує видання підручників (посібників), у тому числі електронних. </w:t>
      </w:r>
    </w:p>
    <w:p w:rsidR="00EE133B" w:rsidRPr="00EE133B" w:rsidRDefault="00EE133B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133B">
        <w:rPr>
          <w:rFonts w:ascii="Times New Roman" w:hAnsi="Times New Roman" w:cs="Times New Roman"/>
          <w:color w:val="auto"/>
          <w:sz w:val="28"/>
          <w:szCs w:val="28"/>
        </w:rPr>
        <w:t>Розпорядженням Кабінету Міністрів України від 14 грудня 2016 року № 988 схвалено Концепцію реалізації державної політики у сфері реформування загальної середньої освіти «Нова українська школа» на період до 2029 року, метою якої є забезпечення проведення докорінної та системної реформи загальної середньої освіти. Планом заходів на 2017-2029 роки щодо запровадження зазначеної концепції, затвердженим розпорядженням Кабінету Міністрів України від 13 грудня 2017 року № 903-р, передбачено ряд заходів щодо реформування загальної середньої освіти, зокрема: створення нового освітнього середовища, облаштування закладів освіти обладнанням і дидактичними матеріалами, необхідними для впровадження компетентнісного навчання, підготовка та видання підручників (у тому числі електронних), розроблення інструментів для оцінювання і підтвердження результатів навчання та ін.</w:t>
      </w:r>
    </w:p>
    <w:p w:rsidR="009D17D4" w:rsidRPr="00EE133B" w:rsidRDefault="009D17D4" w:rsidP="00C65DF9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3B">
        <w:rPr>
          <w:rFonts w:ascii="Times New Roman" w:hAnsi="Times New Roman" w:cs="Times New Roman"/>
          <w:sz w:val="28"/>
          <w:szCs w:val="28"/>
        </w:rPr>
        <w:t xml:space="preserve">У сучасних умовах реформування освіти першочергова увага </w:t>
      </w:r>
      <w:r w:rsidR="008F2664">
        <w:rPr>
          <w:rFonts w:ascii="Times New Roman" w:hAnsi="Times New Roman" w:cs="Times New Roman"/>
          <w:sz w:val="28"/>
          <w:szCs w:val="28"/>
        </w:rPr>
        <w:t xml:space="preserve">має </w:t>
      </w:r>
      <w:r w:rsidRPr="00EE133B">
        <w:rPr>
          <w:rFonts w:ascii="Times New Roman" w:hAnsi="Times New Roman" w:cs="Times New Roman"/>
          <w:sz w:val="28"/>
          <w:szCs w:val="28"/>
        </w:rPr>
        <w:t>приділят</w:t>
      </w:r>
      <w:r w:rsidR="008F2664">
        <w:rPr>
          <w:rFonts w:ascii="Times New Roman" w:hAnsi="Times New Roman" w:cs="Times New Roman"/>
          <w:sz w:val="28"/>
          <w:szCs w:val="28"/>
        </w:rPr>
        <w:t>ися</w:t>
      </w:r>
      <w:r w:rsidRPr="00EE133B">
        <w:rPr>
          <w:rFonts w:ascii="Times New Roman" w:hAnsi="Times New Roman" w:cs="Times New Roman"/>
          <w:sz w:val="28"/>
          <w:szCs w:val="28"/>
        </w:rPr>
        <w:t xml:space="preserve"> розробленню нових навчальних програм, які </w:t>
      </w:r>
      <w:r w:rsidR="008F2664">
        <w:rPr>
          <w:rFonts w:ascii="Times New Roman" w:hAnsi="Times New Roman" w:cs="Times New Roman"/>
          <w:sz w:val="28"/>
          <w:szCs w:val="28"/>
        </w:rPr>
        <w:t>повинні</w:t>
      </w:r>
      <w:r w:rsidRPr="00EE133B">
        <w:rPr>
          <w:rFonts w:ascii="Times New Roman" w:hAnsi="Times New Roman" w:cs="Times New Roman"/>
          <w:sz w:val="28"/>
          <w:szCs w:val="28"/>
        </w:rPr>
        <w:t xml:space="preserve"> відобразити ті методичні новації, що з’явилися останнім часом у педагогічній науці та практиці вчителів, а також удосконаленню змісту, форм і методів навчання та виховання на основі компетентнісного і діяльнісного підходів.</w:t>
      </w:r>
    </w:p>
    <w:p w:rsidR="008F2664" w:rsidRDefault="008F2664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Крім того, с</w:t>
      </w:r>
      <w:r w:rsidR="006210EE" w:rsidRPr="00EE133B">
        <w:rPr>
          <w:rFonts w:ascii="Times New Roman" w:hAnsi="Times New Roman" w:cs="Times New Roman"/>
          <w:color w:val="auto"/>
          <w:sz w:val="28"/>
          <w:szCs w:val="28"/>
        </w:rPr>
        <w:t xml:space="preserve">учасне навчально-методичне забезпечення (навчальна література та навчальні програми) має відповідати стандартам освіти, адже воно є провідним засобом навчання у закладах освіти. Підручники та навчальні посібники виступають багатофункціональним джерелом знань, засобом їх усвідомленого засвоєння на різних етапах навчання. </w:t>
      </w:r>
    </w:p>
    <w:p w:rsidR="006210EE" w:rsidRDefault="008F2664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Таким чином, існує проблема створення та оцінки навчально-методичного забезпечення, на якому має базуватися організація освітнього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процесу в закладах дошкільної, загальної середньої, спеціалізованої та професійної (професійно-технічної) освіти.  </w:t>
      </w:r>
      <w:r w:rsidR="006210EE" w:rsidRPr="00EE133B">
        <w:rPr>
          <w:rFonts w:ascii="Times New Roman" w:hAnsi="Times New Roman" w:cs="Times New Roman"/>
          <w:color w:val="auto"/>
          <w:sz w:val="28"/>
          <w:szCs w:val="28"/>
        </w:rPr>
        <w:t>Належний науковий і методичний рівень, а також відповідність віковим особливостям учнів навчальних видань має забезпечити доступний програмний матеріал, максимально допомогти кожній дитині оволодіти новими знаннями, засвоїти, закріпити і навчити застосовувати їх у практичній діяльності.</w:t>
      </w:r>
    </w:p>
    <w:p w:rsidR="006210EE" w:rsidRPr="00EE133B" w:rsidRDefault="009D17D4" w:rsidP="00C65DF9">
      <w:pPr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133B">
        <w:rPr>
          <w:rFonts w:ascii="Times New Roman" w:hAnsi="Times New Roman" w:cs="Times New Roman"/>
          <w:sz w:val="28"/>
          <w:szCs w:val="28"/>
        </w:rPr>
        <w:t xml:space="preserve">Отже, з метою підвищення якості освіти шляхом створення та видання для різних складників освіти на належному науково-методичному, психолого-педагогічному, художньо-технічному рівні сучасного навчально-методичного забезпечення слід впровадити новий механізм оцінки </w:t>
      </w:r>
      <w:r w:rsidR="006210EE" w:rsidRPr="00EE133B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EE133B">
        <w:rPr>
          <w:rFonts w:ascii="Times New Roman" w:hAnsi="Times New Roman" w:cs="Times New Roman"/>
          <w:sz w:val="28"/>
          <w:szCs w:val="28"/>
        </w:rPr>
        <w:t xml:space="preserve">якості. </w:t>
      </w:r>
      <w:r w:rsidR="006210EE" w:rsidRPr="00EE133B">
        <w:rPr>
          <w:rFonts w:ascii="Times New Roman" w:hAnsi="Times New Roman" w:cs="Times New Roman"/>
          <w:sz w:val="28"/>
          <w:szCs w:val="28"/>
        </w:rPr>
        <w:t xml:space="preserve">Цьому сприятиме </w:t>
      </w:r>
      <w:r w:rsidR="006210EE" w:rsidRPr="00EE133B">
        <w:rPr>
          <w:rFonts w:ascii="Times New Roman" w:hAnsi="Times New Roman" w:cs="Times New Roman"/>
          <w:color w:val="auto"/>
          <w:sz w:val="28"/>
          <w:szCs w:val="28"/>
        </w:rPr>
        <w:t xml:space="preserve">впровадження удосконаленої процедури надання грифів навчальній літературі та навчальним програмам. </w:t>
      </w:r>
    </w:p>
    <w:p w:rsidR="000813A7" w:rsidRPr="00EE133B" w:rsidRDefault="000813A7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n60"/>
      <w:bookmarkEnd w:id="3"/>
    </w:p>
    <w:p w:rsidR="0099112E" w:rsidRPr="00EE133B" w:rsidRDefault="0099112E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13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Основні групи, на які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7"/>
        <w:gridCol w:w="2703"/>
        <w:gridCol w:w="2448"/>
      </w:tblGrid>
      <w:tr w:rsidR="00B938CE" w:rsidRPr="00EE133B" w:rsidTr="009075E0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Групи (підгрупи)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Так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Ні</w:t>
            </w:r>
          </w:p>
        </w:tc>
      </w:tr>
      <w:tr w:rsidR="00B938CE" w:rsidRPr="00EE133B" w:rsidTr="009075E0">
        <w:trPr>
          <w:trHeight w:val="258"/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Громадяни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pStyle w:val="a5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E13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</w:p>
        </w:tc>
      </w:tr>
      <w:tr w:rsidR="00B938CE" w:rsidRPr="00EE133B" w:rsidTr="009075E0">
        <w:trPr>
          <w:trHeight w:val="223"/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Держава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pStyle w:val="a5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E13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</w:tr>
      <w:tr w:rsidR="00B938CE" w:rsidRPr="00EE133B" w:rsidTr="009075E0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Суб</w:t>
            </w:r>
            <w:r w:rsidR="00B9727C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єкти господарювання,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pStyle w:val="a5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E13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</w:tr>
      <w:tr w:rsidR="0099112E" w:rsidRPr="00EE133B" w:rsidTr="009075E0">
        <w:trPr>
          <w:tblCellSpacing w:w="22" w:type="dxa"/>
        </w:trPr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 тому числі суб</w:t>
            </w:r>
            <w:r w:rsidR="00B9727C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єкти малого підприємництва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pStyle w:val="a5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E133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</w:tr>
    </w:tbl>
    <w:p w:rsidR="0022435C" w:rsidRPr="00EE133B" w:rsidRDefault="0022435C" w:rsidP="00C65DF9">
      <w:pPr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435C" w:rsidRPr="00EE133B" w:rsidRDefault="0099112E" w:rsidP="00C65DF9">
      <w:pPr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133B">
        <w:rPr>
          <w:rFonts w:ascii="Times New Roman" w:hAnsi="Times New Roman" w:cs="Times New Roman"/>
          <w:color w:val="auto"/>
          <w:sz w:val="28"/>
          <w:szCs w:val="28"/>
        </w:rPr>
        <w:t xml:space="preserve">Метою прийняття наказу є </w:t>
      </w:r>
      <w:r w:rsidR="000B3D11" w:rsidRPr="00EE13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удосконалення правового регулювання механізму </w:t>
      </w:r>
      <w:r w:rsidR="000B3D11" w:rsidRPr="00EE133B">
        <w:rPr>
          <w:rFonts w:ascii="Times New Roman" w:hAnsi="Times New Roman" w:cs="Times New Roman"/>
          <w:color w:val="auto"/>
          <w:sz w:val="28"/>
          <w:szCs w:val="28"/>
        </w:rPr>
        <w:t>надання грифів навчальній літературі та навчальним програмам та рекомендацій щодо використання їх в освітньому процесі</w:t>
      </w:r>
      <w:r w:rsidR="0022435C" w:rsidRPr="00EE13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112E" w:rsidRPr="00EE133B" w:rsidRDefault="0099112E" w:rsidP="00C65DF9">
      <w:pPr>
        <w:pStyle w:val="a8"/>
        <w:spacing w:before="0" w:line="264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EE133B">
        <w:rPr>
          <w:rFonts w:ascii="Times New Roman" w:hAnsi="Times New Roman"/>
          <w:sz w:val="28"/>
          <w:szCs w:val="28"/>
          <w:shd w:val="clear" w:color="auto" w:fill="FFFFFF"/>
        </w:rPr>
        <w:t xml:space="preserve">Окреслена проблема не може бути розв’язана за допомогою ринкових механізмів, оскільки саме держава взяла на себе обов’язок </w:t>
      </w:r>
      <w:r w:rsidR="00E9032F" w:rsidRPr="00EE133B">
        <w:rPr>
          <w:rFonts w:ascii="Times New Roman" w:hAnsi="Times New Roman"/>
          <w:sz w:val="28"/>
          <w:szCs w:val="28"/>
          <w:shd w:val="clear" w:color="auto" w:fill="FFFFFF"/>
        </w:rPr>
        <w:t xml:space="preserve">щодо </w:t>
      </w:r>
      <w:r w:rsidR="00E9032F" w:rsidRPr="00EE133B">
        <w:rPr>
          <w:rFonts w:ascii="Times New Roman" w:hAnsi="Times New Roman"/>
          <w:sz w:val="28"/>
          <w:szCs w:val="28"/>
        </w:rPr>
        <w:t xml:space="preserve">забезпечення якості освіти та освітньої діяльності, що </w:t>
      </w:r>
      <w:r w:rsidRPr="00EE133B">
        <w:rPr>
          <w:rFonts w:ascii="Times New Roman" w:hAnsi="Times New Roman"/>
          <w:sz w:val="28"/>
          <w:szCs w:val="28"/>
        </w:rPr>
        <w:t>пов’язан</w:t>
      </w:r>
      <w:r w:rsidR="00E9032F" w:rsidRPr="00EE133B">
        <w:rPr>
          <w:rFonts w:ascii="Times New Roman" w:hAnsi="Times New Roman"/>
          <w:sz w:val="28"/>
          <w:szCs w:val="28"/>
        </w:rPr>
        <w:t>о із розроблення сучасної</w:t>
      </w:r>
      <w:r w:rsidRPr="00EE133B">
        <w:rPr>
          <w:rFonts w:ascii="Times New Roman" w:hAnsi="Times New Roman"/>
          <w:sz w:val="28"/>
          <w:szCs w:val="28"/>
        </w:rPr>
        <w:t xml:space="preserve"> </w:t>
      </w:r>
      <w:r w:rsidR="00E9032F" w:rsidRPr="00EE133B">
        <w:rPr>
          <w:rFonts w:ascii="Times New Roman" w:hAnsi="Times New Roman"/>
          <w:sz w:val="28"/>
          <w:szCs w:val="28"/>
        </w:rPr>
        <w:t xml:space="preserve">навчально-методичної літератури, </w:t>
      </w:r>
      <w:r w:rsidR="000B3D11" w:rsidRPr="00EE133B">
        <w:rPr>
          <w:rFonts w:ascii="Times New Roman" w:hAnsi="Times New Roman"/>
          <w:sz w:val="28"/>
          <w:szCs w:val="28"/>
        </w:rPr>
        <w:t>впровадженням нових технологій навчання</w:t>
      </w:r>
      <w:r w:rsidR="00E9032F" w:rsidRPr="00EE133B">
        <w:rPr>
          <w:rFonts w:ascii="Times New Roman" w:hAnsi="Times New Roman"/>
          <w:sz w:val="28"/>
          <w:szCs w:val="28"/>
        </w:rPr>
        <w:t xml:space="preserve">. Отже, постає питання щодо </w:t>
      </w:r>
      <w:r w:rsidRPr="00EE133B">
        <w:rPr>
          <w:rFonts w:ascii="Times New Roman" w:hAnsi="Times New Roman"/>
          <w:sz w:val="28"/>
          <w:szCs w:val="28"/>
        </w:rPr>
        <w:t>затвердженням (на рівні нормативно-правового акта) прозорої та чіткої процедури</w:t>
      </w:r>
      <w:r w:rsidR="000B3D11" w:rsidRPr="00EE133B">
        <w:rPr>
          <w:rFonts w:ascii="Times New Roman" w:hAnsi="Times New Roman"/>
          <w:sz w:val="28"/>
          <w:szCs w:val="28"/>
        </w:rPr>
        <w:t xml:space="preserve"> надання грифів навчальній літературі та навчальним програмам</w:t>
      </w:r>
      <w:r w:rsidRPr="00EE133B">
        <w:rPr>
          <w:rFonts w:ascii="Times New Roman" w:hAnsi="Times New Roman"/>
          <w:sz w:val="28"/>
          <w:szCs w:val="28"/>
        </w:rPr>
        <w:t>.</w:t>
      </w:r>
    </w:p>
    <w:p w:rsidR="0099112E" w:rsidRPr="00EE133B" w:rsidRDefault="0099112E" w:rsidP="00C65DF9">
      <w:pPr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13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Поряд із цим, </w:t>
      </w:r>
      <w:r w:rsidR="00C55A7C" w:rsidRPr="00EE13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вищезазначена</w:t>
      </w:r>
      <w:r w:rsidRPr="00EE13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проблема не може бути розв’язана за допомогою діючих регуляторних актів, з огляду на те, що чинні положення </w:t>
      </w:r>
      <w:r w:rsidR="0022435C" w:rsidRPr="00EE13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базуються на застарілих нормах, а механізм реалізації не врахову</w:t>
      </w:r>
      <w:r w:rsidR="007F0595" w:rsidRPr="00EE13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є</w:t>
      </w:r>
      <w:r w:rsidR="0022435C" w:rsidRPr="00EE13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сучасні тенденції, зокрема </w:t>
      </w:r>
      <w:r w:rsidR="00A32062" w:rsidRPr="00EE13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щодо </w:t>
      </w:r>
      <w:r w:rsidR="007F0595" w:rsidRPr="00EE13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розвитку цифрового суспільства, впровадження е-послуг, що надаються в електронній формі</w:t>
      </w:r>
      <w:r w:rsidRPr="00EE13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тощо.</w:t>
      </w:r>
    </w:p>
    <w:p w:rsidR="005042AB" w:rsidRDefault="005042AB" w:rsidP="00C65DF9">
      <w:pPr>
        <w:tabs>
          <w:tab w:val="left" w:pos="851"/>
        </w:tabs>
        <w:autoSpaceDE w:val="0"/>
        <w:autoSpaceDN w:val="0"/>
        <w:adjustRightInd w:val="0"/>
        <w:spacing w:line="264" w:lineRule="auto"/>
        <w:ind w:hanging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F2664" w:rsidRPr="00EE133B" w:rsidRDefault="008F2664" w:rsidP="00C65DF9">
      <w:pPr>
        <w:tabs>
          <w:tab w:val="left" w:pos="851"/>
        </w:tabs>
        <w:autoSpaceDE w:val="0"/>
        <w:autoSpaceDN w:val="0"/>
        <w:adjustRightInd w:val="0"/>
        <w:spacing w:line="264" w:lineRule="auto"/>
        <w:ind w:hanging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9112E" w:rsidRPr="00EE133B" w:rsidRDefault="0099112E" w:rsidP="00C65DF9">
      <w:pPr>
        <w:tabs>
          <w:tab w:val="left" w:pos="851"/>
        </w:tabs>
        <w:autoSpaceDE w:val="0"/>
        <w:autoSpaceDN w:val="0"/>
        <w:adjustRightInd w:val="0"/>
        <w:spacing w:line="264" w:lineRule="auto"/>
        <w:ind w:hanging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E13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ІІ. Цілі державного регулювання</w:t>
      </w:r>
    </w:p>
    <w:p w:rsidR="004468B8" w:rsidRPr="00EE133B" w:rsidRDefault="004468B8" w:rsidP="00C65DF9">
      <w:pPr>
        <w:tabs>
          <w:tab w:val="left" w:pos="851"/>
        </w:tabs>
        <w:autoSpaceDE w:val="0"/>
        <w:autoSpaceDN w:val="0"/>
        <w:adjustRightInd w:val="0"/>
        <w:spacing w:line="264" w:lineRule="auto"/>
        <w:ind w:hanging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8442E" w:rsidRPr="00EE133B" w:rsidRDefault="00B57D5A" w:rsidP="00C65DF9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eastAsia="Arial Unicode MS"/>
          <w:sz w:val="28"/>
          <w:szCs w:val="28"/>
          <w:lang w:bidi="uk-UA"/>
        </w:rPr>
      </w:pPr>
      <w:r w:rsidRPr="00EE133B">
        <w:rPr>
          <w:rFonts w:eastAsia="Arial Unicode MS"/>
          <w:sz w:val="28"/>
          <w:szCs w:val="28"/>
          <w:lang w:bidi="uk-UA"/>
        </w:rPr>
        <w:t>Проєк</w:t>
      </w:r>
      <w:r w:rsidR="0088442E" w:rsidRPr="00EE133B">
        <w:rPr>
          <w:rFonts w:eastAsia="Arial Unicode MS"/>
          <w:sz w:val="28"/>
          <w:szCs w:val="28"/>
          <w:lang w:bidi="uk-UA"/>
        </w:rPr>
        <w:t xml:space="preserve">том наказу передбачено затвердити Порядок </w:t>
      </w:r>
      <w:r w:rsidR="000B3D11" w:rsidRPr="00EE133B">
        <w:rPr>
          <w:sz w:val="28"/>
          <w:szCs w:val="28"/>
        </w:rPr>
        <w:t>надання грифів навчальній літературі та навчальним програмам</w:t>
      </w:r>
      <w:r w:rsidR="0088442E" w:rsidRPr="00EE133B">
        <w:rPr>
          <w:rFonts w:eastAsia="Arial Unicode MS"/>
          <w:sz w:val="28"/>
          <w:szCs w:val="28"/>
          <w:lang w:bidi="uk-UA"/>
        </w:rPr>
        <w:t>, а також визнати таким, що втратив чинність, наказ Міністерства освіти і н</w:t>
      </w:r>
      <w:r w:rsidR="00120F03" w:rsidRPr="00EE133B">
        <w:rPr>
          <w:rFonts w:eastAsia="Arial Unicode MS"/>
          <w:sz w:val="28"/>
          <w:szCs w:val="28"/>
          <w:lang w:bidi="uk-UA"/>
        </w:rPr>
        <w:t>ауки України від 17 червня 2008 </w:t>
      </w:r>
      <w:r w:rsidR="0088442E" w:rsidRPr="00EE133B">
        <w:rPr>
          <w:rFonts w:eastAsia="Arial Unicode MS"/>
          <w:sz w:val="28"/>
          <w:szCs w:val="28"/>
          <w:lang w:bidi="uk-UA"/>
        </w:rPr>
        <w:t xml:space="preserve">року № 537 «Про затвердження Порядку надання навчальній літературі, засобам навчання і навчальному обладнанню грифів та свідоцтв Міністерства освіти і науки України», зареєстрований у Міністерстві юстиції України 10 </w:t>
      </w:r>
      <w:r w:rsidR="000813A7" w:rsidRPr="00EE133B">
        <w:rPr>
          <w:rFonts w:eastAsia="Arial Unicode MS"/>
          <w:sz w:val="28"/>
          <w:szCs w:val="28"/>
          <w:lang w:bidi="uk-UA"/>
        </w:rPr>
        <w:t> </w:t>
      </w:r>
      <w:r w:rsidR="0088442E" w:rsidRPr="00EE133B">
        <w:rPr>
          <w:rFonts w:eastAsia="Arial Unicode MS"/>
          <w:sz w:val="28"/>
          <w:szCs w:val="28"/>
          <w:lang w:bidi="uk-UA"/>
        </w:rPr>
        <w:t>липня 2008 року за № 628/15319.</w:t>
      </w:r>
    </w:p>
    <w:p w:rsidR="0099112E" w:rsidRPr="00EE133B" w:rsidRDefault="004F7554" w:rsidP="00C65DF9">
      <w:pPr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133B">
        <w:rPr>
          <w:rFonts w:ascii="Times New Roman" w:hAnsi="Times New Roman" w:cs="Times New Roman"/>
          <w:color w:val="auto"/>
          <w:sz w:val="28"/>
          <w:szCs w:val="28"/>
        </w:rPr>
        <w:t>Дія проєкту акта поширюється на учасників освітнього процесу заклад</w:t>
      </w:r>
      <w:r w:rsidR="004468B8" w:rsidRPr="00EE133B">
        <w:rPr>
          <w:rFonts w:ascii="Times New Roman" w:hAnsi="Times New Roman" w:cs="Times New Roman"/>
          <w:color w:val="auto"/>
          <w:sz w:val="28"/>
          <w:szCs w:val="28"/>
        </w:rPr>
        <w:t>ів</w:t>
      </w:r>
      <w:r w:rsidRPr="00EE13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4773" w:rsidRPr="00EE133B">
        <w:rPr>
          <w:rFonts w:ascii="Times New Roman" w:hAnsi="Times New Roman" w:cs="Times New Roman"/>
          <w:color w:val="auto"/>
          <w:sz w:val="28"/>
          <w:szCs w:val="28"/>
        </w:rPr>
        <w:t xml:space="preserve">дошкільної, закладів освіти, що забезпечують здобуття повної загальної середньої освіти, закладів спеціалізованої та професійної (професійно-технічної) освіти </w:t>
      </w:r>
      <w:r w:rsidRPr="00EE133B">
        <w:rPr>
          <w:rFonts w:ascii="Times New Roman" w:hAnsi="Times New Roman" w:cs="Times New Roman"/>
          <w:color w:val="auto"/>
          <w:sz w:val="28"/>
          <w:szCs w:val="28"/>
        </w:rPr>
        <w:t>України, а також на авторів, видавництва (виробників, постачальників) навчальн</w:t>
      </w:r>
      <w:r w:rsidR="00D12C5B" w:rsidRPr="00EE133B">
        <w:rPr>
          <w:rFonts w:ascii="Times New Roman" w:hAnsi="Times New Roman" w:cs="Times New Roman"/>
          <w:color w:val="auto"/>
          <w:sz w:val="28"/>
          <w:szCs w:val="28"/>
        </w:rPr>
        <w:t>ої літератури та навчальних програм</w:t>
      </w:r>
      <w:r w:rsidRPr="00EE13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2664" w:rsidRDefault="008F2664" w:rsidP="00C65DF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Отже, основною ціллю державного регулювання є удосконалення правового регулювання механізму </w:t>
      </w:r>
      <w:r>
        <w:rPr>
          <w:rFonts w:ascii="Times New Roman" w:hAnsi="Times New Roman" w:cs="Times New Roman"/>
          <w:sz w:val="28"/>
          <w:szCs w:val="28"/>
        </w:rPr>
        <w:t>надання грифів навчальній літературі та навчальним програмам та рекомендацій щодо їх використання в освітньому процесі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8B8" w:rsidRDefault="004468B8" w:rsidP="00C65DF9">
      <w:pPr>
        <w:tabs>
          <w:tab w:val="left" w:pos="142"/>
          <w:tab w:val="left" w:pos="851"/>
        </w:tabs>
        <w:autoSpaceDE w:val="0"/>
        <w:autoSpaceDN w:val="0"/>
        <w:adjustRightInd w:val="0"/>
        <w:spacing w:line="264" w:lineRule="auto"/>
        <w:ind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F2664" w:rsidRPr="00EE133B" w:rsidRDefault="008F2664" w:rsidP="00C65DF9">
      <w:pPr>
        <w:tabs>
          <w:tab w:val="left" w:pos="142"/>
          <w:tab w:val="left" w:pos="851"/>
        </w:tabs>
        <w:autoSpaceDE w:val="0"/>
        <w:autoSpaceDN w:val="0"/>
        <w:adjustRightInd w:val="0"/>
        <w:spacing w:line="264" w:lineRule="auto"/>
        <w:ind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402" w:rsidRPr="00EE133B" w:rsidRDefault="0099112E" w:rsidP="00C65DF9">
      <w:pPr>
        <w:tabs>
          <w:tab w:val="left" w:pos="142"/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E13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ІІІ. Визначення та оцінка альтернативних способів </w:t>
      </w:r>
    </w:p>
    <w:p w:rsidR="0099112E" w:rsidRPr="00EE133B" w:rsidRDefault="0099112E" w:rsidP="00C65DF9">
      <w:pPr>
        <w:tabs>
          <w:tab w:val="left" w:pos="142"/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E13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досягнення встановлених цілей</w:t>
      </w:r>
    </w:p>
    <w:p w:rsidR="004468B8" w:rsidRPr="00EE133B" w:rsidRDefault="004468B8" w:rsidP="00C65DF9">
      <w:pPr>
        <w:tabs>
          <w:tab w:val="left" w:pos="142"/>
          <w:tab w:val="left" w:pos="851"/>
        </w:tabs>
        <w:autoSpaceDE w:val="0"/>
        <w:autoSpaceDN w:val="0"/>
        <w:adjustRightInd w:val="0"/>
        <w:spacing w:line="264" w:lineRule="auto"/>
        <w:ind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9112E" w:rsidRPr="00EE133B" w:rsidRDefault="0099112E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E13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1. Визначення альтернативних способів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6"/>
        <w:gridCol w:w="6602"/>
      </w:tblGrid>
      <w:tr w:rsidR="00B938CE" w:rsidRPr="00EE133B" w:rsidTr="009075E0">
        <w:trPr>
          <w:tblCellSpacing w:w="22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Опис альтернативи</w:t>
            </w:r>
          </w:p>
        </w:tc>
      </w:tr>
      <w:tr w:rsidR="00B938CE" w:rsidRPr="00EE133B" w:rsidTr="009075E0">
        <w:trPr>
          <w:trHeight w:val="228"/>
          <w:tblCellSpacing w:w="22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142"/>
                <w:tab w:val="left" w:pos="851"/>
              </w:tabs>
              <w:spacing w:line="264" w:lineRule="auto"/>
              <w:ind w:firstLine="4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Збереження чинного регулювання. </w:t>
            </w:r>
          </w:p>
        </w:tc>
      </w:tr>
      <w:tr w:rsidR="0099112E" w:rsidRPr="00EE133B" w:rsidTr="009075E0">
        <w:trPr>
          <w:tblCellSpacing w:w="22" w:type="dxa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pStyle w:val="rvps2"/>
              <w:shd w:val="clear" w:color="auto" w:fill="FFFFFF"/>
              <w:spacing w:before="0" w:beforeAutospacing="0" w:after="0" w:afterAutospacing="0" w:line="264" w:lineRule="auto"/>
              <w:ind w:firstLine="433"/>
              <w:jc w:val="both"/>
              <w:rPr>
                <w:sz w:val="28"/>
                <w:szCs w:val="28"/>
              </w:rPr>
            </w:pPr>
            <w:r w:rsidRPr="00EE133B">
              <w:rPr>
                <w:rFonts w:eastAsia="Arial Unicode MS"/>
                <w:sz w:val="28"/>
                <w:szCs w:val="28"/>
                <w:lang w:bidi="uk-UA"/>
              </w:rPr>
              <w:t xml:space="preserve">Затвердити </w:t>
            </w:r>
            <w:r w:rsidR="0088442E" w:rsidRPr="00EE133B">
              <w:rPr>
                <w:rFonts w:eastAsia="Arial Unicode MS"/>
                <w:sz w:val="28"/>
                <w:szCs w:val="28"/>
                <w:lang w:bidi="uk-UA"/>
              </w:rPr>
              <w:t xml:space="preserve">Порядок </w:t>
            </w:r>
            <w:r w:rsidR="00C8780D" w:rsidRPr="00EE133B">
              <w:rPr>
                <w:rFonts w:eastAsia="Arial Unicode MS"/>
                <w:sz w:val="28"/>
                <w:szCs w:val="28"/>
                <w:lang w:bidi="uk-UA"/>
              </w:rPr>
              <w:t>надання грифів навчальній літературі та навчальним програмам</w:t>
            </w:r>
            <w:r w:rsidR="0088442E" w:rsidRPr="00EE133B">
              <w:rPr>
                <w:rFonts w:eastAsia="Arial Unicode MS"/>
                <w:sz w:val="28"/>
                <w:szCs w:val="28"/>
                <w:lang w:bidi="uk-UA"/>
              </w:rPr>
              <w:t xml:space="preserve">, а також </w:t>
            </w:r>
            <w:r w:rsidRPr="00EE133B">
              <w:rPr>
                <w:rFonts w:eastAsia="Arial Unicode MS"/>
                <w:sz w:val="28"/>
                <w:szCs w:val="28"/>
                <w:lang w:bidi="uk-UA"/>
              </w:rPr>
              <w:t>одночасн</w:t>
            </w:r>
            <w:r w:rsidR="0088442E" w:rsidRPr="00EE133B">
              <w:rPr>
                <w:rFonts w:eastAsia="Arial Unicode MS"/>
                <w:sz w:val="28"/>
                <w:szCs w:val="28"/>
                <w:lang w:bidi="uk-UA"/>
              </w:rPr>
              <w:t>о визнати таким, що втратив чинність, наказ Міністерства освіти і науки України від 17 червня 2008 року № 537 «Про затвердження Порядку надання навчальній літературі, засобам навчання і навчальному обладнанню грифів та свідоцтв Міністерства освіти і науки України», зареєстрований у Міністерстві юстиції України 10 липня 2008 року за № 628/15319.</w:t>
            </w:r>
          </w:p>
        </w:tc>
      </w:tr>
    </w:tbl>
    <w:p w:rsidR="0099112E" w:rsidRDefault="0099112E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8F2664" w:rsidRDefault="008F2664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8F2664" w:rsidRPr="00EE133B" w:rsidRDefault="008F2664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9112E" w:rsidRPr="00EE133B" w:rsidRDefault="0099112E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E13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2. Оцінка вибраних альтернативних способів досягнення цілей</w:t>
      </w:r>
    </w:p>
    <w:p w:rsidR="0099112E" w:rsidRPr="00EE133B" w:rsidRDefault="0099112E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9112E" w:rsidRPr="00EE133B" w:rsidRDefault="0099112E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E13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Оцінка впливу на сферу інтересів держави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6"/>
        <w:gridCol w:w="3679"/>
        <w:gridCol w:w="3683"/>
      </w:tblGrid>
      <w:tr w:rsidR="00B938CE" w:rsidRPr="00EE133B" w:rsidTr="009075E0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B938CE" w:rsidRPr="00EE133B" w:rsidTr="009075E0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</w:t>
            </w:r>
          </w:p>
        </w:tc>
      </w:tr>
      <w:tr w:rsidR="0099112E" w:rsidRPr="00EE133B" w:rsidTr="009075E0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12E" w:rsidRPr="00EE133B" w:rsidRDefault="0088442E" w:rsidP="00C65DF9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E427A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оліпшенн</w:t>
            </w:r>
            <w:r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якості освіти шляхом підготовки сучасн</w:t>
            </w:r>
            <w:r w:rsidR="00524901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их</w:t>
            </w:r>
            <w:r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8780D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навчальних програм та навчальної літератури</w:t>
            </w:r>
            <w:r w:rsidR="00EE427A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F22E07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забезпечення </w:t>
            </w:r>
            <w:r w:rsidR="00EE427A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прозорості</w:t>
            </w:r>
            <w:r w:rsidR="00F22E07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здійснення </w:t>
            </w:r>
            <w:r w:rsidR="00EE427A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процедури надання</w:t>
            </w:r>
            <w:r w:rsidR="00524901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їм</w:t>
            </w:r>
            <w:r w:rsidR="00EE427A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гриф</w:t>
            </w:r>
            <w:r w:rsidR="00524901" w:rsidRPr="00EE13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ів, рекомендацій для використання в освітньому процесі</w:t>
            </w:r>
          </w:p>
        </w:tc>
        <w:tc>
          <w:tcPr>
            <w:tcW w:w="1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відсутні</w:t>
            </w:r>
          </w:p>
        </w:tc>
      </w:tr>
    </w:tbl>
    <w:p w:rsidR="0099112E" w:rsidRPr="00EE133B" w:rsidRDefault="0099112E" w:rsidP="00C65DF9">
      <w:pPr>
        <w:tabs>
          <w:tab w:val="left" w:pos="142"/>
          <w:tab w:val="left" w:pos="851"/>
        </w:tabs>
        <w:autoSpaceDE w:val="0"/>
        <w:autoSpaceDN w:val="0"/>
        <w:adjustRightInd w:val="0"/>
        <w:spacing w:line="264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112E" w:rsidRPr="00EE133B" w:rsidRDefault="0099112E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E13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Оцінка впливу на сферу інтересів громадян</w:t>
      </w:r>
    </w:p>
    <w:tbl>
      <w:tblPr>
        <w:tblW w:w="5005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1"/>
        <w:gridCol w:w="4470"/>
        <w:gridCol w:w="2406"/>
      </w:tblGrid>
      <w:tr w:rsidR="00B938CE" w:rsidRPr="00EE133B" w:rsidTr="00EE133B">
        <w:trPr>
          <w:tblCellSpacing w:w="22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2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B938CE" w:rsidRPr="00EE133B" w:rsidTr="00EE133B">
        <w:trPr>
          <w:tblCellSpacing w:w="22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2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EE133B" w:rsidRDefault="00704285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EE13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</w:tr>
      <w:tr w:rsidR="0099112E" w:rsidRPr="00B938CE" w:rsidTr="00EE133B">
        <w:trPr>
          <w:tblCellSpacing w:w="22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2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забезпечення здобувачів освіти та педагогічних працівників більш якісн</w:t>
            </w:r>
            <w:r w:rsidR="0088442E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ою навчально-методичною літературою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</w:t>
            </w:r>
            <w:r w:rsidR="0088442E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створення нового освітнього середовища, що спрямоване на розвиток особистості та мотивації її до навчання, широке використання в освітньому процесі нових технологій</w:t>
            </w:r>
            <w:r w:rsidR="00524901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навчання </w:t>
            </w:r>
            <w:r w:rsidR="004468B8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тощо.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</w:tr>
    </w:tbl>
    <w:p w:rsidR="0099112E" w:rsidRPr="00B938CE" w:rsidRDefault="0099112E" w:rsidP="00C65DF9">
      <w:pPr>
        <w:widowControl/>
        <w:tabs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E133B" w:rsidRDefault="00EE133B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EE133B" w:rsidRDefault="00EE133B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9112E" w:rsidRPr="00B938CE" w:rsidRDefault="0099112E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Оцінка впливу на сферу інтересів суб'єктів господарювання</w:t>
      </w:r>
    </w:p>
    <w:p w:rsidR="004468B8" w:rsidRPr="00B938CE" w:rsidRDefault="004468B8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676CD" w:rsidRPr="00B938CE" w:rsidRDefault="005663CE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сьогодні, відповідно до Порядку надання навчальній літературі, засобам навчання і навчальному обладнанню грифів та свідоцтв Міністерства освіти і науки України</w:t>
      </w:r>
      <w:r w:rsidR="00B21913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затвердженого наказом Міністерства освіти і науки </w:t>
      </w:r>
      <w:r w:rsidR="00B21913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України від 17 червня 2008 року № 537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="00B21913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зареєстрован</w:t>
      </w:r>
      <w:r w:rsidR="00B21913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им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у Міністерстві юстиції України 10 </w:t>
      </w:r>
      <w:r w:rsidR="000813A7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липня 2008 року за № 628/15319, для одержання грифа автор, видавництво або інші фізичні та юридичні особи </w:t>
      </w:r>
      <w:r w:rsidR="00120F03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–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суб</w:t>
      </w:r>
      <w:r w:rsidR="00601182" w:rsidRPr="00B938CE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єкти підприємницької діяльності, що мають виключні права на використання твору, засобу навчання чи навчального обладнання, надають до державної наукової установи «Інститут модернізації змісту освіти» (далі – Інститут) 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об’єкти грифування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 w:rsidR="00E676CD" w:rsidRPr="00B938CE">
        <w:rPr>
          <w:rFonts w:ascii="Times New Roman" w:hAnsi="Times New Roman" w:cs="Times New Roman"/>
          <w:color w:val="auto"/>
          <w:sz w:val="28"/>
          <w:szCs w:val="28"/>
        </w:rPr>
        <w:t>навчальні видання, обладнання навчального, загального та спеціального призначення, ігрове обладнання, електронні освітні ресурси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) з відповідним пакетом документів для проведення експертизи.</w:t>
      </w:r>
    </w:p>
    <w:p w:rsidR="00704285" w:rsidRPr="00B938CE" w:rsidRDefault="00704285" w:rsidP="00C65DF9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b w:val="0"/>
          <w:bCs w:val="0"/>
          <w:sz w:val="28"/>
          <w:szCs w:val="28"/>
          <w:lang w:bidi="uk-UA"/>
        </w:rPr>
      </w:pPr>
      <w:r w:rsidRPr="00B938CE">
        <w:rPr>
          <w:b w:val="0"/>
          <w:bCs w:val="0"/>
          <w:sz w:val="28"/>
          <w:szCs w:val="28"/>
          <w:lang w:bidi="uk-UA"/>
        </w:rPr>
        <w:t xml:space="preserve">Згідно з даними </w:t>
      </w:r>
      <w:r w:rsidR="005663CE" w:rsidRPr="00B938CE">
        <w:rPr>
          <w:b w:val="0"/>
          <w:bCs w:val="0"/>
          <w:sz w:val="28"/>
          <w:szCs w:val="28"/>
          <w:lang w:bidi="uk-UA"/>
        </w:rPr>
        <w:t>Інституту</w:t>
      </w:r>
      <w:r w:rsidR="00E336DD" w:rsidRPr="00B938CE">
        <w:rPr>
          <w:b w:val="0"/>
          <w:bCs w:val="0"/>
          <w:sz w:val="28"/>
          <w:szCs w:val="28"/>
          <w:lang w:bidi="uk-UA"/>
        </w:rPr>
        <w:t xml:space="preserve"> </w:t>
      </w:r>
      <w:r w:rsidR="00601182" w:rsidRPr="00B938CE">
        <w:rPr>
          <w:b w:val="0"/>
          <w:bCs w:val="0"/>
          <w:sz w:val="28"/>
          <w:szCs w:val="28"/>
          <w:lang w:bidi="uk-UA"/>
        </w:rPr>
        <w:t>у</w:t>
      </w:r>
      <w:r w:rsidR="00601182" w:rsidRPr="00B938CE">
        <w:rPr>
          <w:b w:val="0"/>
          <w:sz w:val="28"/>
          <w:szCs w:val="28"/>
          <w:lang w:eastAsia="ru-RU"/>
        </w:rPr>
        <w:t xml:space="preserve"> 2018 році</w:t>
      </w:r>
      <w:r w:rsidR="005663CE" w:rsidRPr="00B938CE">
        <w:rPr>
          <w:b w:val="0"/>
          <w:bCs w:val="0"/>
          <w:sz w:val="28"/>
          <w:szCs w:val="28"/>
          <w:lang w:bidi="uk-UA"/>
        </w:rPr>
        <w:t xml:space="preserve"> для</w:t>
      </w:r>
      <w:r w:rsidR="006A2923" w:rsidRPr="00B938CE">
        <w:rPr>
          <w:b w:val="0"/>
          <w:bCs w:val="0"/>
          <w:sz w:val="28"/>
          <w:szCs w:val="28"/>
          <w:lang w:bidi="uk-UA"/>
        </w:rPr>
        <w:t xml:space="preserve"> розгляду</w:t>
      </w:r>
      <w:r w:rsidR="00E336DD" w:rsidRPr="00B938CE">
        <w:rPr>
          <w:b w:val="0"/>
          <w:bCs w:val="0"/>
          <w:sz w:val="28"/>
          <w:szCs w:val="28"/>
          <w:lang w:bidi="uk-UA"/>
        </w:rPr>
        <w:t xml:space="preserve"> 41</w:t>
      </w:r>
      <w:r w:rsidR="006A2923" w:rsidRPr="00B938CE">
        <w:rPr>
          <w:b w:val="0"/>
          <w:bCs w:val="0"/>
          <w:sz w:val="28"/>
          <w:szCs w:val="28"/>
          <w:lang w:bidi="uk-UA"/>
        </w:rPr>
        <w:t xml:space="preserve"> науково-методичн</w:t>
      </w:r>
      <w:r w:rsidR="00E336DD" w:rsidRPr="00B938CE">
        <w:rPr>
          <w:b w:val="0"/>
          <w:bCs w:val="0"/>
          <w:sz w:val="28"/>
          <w:szCs w:val="28"/>
          <w:lang w:bidi="uk-UA"/>
        </w:rPr>
        <w:t xml:space="preserve">ою </w:t>
      </w:r>
      <w:r w:rsidR="006A2923" w:rsidRPr="00B938CE">
        <w:rPr>
          <w:b w:val="0"/>
          <w:bCs w:val="0"/>
          <w:sz w:val="28"/>
          <w:szCs w:val="28"/>
          <w:lang w:bidi="uk-UA"/>
        </w:rPr>
        <w:t>комісі</w:t>
      </w:r>
      <w:r w:rsidR="00E336DD" w:rsidRPr="00B938CE">
        <w:rPr>
          <w:b w:val="0"/>
          <w:bCs w:val="0"/>
          <w:sz w:val="28"/>
          <w:szCs w:val="28"/>
          <w:lang w:bidi="uk-UA"/>
        </w:rPr>
        <w:t xml:space="preserve">єю </w:t>
      </w:r>
      <w:r w:rsidR="005663CE" w:rsidRPr="00B938CE">
        <w:rPr>
          <w:b w:val="0"/>
          <w:bCs w:val="0"/>
          <w:sz w:val="28"/>
          <w:szCs w:val="28"/>
          <w:lang w:bidi="uk-UA"/>
        </w:rPr>
        <w:t>та проведення експертизи</w:t>
      </w:r>
      <w:r w:rsidR="006A2923" w:rsidRPr="00B938CE">
        <w:rPr>
          <w:b w:val="0"/>
          <w:bCs w:val="0"/>
          <w:sz w:val="28"/>
          <w:szCs w:val="28"/>
          <w:lang w:bidi="uk-UA"/>
        </w:rPr>
        <w:t xml:space="preserve"> </w:t>
      </w:r>
      <w:r w:rsidR="00871194" w:rsidRPr="00B938CE">
        <w:rPr>
          <w:b w:val="0"/>
          <w:sz w:val="28"/>
          <w:szCs w:val="28"/>
          <w:lang w:eastAsia="ru-RU"/>
        </w:rPr>
        <w:t>для розгляду науково-методичними комісіями надійшло 1777 пакетів документів, з них: надано гриф або свідоцтво МОН 1388 об’єктам грифування, направлено на доопрацювання – 191 об’єкт, відхилено – 198 об’єктів. У</w:t>
      </w:r>
      <w:r w:rsidR="00871194" w:rsidRPr="00B938CE">
        <w:rPr>
          <w:b w:val="0"/>
          <w:bCs w:val="0"/>
          <w:sz w:val="28"/>
          <w:szCs w:val="28"/>
          <w:lang w:bidi="uk-UA"/>
        </w:rPr>
        <w:t xml:space="preserve"> 2019 </w:t>
      </w:r>
      <w:r w:rsidR="006A2923" w:rsidRPr="00B938CE">
        <w:rPr>
          <w:b w:val="0"/>
          <w:bCs w:val="0"/>
          <w:sz w:val="28"/>
          <w:szCs w:val="28"/>
          <w:lang w:bidi="uk-UA"/>
        </w:rPr>
        <w:t>надійшло 3</w:t>
      </w:r>
      <w:r w:rsidR="00E336DD" w:rsidRPr="00B938CE">
        <w:rPr>
          <w:b w:val="0"/>
          <w:bCs w:val="0"/>
          <w:sz w:val="28"/>
          <w:szCs w:val="28"/>
          <w:lang w:bidi="uk-UA"/>
        </w:rPr>
        <w:t>920</w:t>
      </w:r>
      <w:r w:rsidR="006A2923" w:rsidRPr="00B938CE">
        <w:rPr>
          <w:b w:val="0"/>
          <w:bCs w:val="0"/>
          <w:sz w:val="28"/>
          <w:szCs w:val="28"/>
          <w:lang w:bidi="uk-UA"/>
        </w:rPr>
        <w:t xml:space="preserve"> пакетів документів</w:t>
      </w:r>
      <w:r w:rsidR="007C0243" w:rsidRPr="00B938CE">
        <w:rPr>
          <w:b w:val="0"/>
          <w:sz w:val="28"/>
          <w:szCs w:val="28"/>
          <w:lang w:eastAsia="ru-RU"/>
        </w:rPr>
        <w:t>.</w:t>
      </w:r>
    </w:p>
    <w:p w:rsidR="002D153E" w:rsidRPr="00B938CE" w:rsidRDefault="002D153E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Протягом останніх двох років спостерігається тенденція щодо збільшення кількості суб</w:t>
      </w:r>
      <w:r w:rsidR="00601182" w:rsidRPr="00B938CE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єктів господарювання, що подають пакети документів для проведення експертизи </w:t>
      </w:r>
      <w:r w:rsidR="00130402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об’єктів грифування 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та надання </w:t>
      </w:r>
      <w:r w:rsidR="00130402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відповідних 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висновків </w:t>
      </w:r>
      <w:r w:rsidR="00130402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комісіями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3003FA" w:rsidRPr="00B938CE" w:rsidRDefault="003003FA" w:rsidP="00C65DF9">
      <w:pPr>
        <w:widowControl/>
        <w:tabs>
          <w:tab w:val="left" w:pos="851"/>
        </w:tabs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6"/>
        <w:gridCol w:w="1333"/>
        <w:gridCol w:w="1335"/>
        <w:gridCol w:w="1333"/>
        <w:gridCol w:w="1335"/>
        <w:gridCol w:w="1336"/>
      </w:tblGrid>
      <w:tr w:rsidR="00B938CE" w:rsidRPr="00B938CE" w:rsidTr="00EE133B">
        <w:trPr>
          <w:tblCellSpacing w:w="22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Показник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Великі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Середні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Малі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Мікро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Разом</w:t>
            </w:r>
          </w:p>
        </w:tc>
      </w:tr>
      <w:tr w:rsidR="00B938CE" w:rsidRPr="00B938CE" w:rsidTr="00EE133B">
        <w:trPr>
          <w:tblCellSpacing w:w="22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Кількість суб</w:t>
            </w:r>
            <w:r w:rsidR="00601182"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єктів господарювання, що підпадають під дію регулювання, одиниць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F43829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363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F43829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288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F43829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656</w:t>
            </w:r>
          </w:p>
        </w:tc>
      </w:tr>
      <w:tr w:rsidR="0099112E" w:rsidRPr="00B938CE" w:rsidTr="00EE133B">
        <w:trPr>
          <w:tblCellSpacing w:w="22" w:type="dxa"/>
        </w:trPr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Питома вага групи у загальній кількості, відсотків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F43829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0,7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F43829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55</w:t>
            </w:r>
            <w:r w:rsidR="00130402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,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F43829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100</w:t>
            </w:r>
          </w:p>
        </w:tc>
      </w:tr>
    </w:tbl>
    <w:p w:rsidR="00EE133B" w:rsidRDefault="00EE133B" w:rsidP="00C65DF9">
      <w:pPr>
        <w:widowControl/>
        <w:spacing w:after="160" w:line="264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9112E" w:rsidRPr="00B938CE" w:rsidRDefault="0099112E" w:rsidP="00C65DF9">
      <w:pPr>
        <w:widowControl/>
        <w:tabs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6"/>
        <w:gridCol w:w="4445"/>
        <w:gridCol w:w="2917"/>
      </w:tblGrid>
      <w:tr w:rsidR="00B938CE" w:rsidRPr="00B938CE" w:rsidTr="009075E0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альтернативи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B938CE" w:rsidRPr="00B938CE" w:rsidTr="009075E0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відсутні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EE" w:rsidRPr="00B938CE" w:rsidRDefault="005814E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1 рік становитимуть</w:t>
            </w:r>
            <w:r w:rsidR="000F4B7F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у: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0F4B7F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середніх суб’єктів господарювання -</w:t>
            </w:r>
          </w:p>
          <w:p w:rsidR="005814EE" w:rsidRPr="00B938CE" w:rsidRDefault="00530173" w:rsidP="00C65DF9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1833200</w:t>
            </w:r>
            <w:r w:rsidR="003531E9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5814EE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</w:t>
            </w:r>
            <w:r w:rsidR="000F4B7F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0F4B7F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малих </w:t>
            </w:r>
            <w:r w:rsidR="00C817C9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та</w:t>
            </w:r>
          </w:p>
          <w:p w:rsidR="000F4B7F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мікросуб’єктів </w:t>
            </w:r>
            <w:r w:rsidR="000F4B7F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господарювання </w:t>
            </w:r>
            <w:r w:rsidR="000F4B7F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  <w:p w:rsidR="0099112E" w:rsidRPr="00B938CE" w:rsidRDefault="00D07385" w:rsidP="00C65DF9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12318400 </w:t>
            </w:r>
            <w:r w:rsidR="0099112E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</w:t>
            </w:r>
          </w:p>
        </w:tc>
      </w:tr>
      <w:tr w:rsidR="00B5559A" w:rsidRPr="00B938CE" w:rsidTr="009075E0">
        <w:trPr>
          <w:tblCellSpacing w:w="22" w:type="dxa"/>
        </w:trPr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Альтернатива 2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Забезпечення здобувачів освіти та педагогічних працівників більш якісними </w:t>
            </w:r>
            <w:r w:rsidR="00E54C75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засобами навчання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B7F" w:rsidRPr="00B938CE" w:rsidRDefault="000F4B7F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1 рік становитимуть у: середніх суб’єктів господарювання -</w:t>
            </w:r>
          </w:p>
          <w:p w:rsidR="0099112E" w:rsidRPr="00B938CE" w:rsidRDefault="00530173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1829200</w:t>
            </w:r>
            <w:r w:rsidR="00A5576D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99112E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</w:t>
            </w:r>
            <w:r w:rsidR="000F4B7F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малих та</w:t>
            </w:r>
          </w:p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мікросуб’єктів  господарювання -</w:t>
            </w:r>
          </w:p>
          <w:p w:rsidR="0099112E" w:rsidRPr="00B938CE" w:rsidRDefault="00D07385" w:rsidP="00C65DF9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11793600</w:t>
            </w:r>
            <w:r w:rsidR="0067012B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грн</w:t>
            </w:r>
          </w:p>
        </w:tc>
      </w:tr>
    </w:tbl>
    <w:p w:rsidR="00E336DD" w:rsidRPr="00B938CE" w:rsidRDefault="00E336DD" w:rsidP="00C65DF9">
      <w:pPr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112E" w:rsidRPr="00B938CE" w:rsidRDefault="0099112E" w:rsidP="00C65DF9">
      <w:pPr>
        <w:tabs>
          <w:tab w:val="left" w:pos="851"/>
        </w:tabs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>Витрати середніх суб’єктів господарювання наведені у Додатку 1 до цього Аналізу.</w:t>
      </w:r>
    </w:p>
    <w:p w:rsidR="0099112E" w:rsidRPr="00B938CE" w:rsidRDefault="0099112E" w:rsidP="00C65DF9">
      <w:pPr>
        <w:widowControl/>
        <w:tabs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8"/>
        <w:gridCol w:w="2920"/>
      </w:tblGrid>
      <w:tr w:rsidR="00B938CE" w:rsidRPr="00B938CE" w:rsidTr="009075E0">
        <w:trPr>
          <w:tblCellSpacing w:w="22" w:type="dxa"/>
        </w:trPr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Сумарні витрати за альтернативами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Сума витрат, гривень</w:t>
            </w:r>
          </w:p>
        </w:tc>
      </w:tr>
      <w:tr w:rsidR="00B938CE" w:rsidRPr="00B938CE" w:rsidTr="009075E0">
        <w:trPr>
          <w:tblCellSpacing w:w="22" w:type="dxa"/>
        </w:trPr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1. Сумарні витрати для суб'єктів господарювання великого і середнього підприємництва згідно з додатком 1 до цього Аналізу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у середніх суб’єктів господарювання за 1 рік </w:t>
            </w:r>
            <w:r w:rsidR="00530173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1833200 </w:t>
            </w:r>
            <w:r w:rsidRPr="00B938CE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грн</w:t>
            </w:r>
          </w:p>
        </w:tc>
      </w:tr>
      <w:tr w:rsidR="0099112E" w:rsidRPr="00B938CE" w:rsidTr="009075E0">
        <w:trPr>
          <w:tblCellSpacing w:w="22" w:type="dxa"/>
        </w:trPr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ind w:firstLine="33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2. Сумарні витрати для суб'єктів господарювання великого і середнього підприємництва згідно з додатком 1 до цього Аналізу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у середніх суб’єктів господарювання за 1 рік становитимуть </w:t>
            </w:r>
          </w:p>
          <w:p w:rsidR="0099112E" w:rsidRPr="00B938CE" w:rsidRDefault="00530173" w:rsidP="00C65DF9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1829200 </w:t>
            </w:r>
            <w:r w:rsidR="0099112E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грн</w:t>
            </w:r>
          </w:p>
        </w:tc>
      </w:tr>
    </w:tbl>
    <w:p w:rsidR="0099112E" w:rsidRPr="00B938CE" w:rsidRDefault="0099112E" w:rsidP="00C65DF9">
      <w:pPr>
        <w:widowControl/>
        <w:tabs>
          <w:tab w:val="left" w:pos="851"/>
        </w:tabs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9112E" w:rsidRPr="00B938CE" w:rsidRDefault="0099112E" w:rsidP="00C65DF9">
      <w:pPr>
        <w:keepNext/>
        <w:widowControl/>
        <w:tabs>
          <w:tab w:val="left" w:pos="851"/>
        </w:tabs>
        <w:spacing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IV. Вибір найбільш оптимального альтернативного способу </w:t>
      </w:r>
    </w:p>
    <w:p w:rsidR="0099112E" w:rsidRPr="00B938CE" w:rsidRDefault="0099112E" w:rsidP="00C65DF9">
      <w:pPr>
        <w:keepNext/>
        <w:widowControl/>
        <w:tabs>
          <w:tab w:val="left" w:pos="851"/>
        </w:tabs>
        <w:spacing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досягнення цілей</w:t>
      </w:r>
    </w:p>
    <w:p w:rsidR="00640B43" w:rsidRPr="00B938CE" w:rsidRDefault="00640B43" w:rsidP="00C65DF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>Здійснити вибір оптимального альтернативного способу з урахуванням системи бальної оцінки ступеня досягнення визначених цілей.</w:t>
      </w:r>
    </w:p>
    <w:p w:rsidR="00C42FA0" w:rsidRDefault="00640B43" w:rsidP="00C65DF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Вартість балів визначається за чотирибальною системою оцінки ступеня </w:t>
      </w:r>
    </w:p>
    <w:p w:rsidR="00640B43" w:rsidRPr="00B938CE" w:rsidRDefault="00640B43" w:rsidP="00C65DF9">
      <w:pPr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>досягнення визначених цілей, де:</w:t>
      </w:r>
    </w:p>
    <w:p w:rsidR="00640B43" w:rsidRPr="00B938CE" w:rsidRDefault="00640B43" w:rsidP="00C65DF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>4 – цілі прийняття регуляторного акта, які можуть бути досягнуті повною мірою (проблема більше існувати не буде);</w:t>
      </w:r>
    </w:p>
    <w:p w:rsidR="00640B43" w:rsidRPr="00B938CE" w:rsidRDefault="00640B43" w:rsidP="00C65DF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n155"/>
      <w:bookmarkEnd w:id="4"/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>3 – цілі прийняття регуляторного акта, які можуть бути досягнуті майже  повною мірою (усі важливі аспекти проблеми існувати не будуть);</w:t>
      </w:r>
    </w:p>
    <w:p w:rsidR="00640B43" w:rsidRPr="00B938CE" w:rsidRDefault="00640B43" w:rsidP="00C65DF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n156"/>
      <w:bookmarkEnd w:id="5"/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>2 –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640B43" w:rsidRPr="00B938CE" w:rsidRDefault="00640B43" w:rsidP="00C65DF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n157"/>
      <w:bookmarkEnd w:id="6"/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 – цілі прийняття регуляторного акта, які не можуть бути досягнуті (проблема продовжує існувати).</w:t>
      </w:r>
    </w:p>
    <w:p w:rsidR="00640B43" w:rsidRPr="00B938CE" w:rsidRDefault="00640B43" w:rsidP="00C65DF9">
      <w:pPr>
        <w:keepNext/>
        <w:widowControl/>
        <w:tabs>
          <w:tab w:val="left" w:pos="851"/>
        </w:tabs>
        <w:spacing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7"/>
        <w:gridCol w:w="2695"/>
        <w:gridCol w:w="3456"/>
      </w:tblGrid>
      <w:tr w:rsidR="00B938CE" w:rsidRPr="00B938CE" w:rsidTr="009075E0">
        <w:trPr>
          <w:tblCellSpacing w:w="22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Бал результативності (за чотирибальною системою оцінки)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Коментарі щодо присвоєння відповідного бала</w:t>
            </w:r>
          </w:p>
        </w:tc>
      </w:tr>
      <w:tr w:rsidR="00B938CE" w:rsidRPr="00B938CE" w:rsidTr="009075E0">
        <w:trPr>
          <w:tblCellSpacing w:w="22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640B43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640B43" w:rsidP="00C65DF9">
            <w:pPr>
              <w:tabs>
                <w:tab w:val="left" w:pos="851"/>
              </w:tabs>
              <w:spacing w:line="264" w:lineRule="auto"/>
              <w:ind w:firstLine="49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Цілі прийняття регуляторного акта, які не можуть бути досягнуті (проблема продовжує існувати)</w:t>
            </w:r>
          </w:p>
        </w:tc>
      </w:tr>
      <w:tr w:rsidR="0099112E" w:rsidRPr="00B938CE" w:rsidTr="009075E0">
        <w:trPr>
          <w:tblCellSpacing w:w="22" w:type="dxa"/>
        </w:trPr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640B43" w:rsidP="00C65DF9">
            <w:pPr>
              <w:spacing w:line="264" w:lineRule="auto"/>
              <w:ind w:firstLine="41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Максимальний бал.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Запропонований спосіб вирішення зазначеної проблеми є найбільш доцільним, оскільки прийняття запропонованого </w:t>
            </w:r>
            <w:r w:rsidR="00B57D5A"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проєк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</w:t>
            </w:r>
            <w:r w:rsidR="00B57D5A"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акта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дозволить забезпечити </w:t>
            </w:r>
            <w:r w:rsidR="00DD406C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учасників освітнього процесу</w:t>
            </w:r>
            <w:r w:rsidR="0099112E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більш якісними </w:t>
            </w:r>
            <w:r w:rsidR="00DD406C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засобами навчання</w:t>
            </w:r>
          </w:p>
        </w:tc>
      </w:tr>
    </w:tbl>
    <w:p w:rsidR="0099112E" w:rsidRPr="00B938CE" w:rsidRDefault="0099112E" w:rsidP="00C65DF9">
      <w:pPr>
        <w:widowControl/>
        <w:tabs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3"/>
        <w:gridCol w:w="1731"/>
        <w:gridCol w:w="2635"/>
        <w:gridCol w:w="2639"/>
      </w:tblGrid>
      <w:tr w:rsidR="00B938CE" w:rsidRPr="00B938CE" w:rsidTr="00E17A8F">
        <w:trPr>
          <w:trHeight w:val="1174"/>
          <w:tblCellSpacing w:w="22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Рейтинг результативності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Вигоди (підсумок)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Витрати, грн (підсумок)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Обґрунтування відповідного місця альтернативи у рейтингу</w:t>
            </w:r>
          </w:p>
        </w:tc>
      </w:tr>
      <w:tr w:rsidR="00B938CE" w:rsidRPr="00B938CE" w:rsidTr="00E17A8F">
        <w:trPr>
          <w:tblCellSpacing w:w="22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Альтернатива 1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Відсутні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1 рік становитимуть у: середніх суб’єктів господарювання -</w:t>
            </w:r>
          </w:p>
          <w:p w:rsidR="0067012B" w:rsidRPr="00B938CE" w:rsidRDefault="00530173" w:rsidP="00C65DF9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1833200 </w:t>
            </w:r>
            <w:r w:rsidR="0067012B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грн;</w:t>
            </w:r>
          </w:p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малих та</w:t>
            </w:r>
          </w:p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мікросуб’єктів  господарювання -</w:t>
            </w:r>
          </w:p>
          <w:p w:rsidR="0067012B" w:rsidRPr="00B938CE" w:rsidRDefault="00D07385" w:rsidP="00C65DF9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12318400 </w:t>
            </w:r>
            <w:r w:rsidR="0067012B"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грн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Залишення ситуації, що існує на сьогодні </w:t>
            </w:r>
          </w:p>
        </w:tc>
      </w:tr>
      <w:tr w:rsidR="0067012B" w:rsidRPr="00B938CE" w:rsidTr="00E17A8F">
        <w:trPr>
          <w:tblCellSpacing w:w="22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Альтернатива 2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Забезпечення учасників освітнього процесу більш якісними засобами навчання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1 рік становитимуть у: середніх суб’єктів господарювання -</w:t>
            </w:r>
          </w:p>
          <w:p w:rsidR="0067012B" w:rsidRPr="00B938CE" w:rsidRDefault="00530173" w:rsidP="00C65DF9">
            <w:pPr>
              <w:spacing w:line="264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1829200 </w:t>
            </w:r>
            <w:r w:rsidR="0067012B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грн</w:t>
            </w:r>
            <w:r w:rsidR="0067012B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малих та</w:t>
            </w:r>
          </w:p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мікросуб’єктів  господарювання -</w:t>
            </w:r>
          </w:p>
          <w:p w:rsidR="0067012B" w:rsidRPr="00B938CE" w:rsidRDefault="00D07385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11793600</w:t>
            </w:r>
            <w:r w:rsidR="0067012B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грн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12B" w:rsidRPr="00B938CE" w:rsidRDefault="0067012B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Вирішує проблему. Цей спосіб забезпечить упорядкування правового регулювання правових відносин щодо </w:t>
            </w:r>
            <w:r w:rsidR="00E336DD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надання гриф</w:t>
            </w:r>
            <w:r w:rsidR="00530173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ів</w:t>
            </w:r>
            <w:r w:rsidR="00E336DD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навчальній літературі на навчальним програмам</w:t>
            </w:r>
          </w:p>
        </w:tc>
      </w:tr>
    </w:tbl>
    <w:p w:rsidR="0099112E" w:rsidRPr="00B938CE" w:rsidRDefault="0099112E" w:rsidP="00C65DF9">
      <w:pPr>
        <w:widowControl/>
        <w:tabs>
          <w:tab w:val="left" w:pos="851"/>
        </w:tabs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4"/>
        <w:gridCol w:w="3985"/>
        <w:gridCol w:w="3089"/>
      </w:tblGrid>
      <w:tr w:rsidR="00B938CE" w:rsidRPr="00B938CE" w:rsidTr="00641A3C">
        <w:trPr>
          <w:tblCellSpacing w:w="22" w:type="dxa"/>
        </w:trPr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Рейтинг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C65DF9">
            <w:pPr>
              <w:widowControl/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B938CE" w:rsidRPr="00B938CE" w:rsidTr="00641A3C">
        <w:trPr>
          <w:tblCellSpacing w:w="22" w:type="dxa"/>
        </w:trPr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3C" w:rsidRPr="00B938CE" w:rsidRDefault="00641A3C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1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3C" w:rsidRPr="00B938CE" w:rsidRDefault="00641A3C" w:rsidP="00C65DF9">
            <w:pPr>
              <w:spacing w:line="264" w:lineRule="auto"/>
              <w:ind w:firstLine="59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Залишення наявної на сьогодні ситуації без змін не забезпечить досягнення цілей.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3C" w:rsidRPr="00B938CE" w:rsidRDefault="00641A3C" w:rsidP="00C65DF9">
            <w:pPr>
              <w:spacing w:line="264" w:lineRule="auto"/>
              <w:ind w:firstLine="59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Вплив зовнішніх факторів на дію регуляторного акта не очікується.</w:t>
            </w:r>
          </w:p>
        </w:tc>
      </w:tr>
      <w:tr w:rsidR="00641A3C" w:rsidRPr="00B938CE" w:rsidTr="00641A3C">
        <w:trPr>
          <w:tblCellSpacing w:w="22" w:type="dxa"/>
        </w:trPr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3C" w:rsidRPr="00B938CE" w:rsidRDefault="00641A3C" w:rsidP="00C65DF9">
            <w:pPr>
              <w:widowControl/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Альтернатива 2</w:t>
            </w:r>
          </w:p>
        </w:tc>
        <w:tc>
          <w:tcPr>
            <w:tcW w:w="2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3C" w:rsidRPr="00B938CE" w:rsidRDefault="00641A3C" w:rsidP="00C65DF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9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Забезпечення учасників освітнього процесу більш якісними засобами навчання</w:t>
            </w:r>
            <w:r w:rsidR="00D07385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:rsidR="00804CD0" w:rsidRPr="00B938CE" w:rsidRDefault="00804CD0" w:rsidP="00C65DF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9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Зменшення </w:t>
            </w:r>
            <w:r w:rsidR="00D07385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кількості об’єктів грифування, а також </w:t>
            </w:r>
            <w:r w:rsidR="00B700EC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часу для 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суб’єктів господарювання на подання пакетів документів для </w:t>
            </w:r>
            <w:r w:rsidR="00B700EC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отримання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A1539A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грифа</w:t>
            </w:r>
            <w:r w:rsidR="00D07385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A3C" w:rsidRPr="00B938CE" w:rsidRDefault="00641A3C" w:rsidP="00C65DF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9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Вплив зовнішніх факторів на дію регуляторного акта не очікується.</w:t>
            </w:r>
          </w:p>
        </w:tc>
      </w:tr>
    </w:tbl>
    <w:p w:rsidR="002E2BF7" w:rsidRPr="00B938CE" w:rsidRDefault="002E2BF7" w:rsidP="00C65DF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3DD1" w:rsidRPr="00B938CE" w:rsidRDefault="007F3DD1" w:rsidP="00C65DF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>Враховуючи вищенаведені позитивні та негативні сторони альтернативних способів досягнення мети, доцільно прийняти запропонований альтернативою 2 регуляторний акт.</w:t>
      </w:r>
    </w:p>
    <w:p w:rsidR="007F3DD1" w:rsidRPr="00B938CE" w:rsidRDefault="007F3DD1" w:rsidP="00C65DF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Негативних наслідків від прийняття регуляторного акта не очікується.</w:t>
      </w:r>
    </w:p>
    <w:p w:rsidR="00D07385" w:rsidRPr="00B938CE" w:rsidRDefault="00D07385" w:rsidP="00B87F67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1182" w:rsidRPr="00B938CE" w:rsidRDefault="00601182" w:rsidP="00B87F67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1182" w:rsidRPr="00B938CE" w:rsidRDefault="00601182" w:rsidP="00B87F67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01182" w:rsidRPr="00B938CE" w:rsidRDefault="00601182" w:rsidP="00B87F67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34A3" w:rsidRPr="00B938CE" w:rsidRDefault="002834A3" w:rsidP="00B87F67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938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V. Механізми та заходи, які забезпечать розв’язання визначеної проблеми</w:t>
      </w:r>
    </w:p>
    <w:p w:rsidR="002834A3" w:rsidRPr="00B938CE" w:rsidRDefault="002834A3" w:rsidP="00B87F67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:rsidR="002834A3" w:rsidRPr="00B938CE" w:rsidRDefault="002834A3" w:rsidP="00B87F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n162"/>
      <w:bookmarkEnd w:id="7"/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вирішення проблем, визначених у розділі першому, та досягнення цілей, визначених у розділі другому цього аналізу регуляторного впливу, </w:t>
      </w:r>
      <w:r w:rsidR="00B57D5A"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>проєк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том акта передбачено механізм розв’язання проблеми шляхом його прийняття. </w:t>
      </w:r>
    </w:p>
    <w:p w:rsidR="008537A2" w:rsidRPr="00B938CE" w:rsidRDefault="00B57D5A" w:rsidP="00B87F67">
      <w:pPr>
        <w:pStyle w:val="a9"/>
        <w:tabs>
          <w:tab w:val="num" w:pos="0"/>
        </w:tabs>
        <w:ind w:firstLine="709"/>
        <w:jc w:val="both"/>
        <w:rPr>
          <w:rFonts w:eastAsia="Arial Unicode MS"/>
          <w:sz w:val="28"/>
          <w:szCs w:val="28"/>
          <w:lang w:val="uk-UA" w:eastAsia="uk-UA" w:bidi="uk-UA"/>
        </w:rPr>
      </w:pPr>
      <w:r w:rsidRPr="00B938CE">
        <w:rPr>
          <w:rFonts w:eastAsia="Arial Unicode MS"/>
          <w:sz w:val="28"/>
          <w:szCs w:val="28"/>
          <w:lang w:val="uk-UA" w:eastAsia="uk-UA" w:bidi="uk-UA"/>
        </w:rPr>
        <w:t>Проєк</w:t>
      </w:r>
      <w:r w:rsidR="002834A3" w:rsidRPr="00B938CE">
        <w:rPr>
          <w:rFonts w:eastAsia="Arial Unicode MS"/>
          <w:sz w:val="28"/>
          <w:szCs w:val="28"/>
          <w:lang w:val="uk-UA" w:eastAsia="uk-UA" w:bidi="uk-UA"/>
        </w:rPr>
        <w:t xml:space="preserve">том акта пропонується затвердити Порядок </w:t>
      </w:r>
      <w:r w:rsidR="00A1539A" w:rsidRPr="00B938CE">
        <w:rPr>
          <w:rFonts w:eastAsia="Arial Unicode MS"/>
          <w:sz w:val="28"/>
          <w:szCs w:val="28"/>
          <w:lang w:val="uk-UA" w:eastAsia="uk-UA" w:bidi="uk-UA"/>
        </w:rPr>
        <w:t>надання грифів навчальній літературі та навчальним програмам</w:t>
      </w:r>
      <w:r w:rsidR="008537A2" w:rsidRPr="00B938CE">
        <w:rPr>
          <w:rFonts w:eastAsia="Arial Unicode MS"/>
          <w:sz w:val="28"/>
          <w:szCs w:val="28"/>
          <w:lang w:val="uk-UA" w:eastAsia="uk-UA" w:bidi="uk-UA"/>
        </w:rPr>
        <w:t xml:space="preserve">, а також визнати таким, що втратив чинність, наказ Міністерства освіти і науки України від 17 червня 2008 </w:t>
      </w:r>
      <w:r w:rsidR="000813A7" w:rsidRPr="00B938CE">
        <w:rPr>
          <w:rFonts w:eastAsia="Arial Unicode MS"/>
          <w:sz w:val="28"/>
          <w:szCs w:val="28"/>
          <w:lang w:val="uk-UA" w:eastAsia="uk-UA" w:bidi="uk-UA"/>
        </w:rPr>
        <w:t> </w:t>
      </w:r>
      <w:r w:rsidR="008537A2" w:rsidRPr="00B938CE">
        <w:rPr>
          <w:rFonts w:eastAsia="Arial Unicode MS"/>
          <w:sz w:val="28"/>
          <w:szCs w:val="28"/>
          <w:lang w:val="uk-UA" w:eastAsia="uk-UA" w:bidi="uk-UA"/>
        </w:rPr>
        <w:t xml:space="preserve">року № 537 «Про затвердження Порядку надання навчальній літературі, засобам навчання і навчальному обладнанню грифів та свідоцтв Міністерства освіти і науки України», зареєстрований у Міністерстві юстиції України 10 </w:t>
      </w:r>
      <w:r w:rsidR="000813A7" w:rsidRPr="00B938CE">
        <w:rPr>
          <w:rFonts w:eastAsia="Arial Unicode MS"/>
          <w:sz w:val="28"/>
          <w:szCs w:val="28"/>
          <w:lang w:val="uk-UA" w:eastAsia="uk-UA" w:bidi="uk-UA"/>
        </w:rPr>
        <w:t> </w:t>
      </w:r>
      <w:r w:rsidR="008537A2" w:rsidRPr="00B938CE">
        <w:rPr>
          <w:rFonts w:eastAsia="Arial Unicode MS"/>
          <w:sz w:val="28"/>
          <w:szCs w:val="28"/>
          <w:lang w:val="uk-UA" w:eastAsia="uk-UA" w:bidi="uk-UA"/>
        </w:rPr>
        <w:t>липня 2008 року за № 628/15319.</w:t>
      </w:r>
    </w:p>
    <w:p w:rsidR="008537A2" w:rsidRPr="00B938CE" w:rsidRDefault="008537A2" w:rsidP="00B87F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Підтвердження відповідності об’єктів грифування психолого-педагогічним вимогам та </w:t>
      </w:r>
      <w:r w:rsidR="006C221E" w:rsidRPr="00B938CE">
        <w:rPr>
          <w:rFonts w:ascii="Times New Roman" w:hAnsi="Times New Roman" w:cs="Times New Roman"/>
          <w:color w:val="auto"/>
          <w:sz w:val="28"/>
          <w:szCs w:val="28"/>
        </w:rPr>
        <w:t>рекоменд</w:t>
      </w:r>
      <w:r w:rsidR="00871194" w:rsidRPr="00B938CE">
        <w:rPr>
          <w:rFonts w:ascii="Times New Roman" w:hAnsi="Times New Roman" w:cs="Times New Roman"/>
          <w:color w:val="auto"/>
          <w:sz w:val="28"/>
          <w:szCs w:val="28"/>
        </w:rPr>
        <w:t>ація</w:t>
      </w:r>
      <w:r w:rsidR="006C221E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їх</w:t>
      </w:r>
      <w:r w:rsidR="00871194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використання </w:t>
      </w:r>
      <w:r w:rsidR="006C221E" w:rsidRPr="00B938C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освітньо</w:t>
      </w:r>
      <w:r w:rsidR="006C221E" w:rsidRPr="00B938CE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процес</w:t>
      </w:r>
      <w:r w:rsidR="006C221E" w:rsidRPr="00B938CE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реалізується через процедуру надання таких грифів:</w:t>
      </w:r>
      <w:r w:rsidR="0070758A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«Рекомендовано Мініст</w:t>
      </w:r>
      <w:r w:rsidR="0070758A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ерством освіти і науки України» та 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«Схвалено для використання в освітньому процесі». </w:t>
      </w:r>
    </w:p>
    <w:p w:rsidR="006C221E" w:rsidRPr="00B938CE" w:rsidRDefault="008537A2" w:rsidP="006C221E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Гриф «Рекомендовано Міністерством освіти і науки України» надається об’єктам грифування, що були відповідно до законодавства визначені за результатами конкурсного відбору, </w:t>
      </w:r>
      <w:r w:rsidR="00A1539A" w:rsidRPr="00B938CE">
        <w:rPr>
          <w:rFonts w:ascii="Times New Roman" w:hAnsi="Times New Roman" w:cs="Times New Roman"/>
          <w:color w:val="auto"/>
          <w:sz w:val="28"/>
          <w:szCs w:val="28"/>
        </w:rPr>
        <w:t>навчальним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програмам відповідно до наказу МОН</w:t>
      </w:r>
      <w:r w:rsidR="00A1539A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, а також </w:t>
      </w:r>
      <w:r w:rsidR="00A1539A" w:rsidRPr="00B938CE">
        <w:rPr>
          <w:rFonts w:ascii="Times New Roman" w:hAnsi="Times New Roman"/>
          <w:color w:val="auto"/>
          <w:sz w:val="28"/>
          <w:szCs w:val="28"/>
        </w:rPr>
        <w:t>в інших випадках, визначених законодавством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221E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221E" w:rsidRPr="00B938CE">
        <w:rPr>
          <w:rFonts w:ascii="Times New Roman" w:hAnsi="Times New Roman"/>
          <w:color w:val="auto"/>
          <w:sz w:val="28"/>
          <w:szCs w:val="28"/>
        </w:rPr>
        <w:t>Гриф «Схвалено для використання в освітньому процесі» надається всім іншим об’єктам грифування.</w:t>
      </w:r>
    </w:p>
    <w:p w:rsidR="002834A3" w:rsidRPr="00B938CE" w:rsidRDefault="008537A2" w:rsidP="00B87F67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>Рішення щодо надання грифа об’єктам грифування ухвалюють експертні предметні (галузеві) комісії</w:t>
      </w:r>
      <w:r w:rsidR="002834A3" w:rsidRPr="00B93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B93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які</w:t>
      </w:r>
      <w:r w:rsidR="002834A3" w:rsidRPr="00B93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мають керуватися </w:t>
      </w:r>
      <w:r w:rsidRPr="00B93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вищезазначеним</w:t>
      </w:r>
      <w:r w:rsidR="002834A3" w:rsidRPr="00B93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</w:t>
      </w:r>
      <w:r w:rsidRPr="00B93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рядком</w:t>
      </w:r>
      <w:r w:rsidR="002834A3" w:rsidRPr="00B93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537A2" w:rsidRPr="00B938CE" w:rsidRDefault="008537A2" w:rsidP="00B87F67">
      <w:pPr>
        <w:pStyle w:val="a9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B938CE">
        <w:rPr>
          <w:sz w:val="28"/>
          <w:szCs w:val="28"/>
          <w:lang w:val="uk-UA" w:eastAsia="uk-UA"/>
        </w:rPr>
        <w:t xml:space="preserve">Крім того, відповідно до цього регуляторного акта </w:t>
      </w:r>
      <w:r w:rsidRPr="00B938CE">
        <w:rPr>
          <w:sz w:val="28"/>
          <w:szCs w:val="28"/>
          <w:lang w:val="uk-UA"/>
        </w:rPr>
        <w:t xml:space="preserve">автор (автори), видавництво (виробник, постачальник) або інші фізичні та юридичні особи – суб'єкти підприємницької діяльності, що мають виключні права на використання об’єкта грифування, мають подавати пакети документів. Це може здійснюватися в електронній формі через спеціалізоване програмне забезпечення (наприклад, електронну платформу). </w:t>
      </w:r>
    </w:p>
    <w:p w:rsidR="009101E7" w:rsidRPr="00B938CE" w:rsidRDefault="009101E7" w:rsidP="00B87F67">
      <w:pPr>
        <w:pStyle w:val="a9"/>
        <w:tabs>
          <w:tab w:val="num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B938CE">
        <w:rPr>
          <w:sz w:val="28"/>
          <w:szCs w:val="28"/>
          <w:lang w:val="uk-UA"/>
        </w:rPr>
        <w:t>Офіційним підтвердженням надання грифа є витяг з Каталогу, який розміщується для вільного доступу  на вебсайті визначеної МОН установи, що належить до сфери його управління, та/або на спеціальному інформаційному ресурсі в мережі Інтернет.</w:t>
      </w:r>
    </w:p>
    <w:p w:rsidR="009101E7" w:rsidRPr="00B938CE" w:rsidRDefault="009101E7" w:rsidP="00B87F67">
      <w:pPr>
        <w:pStyle w:val="a9"/>
        <w:tabs>
          <w:tab w:val="num" w:pos="0"/>
        </w:tabs>
        <w:ind w:firstLine="709"/>
        <w:jc w:val="both"/>
        <w:rPr>
          <w:sz w:val="24"/>
          <w:szCs w:val="24"/>
          <w:lang w:val="uk-UA" w:eastAsia="uk-UA"/>
        </w:rPr>
      </w:pPr>
    </w:p>
    <w:p w:rsidR="002834A3" w:rsidRPr="00B938CE" w:rsidRDefault="002834A3" w:rsidP="002E2BF7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8" w:name="n163"/>
      <w:bookmarkEnd w:id="8"/>
      <w:r w:rsidRPr="00B938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E2BF7" w:rsidRPr="00B938CE" w:rsidRDefault="002E2BF7" w:rsidP="00B87F6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34A3" w:rsidRPr="00B938CE" w:rsidRDefault="002834A3" w:rsidP="00B87F67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938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Враховуючи, що питома вага суб’єктів малого підприємництва у </w:t>
      </w:r>
      <w:r w:rsidRPr="00B938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загальній кількості суб’єктів господарювання, на яких поширюється регулювання, перевищує 10 %, здійснюється розрахунок витрат за запровадження державного регулювання для суб’єктів малого підприємництва згідно з додатком 4 до Методики проведення аналізу  впливу регуляторного акта (Тест малого підприємництва).</w:t>
      </w:r>
    </w:p>
    <w:p w:rsidR="00B87F67" w:rsidRPr="00B938CE" w:rsidRDefault="00B87F67" w:rsidP="00B87F67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9112E" w:rsidRPr="00B938CE" w:rsidRDefault="0099112E" w:rsidP="002E2BF7">
      <w:pPr>
        <w:widowControl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Обґрунтування запропонованого строку дії регуляторного акта</w:t>
      </w:r>
    </w:p>
    <w:p w:rsidR="0099112E" w:rsidRPr="00B938CE" w:rsidRDefault="0099112E" w:rsidP="002E2BF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Строк дії регуляторного акта необмежений у часі.</w:t>
      </w:r>
    </w:p>
    <w:p w:rsidR="0099112E" w:rsidRPr="00B938CE" w:rsidRDefault="0099112E" w:rsidP="00B87F67">
      <w:pPr>
        <w:tabs>
          <w:tab w:val="left" w:pos="142"/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9112E" w:rsidRPr="00B938CE" w:rsidRDefault="0099112E" w:rsidP="002E2BF7">
      <w:pPr>
        <w:widowControl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Визначення показників результативності дії регуляторного акта</w:t>
      </w:r>
    </w:p>
    <w:p w:rsidR="0099112E" w:rsidRPr="00B938CE" w:rsidRDefault="0099112E" w:rsidP="002E2BF7">
      <w:pPr>
        <w:tabs>
          <w:tab w:val="left" w:pos="720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>Прогнозними значеннями показників результативності регуляторного акта є:</w:t>
      </w:r>
    </w:p>
    <w:p w:rsidR="0070758A" w:rsidRPr="00B938CE" w:rsidRDefault="0070758A" w:rsidP="0070758A">
      <w:pPr>
        <w:tabs>
          <w:tab w:val="left" w:pos="851"/>
        </w:tabs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розмір надходжень з </w:t>
      </w:r>
      <w:r w:rsidRPr="00B938CE">
        <w:rPr>
          <w:rFonts w:ascii="Times New Roman" w:hAnsi="Times New Roman"/>
          <w:color w:val="auto"/>
          <w:sz w:val="28"/>
          <w:szCs w:val="28"/>
        </w:rPr>
        <w:t>надання платних послуг з проведення експертизи;</w:t>
      </w:r>
    </w:p>
    <w:p w:rsidR="0099112E" w:rsidRPr="00B938CE" w:rsidRDefault="0099112E" w:rsidP="00B87F67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кількість суб’єктів господарювання та/або фізичних осіб, на яких поширюється дія акта – необмежена. Дія </w:t>
      </w:r>
      <w:r w:rsidR="00B57D5A" w:rsidRPr="00B938CE">
        <w:rPr>
          <w:rFonts w:ascii="Times New Roman" w:hAnsi="Times New Roman" w:cs="Times New Roman"/>
          <w:color w:val="auto"/>
          <w:sz w:val="28"/>
          <w:szCs w:val="28"/>
        </w:rPr>
        <w:t>проєк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ту акта поширюватиметься на фізичних та юридичних осіб, які</w:t>
      </w:r>
      <w:r w:rsidR="00DD1419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зацікавлені в отриманні грифа</w:t>
      </w:r>
      <w:r w:rsidR="006C221E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навчальним програмам та навчальній літературі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D1419" w:rsidRPr="00B938CE">
        <w:rPr>
          <w:rFonts w:ascii="Times New Roman" w:hAnsi="Times New Roman" w:cs="Times New Roman"/>
          <w:color w:val="auto"/>
          <w:sz w:val="28"/>
          <w:szCs w:val="28"/>
        </w:rPr>
        <w:t>а також</w:t>
      </w:r>
      <w:r w:rsidR="00112A79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на членів</w:t>
      </w:r>
      <w:r w:rsidR="00DD1419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експертних предметних (галузевих) 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комісій</w:t>
      </w:r>
      <w:r w:rsidR="00112A79" w:rsidRPr="00B938CE">
        <w:rPr>
          <w:rFonts w:ascii="Times New Roman" w:hAnsi="Times New Roman" w:cs="Times New Roman"/>
          <w:color w:val="auto"/>
          <w:sz w:val="28"/>
          <w:szCs w:val="28"/>
        </w:rPr>
        <w:t>, які проводять комплексну експертизу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9112E" w:rsidRPr="00B938CE" w:rsidRDefault="0099112E" w:rsidP="00B87F67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рівень поінформованості суб’єктів господарювання та/або фізичних осіб з основних положень регуляторного акта – високий, оскільки повідомлення про оприлюднення, </w:t>
      </w:r>
      <w:r w:rsidR="00B57D5A" w:rsidRPr="00B938CE">
        <w:rPr>
          <w:rFonts w:ascii="Times New Roman" w:hAnsi="Times New Roman" w:cs="Times New Roman"/>
          <w:color w:val="auto"/>
          <w:sz w:val="28"/>
          <w:szCs w:val="28"/>
        </w:rPr>
        <w:t>проєк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т наказу та аналізу регуляторного впливу акта розміщено на офіційному </w:t>
      </w:r>
      <w:r w:rsidR="004F7554" w:rsidRPr="00B938CE">
        <w:rPr>
          <w:rFonts w:ascii="Times New Roman" w:hAnsi="Times New Roman" w:cs="Times New Roman"/>
          <w:color w:val="auto"/>
          <w:sz w:val="28"/>
          <w:szCs w:val="28"/>
        </w:rPr>
        <w:t>веб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сайті Міністерства освіти і науки України (</w:t>
      </w:r>
      <w:hyperlink r:id="rId8" w:history="1">
        <w:r w:rsidRPr="00B938CE">
          <w:rPr>
            <w:rFonts w:ascii="Times New Roman" w:hAnsi="Times New Roman" w:cs="Times New Roman"/>
            <w:color w:val="auto"/>
            <w:sz w:val="28"/>
            <w:szCs w:val="28"/>
          </w:rPr>
          <w:t>www.mon.gov.ua</w:t>
        </w:r>
      </w:hyperlink>
      <w:r w:rsidRPr="00B938CE">
        <w:rPr>
          <w:rFonts w:ascii="Times New Roman" w:hAnsi="Times New Roman" w:cs="Times New Roman"/>
          <w:color w:val="auto"/>
          <w:sz w:val="28"/>
          <w:szCs w:val="28"/>
        </w:rPr>
        <w:t>, розділів «Регуляторна політика», «Громадські обговорення»);</w:t>
      </w:r>
    </w:p>
    <w:p w:rsidR="0099112E" w:rsidRPr="00B938CE" w:rsidRDefault="0099112E" w:rsidP="00B87F67">
      <w:pPr>
        <w:tabs>
          <w:tab w:val="left" w:pos="720"/>
          <w:tab w:val="left" w:pos="851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час, </w:t>
      </w:r>
      <w:r w:rsidRPr="00B93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що витрачатиметься суб'єктами господарювання та/або фізичними особами, пов</w:t>
      </w:r>
      <w:r w:rsidR="00601182" w:rsidRPr="00B938CE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Pr="00B93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язаними з виконанням вимог акта 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– фактично з</w:t>
      </w:r>
      <w:r w:rsidR="00DD1419" w:rsidRPr="00B938CE">
        <w:rPr>
          <w:rFonts w:ascii="Times New Roman" w:hAnsi="Times New Roman" w:cs="Times New Roman"/>
          <w:color w:val="auto"/>
          <w:sz w:val="28"/>
          <w:szCs w:val="28"/>
        </w:rPr>
        <w:t>меншуєт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ься.</w:t>
      </w:r>
    </w:p>
    <w:p w:rsidR="00DD1419" w:rsidRPr="00B938CE" w:rsidRDefault="0099112E" w:rsidP="00B87F67">
      <w:pPr>
        <w:tabs>
          <w:tab w:val="left" w:pos="851"/>
        </w:tabs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>Кількісними показниками результативності акта є</w:t>
      </w:r>
      <w:r w:rsidR="00DD1419"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9112E" w:rsidRPr="00B938CE" w:rsidRDefault="0099112E" w:rsidP="00B87F67">
      <w:pPr>
        <w:tabs>
          <w:tab w:val="left" w:pos="851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відсоткове співвідношення загальної кількості </w:t>
      </w:r>
      <w:r w:rsidR="00DD1419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об’єктів грифування до їх кількості, яким експертними предметними (галузевими) комісіями </w:t>
      </w:r>
      <w:r w:rsidR="00804CD0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надано </w:t>
      </w:r>
      <w:r w:rsidR="00DD1419" w:rsidRPr="00B938CE">
        <w:rPr>
          <w:rFonts w:ascii="Times New Roman" w:hAnsi="Times New Roman" w:cs="Times New Roman"/>
          <w:color w:val="auto"/>
          <w:sz w:val="28"/>
          <w:szCs w:val="28"/>
        </w:rPr>
        <w:t>відповідний гриф;</w:t>
      </w:r>
    </w:p>
    <w:p w:rsidR="0099112E" w:rsidRPr="00B938CE" w:rsidRDefault="00DD1419" w:rsidP="00B87F67">
      <w:pPr>
        <w:tabs>
          <w:tab w:val="left" w:pos="851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>кількість об’єктів грифування</w:t>
      </w:r>
      <w:r w:rsidR="00804CD0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F0377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що 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направлено на доопрацювання за результатами проведення комплексної експертизи</w:t>
      </w:r>
      <w:r w:rsidR="0099112E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6F0377" w:rsidRPr="00B938CE">
        <w:rPr>
          <w:rFonts w:ascii="Times New Roman" w:hAnsi="Times New Roman" w:cs="Times New Roman"/>
          <w:color w:val="auto"/>
          <w:sz w:val="28"/>
          <w:szCs w:val="28"/>
        </w:rPr>
        <w:t>відхилено за результатами проведення комплексної експертизи</w:t>
      </w:r>
      <w:r w:rsidR="00804CD0" w:rsidRPr="00B938CE">
        <w:rPr>
          <w:rFonts w:ascii="Times New Roman" w:hAnsi="Times New Roman" w:cs="Times New Roman"/>
          <w:color w:val="auto"/>
          <w:sz w:val="28"/>
          <w:szCs w:val="28"/>
        </w:rPr>
        <w:t xml:space="preserve"> або </w:t>
      </w:r>
      <w:r w:rsidR="006F0377" w:rsidRPr="00B938CE">
        <w:rPr>
          <w:rFonts w:ascii="Times New Roman" w:hAnsi="Times New Roman" w:cs="Times New Roman"/>
          <w:color w:val="auto"/>
          <w:sz w:val="28"/>
          <w:szCs w:val="28"/>
        </w:rPr>
        <w:t>яким скас</w:t>
      </w:r>
      <w:r w:rsidR="00637D71" w:rsidRPr="00B938C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F0377" w:rsidRPr="00B938CE">
        <w:rPr>
          <w:rFonts w:ascii="Times New Roman" w:hAnsi="Times New Roman" w:cs="Times New Roman"/>
          <w:color w:val="auto"/>
          <w:sz w:val="28"/>
          <w:szCs w:val="28"/>
        </w:rPr>
        <w:t>вано гриф</w:t>
      </w:r>
      <w:r w:rsidR="0099112E" w:rsidRPr="00B938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112E" w:rsidRPr="00B938CE" w:rsidRDefault="0099112E" w:rsidP="00B87F67">
      <w:pPr>
        <w:tabs>
          <w:tab w:val="left" w:pos="851"/>
        </w:tabs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112E" w:rsidRPr="00B938CE" w:rsidRDefault="0099112E" w:rsidP="00B87F67">
      <w:pPr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Визначення</w:t>
      </w:r>
      <w:r w:rsidRPr="00B938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заходів, за допомогою яких здійснюватиметься відстеження результативності дії регуляторного акта</w:t>
      </w:r>
    </w:p>
    <w:p w:rsidR="00E17A8F" w:rsidRPr="00B938CE" w:rsidRDefault="00E17A8F" w:rsidP="00E17A8F">
      <w:pPr>
        <w:widowControl/>
        <w:tabs>
          <w:tab w:val="left" w:pos="709"/>
          <w:tab w:val="left" w:pos="85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9112E" w:rsidRPr="00B938CE" w:rsidRDefault="0099112E" w:rsidP="00B87F67">
      <w:pPr>
        <w:keepNext/>
        <w:widowControl/>
        <w:tabs>
          <w:tab w:val="left" w:pos="851"/>
        </w:tabs>
        <w:ind w:firstLine="72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Базове відстеження результативності вищезазначеного регуляторного акта буде здійснюватись до дати набрання чинності цього акта шляхом збору пропозицій, зауважень, статистичної інформації та їх аналізу.</w:t>
      </w:r>
    </w:p>
    <w:p w:rsidR="0099112E" w:rsidRPr="00B938CE" w:rsidRDefault="0099112E" w:rsidP="00B87F67">
      <w:pPr>
        <w:widowControl/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Повторне відстеження планується здійснити через рік після 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набрання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чинності регуляторного акта, в результаті якого відбудеться порівняння показників базового та повторного обстеження. У разі виявлення неврегульованих та проблемних питань шляхом аналізу якісних показників дії цього акта, ці питання будуть врегульовані шляхом внесення відповідних змін.</w:t>
      </w:r>
    </w:p>
    <w:p w:rsidR="0099112E" w:rsidRPr="00B938CE" w:rsidRDefault="0099112E" w:rsidP="00B87F67">
      <w:pPr>
        <w:widowControl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38C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Періодичне відстеження здійснюватиметься раз на три роки, починаючи з дня виконання заходів з повторного відстеження шляхом порівняння показників із аналогічними показниками, що встановлені під час повторного відстеження.</w:t>
      </w:r>
    </w:p>
    <w:p w:rsidR="0099112E" w:rsidRPr="00B938CE" w:rsidRDefault="0099112E" w:rsidP="00B87F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 проведення відстеження результативності − статистичний.</w:t>
      </w:r>
    </w:p>
    <w:p w:rsidR="0099112E" w:rsidRPr="00B938CE" w:rsidRDefault="0099112E" w:rsidP="00B87F6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 даних, за допомогою яких здійснюватиметься відстеження результативності, − статистичний.</w:t>
      </w:r>
    </w:p>
    <w:p w:rsidR="0070758A" w:rsidRPr="00B938CE" w:rsidRDefault="0070758A" w:rsidP="0070758A">
      <w:pPr>
        <w:pStyle w:val="ac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>До проведення відстеження результативності дії регуляторного акта залучатиметься</w:t>
      </w:r>
      <w:r w:rsidRPr="00B938CE">
        <w:rPr>
          <w:rFonts w:ascii="Times New Roman" w:hAnsi="Times New Roman"/>
          <w:color w:val="auto"/>
          <w:sz w:val="28"/>
          <w:szCs w:val="28"/>
        </w:rPr>
        <w:t xml:space="preserve"> визначена МОН установа, що належить до сфери його управління, на яку покладаються обов’язки організації роботи 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експертних предметних (галузевих) комісій</w:t>
      </w:r>
      <w:r w:rsidRPr="00B938CE">
        <w:rPr>
          <w:rFonts w:ascii="Times New Roman" w:hAnsi="Times New Roman"/>
          <w:color w:val="auto"/>
          <w:sz w:val="28"/>
          <w:szCs w:val="28"/>
        </w:rPr>
        <w:t>, проведення експертизи, формування та функціонування Каталогу</w:t>
      </w:r>
      <w:r w:rsidRPr="00B938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112E" w:rsidRPr="00B938CE" w:rsidRDefault="0099112E" w:rsidP="00B87F67">
      <w:pPr>
        <w:pStyle w:val="11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B938CE">
        <w:rPr>
          <w:sz w:val="28"/>
          <w:szCs w:val="28"/>
          <w:lang w:val="uk-UA"/>
        </w:rPr>
        <w:t xml:space="preserve">Відстеження результативності вищезазначеного регуляторного акта проводитиметься шляхом розгляду пропозицій та зауважень від суб’єктів господарювання та фізичних осіб, які надійшли до </w:t>
      </w:r>
      <w:r w:rsidRPr="00B938CE">
        <w:rPr>
          <w:rStyle w:val="FontStyle44"/>
          <w:sz w:val="28"/>
          <w:szCs w:val="28"/>
          <w:lang w:val="uk-UA"/>
        </w:rPr>
        <w:t>МОН протягом усього терміну його дії.</w:t>
      </w:r>
    </w:p>
    <w:p w:rsidR="00836558" w:rsidRPr="00B938CE" w:rsidRDefault="00836558" w:rsidP="00B87F6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01E7" w:rsidRPr="00B938CE" w:rsidRDefault="009101E7" w:rsidP="00B87F6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01E7" w:rsidRPr="00B938CE" w:rsidRDefault="009101E7" w:rsidP="00B87F6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76133" w:rsidRPr="00B938CE" w:rsidRDefault="00476133" w:rsidP="004761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B938CE">
        <w:rPr>
          <w:rFonts w:ascii="Times New Roman" w:hAnsi="Times New Roman"/>
          <w:color w:val="auto"/>
          <w:sz w:val="28"/>
          <w:szCs w:val="28"/>
        </w:rPr>
        <w:t xml:space="preserve">Т. в. о. Міністра </w:t>
      </w:r>
      <w:r w:rsidRPr="00B938CE">
        <w:rPr>
          <w:rFonts w:ascii="Times New Roman" w:hAnsi="Times New Roman"/>
          <w:color w:val="auto"/>
          <w:sz w:val="28"/>
          <w:szCs w:val="28"/>
        </w:rPr>
        <w:tab/>
      </w:r>
      <w:r w:rsidRPr="00B938CE">
        <w:rPr>
          <w:rFonts w:ascii="Times New Roman" w:hAnsi="Times New Roman"/>
          <w:color w:val="auto"/>
          <w:sz w:val="28"/>
          <w:szCs w:val="28"/>
        </w:rPr>
        <w:tab/>
      </w:r>
      <w:r w:rsidRPr="00B938CE">
        <w:rPr>
          <w:rFonts w:ascii="Times New Roman" w:hAnsi="Times New Roman"/>
          <w:color w:val="auto"/>
          <w:sz w:val="28"/>
          <w:szCs w:val="28"/>
        </w:rPr>
        <w:tab/>
      </w:r>
      <w:r w:rsidRPr="00B938CE">
        <w:rPr>
          <w:rFonts w:ascii="Times New Roman" w:hAnsi="Times New Roman"/>
          <w:color w:val="auto"/>
          <w:sz w:val="28"/>
          <w:szCs w:val="28"/>
        </w:rPr>
        <w:tab/>
      </w:r>
      <w:r w:rsidRPr="00B938CE">
        <w:rPr>
          <w:rFonts w:ascii="Times New Roman" w:hAnsi="Times New Roman"/>
          <w:color w:val="auto"/>
          <w:sz w:val="28"/>
          <w:szCs w:val="28"/>
        </w:rPr>
        <w:tab/>
      </w:r>
      <w:r w:rsidRPr="00B938CE">
        <w:rPr>
          <w:rFonts w:ascii="Times New Roman" w:hAnsi="Times New Roman"/>
          <w:color w:val="auto"/>
          <w:sz w:val="28"/>
          <w:szCs w:val="28"/>
        </w:rPr>
        <w:tab/>
      </w:r>
      <w:r w:rsidRPr="00B938CE">
        <w:rPr>
          <w:rFonts w:ascii="Times New Roman" w:hAnsi="Times New Roman"/>
          <w:color w:val="auto"/>
          <w:sz w:val="28"/>
          <w:szCs w:val="28"/>
        </w:rPr>
        <w:tab/>
        <w:t>Любомира МАНДЗІЙ</w:t>
      </w:r>
    </w:p>
    <w:p w:rsidR="0099112E" w:rsidRPr="00B938CE" w:rsidRDefault="0099112E" w:rsidP="006C221E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B4B4D" w:rsidRPr="00B938CE" w:rsidRDefault="002B4B4D" w:rsidP="00B87F6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99112E" w:rsidRPr="00B938CE" w:rsidRDefault="0099112E" w:rsidP="00B87F6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112E" w:rsidRPr="00B938CE" w:rsidRDefault="0099112E" w:rsidP="00B87F67">
      <w:pPr>
        <w:widowControl/>
        <w:tabs>
          <w:tab w:val="left" w:pos="851"/>
        </w:tabs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Додаток 1</w:t>
      </w:r>
    </w:p>
    <w:p w:rsidR="0099112E" w:rsidRPr="00B938CE" w:rsidRDefault="0099112E" w:rsidP="00B87F67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ВИТРАТИ</w:t>
      </w:r>
    </w:p>
    <w:p w:rsidR="0099112E" w:rsidRPr="00B938CE" w:rsidRDefault="000813A7" w:rsidP="00B87F67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одного суб’єкта</w:t>
      </w:r>
      <w:r w:rsidR="0099112E" w:rsidRPr="00B938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господарювання великого і середнього підприємництва, які виникають внаслідок дії регуляторного акта</w:t>
      </w:r>
    </w:p>
    <w:tbl>
      <w:tblPr>
        <w:tblW w:w="5004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8"/>
        <w:gridCol w:w="5099"/>
        <w:gridCol w:w="1293"/>
        <w:gridCol w:w="1335"/>
      </w:tblGrid>
      <w:tr w:rsidR="00B938CE" w:rsidRPr="00B938CE" w:rsidTr="0070758A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Порядковий номер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 перший рік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 п’ять років</w:t>
            </w:r>
          </w:p>
        </w:tc>
      </w:tr>
      <w:tr w:rsidR="00B938CE" w:rsidRPr="00B938CE" w:rsidTr="0070758A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B938CE" w:rsidRPr="00B938CE" w:rsidTr="0070758A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B938CE" w:rsidRPr="00B938CE" w:rsidTr="0070758A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70758A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Витрати, </w:t>
            </w:r>
            <w:r w:rsidR="0070758A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пов’язані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із веденням обліку, підготовкою та поданням звітності державним органам, гривень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B938CE" w:rsidRPr="00B938CE" w:rsidTr="0070758A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B938CE" w:rsidRPr="00B938CE" w:rsidTr="0070758A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9C" w:rsidRPr="00B938CE" w:rsidRDefault="00753E9C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9C" w:rsidRPr="00B938CE" w:rsidRDefault="00753E9C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  <w:p w:rsidR="0070758A" w:rsidRPr="00B938CE" w:rsidRDefault="0070758A" w:rsidP="002C44E0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r w:rsidR="002C44E0"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з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агальн</w:t>
            </w:r>
            <w:r w:rsidR="002C44E0"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кількості об’єктів грифування Х </w:t>
            </w:r>
            <w:r w:rsidR="002C44E0"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вартість платних послуг з проведення комплексної експертизи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9C" w:rsidRPr="00B938CE" w:rsidRDefault="002C44E0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324160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0" w:rsidRPr="00B938CE" w:rsidRDefault="002C44E0" w:rsidP="002C44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1620800</w:t>
            </w:r>
          </w:p>
          <w:p w:rsidR="00753E9C" w:rsidRPr="00B938CE" w:rsidRDefault="00753E9C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938CE" w:rsidRPr="00B938CE" w:rsidTr="0070758A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8BA" w:rsidRPr="00B938CE" w:rsidRDefault="00F678BA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8BA" w:rsidRPr="00B938CE" w:rsidRDefault="00F678BA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на оборотні активи (матеріали, канцелярські товари тощо), гривень</w:t>
            </w:r>
          </w:p>
          <w:p w:rsidR="008F68DB" w:rsidRPr="00B938CE" w:rsidRDefault="008F68DB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10% від</w:t>
            </w:r>
            <w:r w:rsidR="001D6E9E"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загальної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кількості об’єктів грифування Х середня кількість сторінок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у пакеті документів Х сумарні витрати на друк </w:t>
            </w:r>
            <w:r w:rsidR="00683592"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 стор.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78BA" w:rsidRPr="00B938CE" w:rsidRDefault="00753E9C" w:rsidP="00B87F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78BA" w:rsidRPr="00B938CE" w:rsidRDefault="00753E9C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1600</w:t>
            </w:r>
          </w:p>
        </w:tc>
      </w:tr>
      <w:tr w:rsidR="00B938CE" w:rsidRPr="00B938CE" w:rsidTr="0070758A">
        <w:trPr>
          <w:trHeight w:val="601"/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7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5042AB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Витрати, пов’язані</w:t>
            </w:r>
            <w:r w:rsidR="0099112E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із наймом додаткового персоналу, гривень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83754C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B938CE" w:rsidRPr="00B938CE" w:rsidTr="0070758A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Інше (уточнити), гривень: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83754C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  <w:tr w:rsidR="00B938CE" w:rsidRPr="00B938CE" w:rsidTr="0070758A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8BA" w:rsidRPr="00B938CE" w:rsidRDefault="00F678BA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8BA" w:rsidRPr="00B938CE" w:rsidRDefault="00F678BA" w:rsidP="00B87F67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0"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підготовка </w:t>
            </w:r>
            <w:r w:rsidR="00B700EC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рукопису та інших документів для подання для отримання грифа</w:t>
            </w:r>
          </w:p>
          <w:p w:rsidR="008F68DB" w:rsidRPr="00B938CE" w:rsidRDefault="008F68DB" w:rsidP="00B87F67">
            <w:pPr>
              <w:widowControl/>
              <w:tabs>
                <w:tab w:val="left" w:pos="484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r w:rsidR="001D6E9E"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загальна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кількості об’єктів грифування Х </w:t>
            </w:r>
            <w:r w:rsidR="001C7441"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фактичні витрати часу персоналу на заробітну плату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A3565" w:rsidRPr="00B938CE" w:rsidRDefault="00753E9C" w:rsidP="00B87F6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41680</w:t>
            </w:r>
          </w:p>
          <w:p w:rsidR="00F678BA" w:rsidRPr="00B938CE" w:rsidRDefault="00F678BA" w:rsidP="00B87F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678BA" w:rsidRPr="00B938CE" w:rsidRDefault="00753E9C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208400</w:t>
            </w:r>
          </w:p>
        </w:tc>
      </w:tr>
      <w:tr w:rsidR="00B938CE" w:rsidRPr="00B938CE" w:rsidTr="0070758A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8BA" w:rsidRPr="00B938CE" w:rsidRDefault="00F678BA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8BA" w:rsidRPr="00B938CE" w:rsidRDefault="00F678BA" w:rsidP="00B87F67">
            <w:pPr>
              <w:widowControl/>
              <w:numPr>
                <w:ilvl w:val="0"/>
                <w:numId w:val="2"/>
              </w:numPr>
              <w:tabs>
                <w:tab w:val="left" w:pos="484"/>
                <w:tab w:val="left" w:pos="851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відправка пакетів матеріалів до </w:t>
            </w:r>
            <w:r w:rsidR="00D21609"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установи, визначеної МОН</w:t>
            </w:r>
          </w:p>
          <w:p w:rsidR="001D6E9E" w:rsidRPr="00B938CE" w:rsidRDefault="001D6E9E" w:rsidP="00B87F67">
            <w:pPr>
              <w:widowControl/>
              <w:tabs>
                <w:tab w:val="left" w:pos="484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загальна кількості об’єктів грифування Х середні витрати на одну відправку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678BA" w:rsidRPr="00B938CE" w:rsidRDefault="00815965" w:rsidP="00B87F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480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678BA" w:rsidRPr="00B938CE" w:rsidRDefault="00753E9C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2400</w:t>
            </w:r>
          </w:p>
        </w:tc>
      </w:tr>
      <w:tr w:rsidR="00B938CE" w:rsidRPr="00B938CE" w:rsidTr="0070758A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9C" w:rsidRPr="00B938CE" w:rsidRDefault="00753E9C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9C" w:rsidRPr="00B938CE" w:rsidRDefault="00753E9C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РАЗОМ (сума рядків: 1 + 2 + 3 + 4 + 5 + 6 + 7 + 8), гривень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44E0" w:rsidRPr="00B938CE" w:rsidRDefault="002C44E0" w:rsidP="002C44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366640</w:t>
            </w:r>
          </w:p>
          <w:p w:rsidR="00753E9C" w:rsidRPr="00B938CE" w:rsidRDefault="00753E9C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44E0" w:rsidRPr="00B938CE" w:rsidRDefault="002C44E0" w:rsidP="002C44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1833200</w:t>
            </w:r>
          </w:p>
          <w:p w:rsidR="00753E9C" w:rsidRPr="00B938CE" w:rsidRDefault="00753E9C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B938CE" w:rsidRPr="00B938CE" w:rsidTr="0070758A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9C" w:rsidRPr="00B938CE" w:rsidRDefault="00753E9C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9C" w:rsidRPr="00B938CE" w:rsidRDefault="00753E9C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53E9C" w:rsidRPr="00B938CE" w:rsidRDefault="00753E9C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53E9C" w:rsidRPr="00B938CE" w:rsidRDefault="00753E9C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</w:t>
            </w:r>
          </w:p>
        </w:tc>
      </w:tr>
      <w:tr w:rsidR="002C44E0" w:rsidRPr="00B938CE" w:rsidTr="000813A7">
        <w:trPr>
          <w:tblCellSpacing w:w="22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0" w:rsidRPr="00B938CE" w:rsidRDefault="002C44E0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0" w:rsidRPr="00B938CE" w:rsidRDefault="002C44E0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Сумарні витрати суб'єктів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4E0" w:rsidRPr="00B938CE" w:rsidRDefault="002C44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1833200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4E0" w:rsidRPr="00B938CE" w:rsidRDefault="002C44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9166000</w:t>
            </w:r>
          </w:p>
        </w:tc>
      </w:tr>
    </w:tbl>
    <w:p w:rsidR="00242897" w:rsidRPr="00B938CE" w:rsidRDefault="00242897" w:rsidP="00B87F67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112E" w:rsidRPr="00B938CE" w:rsidRDefault="0099112E" w:rsidP="00B87F67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Розрахунок відповідних витрат на одного суб'єкта господарювання</w:t>
      </w:r>
    </w:p>
    <w:tbl>
      <w:tblPr>
        <w:tblW w:w="5177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304"/>
        <w:gridCol w:w="1365"/>
      </w:tblGrid>
      <w:tr w:rsidR="00B938CE" w:rsidRPr="00B938CE" w:rsidTr="009075E0">
        <w:trPr>
          <w:tblCellSpacing w:w="22" w:type="dxa"/>
          <w:jc w:val="center"/>
        </w:trPr>
        <w:tc>
          <w:tcPr>
            <w:tcW w:w="4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витрат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99112E" w:rsidRPr="00B938CE" w:rsidTr="009075E0">
        <w:trPr>
          <w:tblCellSpacing w:w="22" w:type="dxa"/>
          <w:jc w:val="center"/>
        </w:trPr>
        <w:tc>
          <w:tcPr>
            <w:tcW w:w="4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</w:tbl>
    <w:p w:rsidR="0099112E" w:rsidRPr="00B938CE" w:rsidRDefault="0099112E" w:rsidP="00B87F67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152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79"/>
        <w:gridCol w:w="1343"/>
      </w:tblGrid>
      <w:tr w:rsidR="00B938CE" w:rsidRPr="00B938CE" w:rsidTr="009075E0">
        <w:trPr>
          <w:tblCellSpacing w:w="22" w:type="dxa"/>
          <w:jc w:val="center"/>
        </w:trPr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витрат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</w:t>
            </w:r>
          </w:p>
        </w:tc>
      </w:tr>
      <w:tr w:rsidR="0099112E" w:rsidRPr="00B938CE" w:rsidTr="009075E0">
        <w:trPr>
          <w:tblCellSpacing w:w="22" w:type="dxa"/>
          <w:jc w:val="center"/>
        </w:trPr>
        <w:tc>
          <w:tcPr>
            <w:tcW w:w="4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</w:tbl>
    <w:p w:rsidR="0099112E" w:rsidRPr="00B938CE" w:rsidRDefault="0099112E" w:rsidP="00B87F67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152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2"/>
        <w:gridCol w:w="2428"/>
        <w:gridCol w:w="2428"/>
        <w:gridCol w:w="1204"/>
      </w:tblGrid>
      <w:tr w:rsidR="00B938CE" w:rsidRPr="00B938CE" w:rsidTr="009075E0">
        <w:trPr>
          <w:tblCellSpacing w:w="22" w:type="dxa"/>
          <w:jc w:val="center"/>
        </w:trPr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Вид витрат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на оплату штрафних санкцій за рік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Разом за рік</w:t>
            </w:r>
          </w:p>
        </w:tc>
      </w:tr>
      <w:tr w:rsidR="00B938CE" w:rsidRPr="00B938CE" w:rsidTr="009075E0">
        <w:trPr>
          <w:tblCellSpacing w:w="22" w:type="dxa"/>
          <w:jc w:val="center"/>
        </w:trPr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</w:tbl>
    <w:p w:rsidR="0099112E" w:rsidRPr="00B938CE" w:rsidRDefault="0099112E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* Вартість витрат, пов'язаних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203" w:type="pct"/>
        <w:tblCellSpacing w:w="22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8"/>
        <w:gridCol w:w="2359"/>
        <w:gridCol w:w="2359"/>
        <w:gridCol w:w="1251"/>
      </w:tblGrid>
      <w:tr w:rsidR="00B938CE" w:rsidRPr="00B938CE" w:rsidTr="009075E0">
        <w:trPr>
          <w:tblCellSpacing w:w="22" w:type="dxa"/>
        </w:trPr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витрат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Разом за рік</w:t>
            </w:r>
          </w:p>
        </w:tc>
      </w:tr>
      <w:tr w:rsidR="00B938CE" w:rsidRPr="00B938CE" w:rsidTr="009075E0">
        <w:trPr>
          <w:tblCellSpacing w:w="22" w:type="dxa"/>
        </w:trPr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</w:tbl>
    <w:p w:rsidR="0099112E" w:rsidRPr="00B938CE" w:rsidRDefault="0099112E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* Вартість витрат, пов'язаних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203" w:type="pct"/>
        <w:tblCellSpacing w:w="22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50"/>
        <w:gridCol w:w="2359"/>
        <w:gridCol w:w="2359"/>
        <w:gridCol w:w="1249"/>
      </w:tblGrid>
      <w:tr w:rsidR="00B938CE" w:rsidRPr="00B938CE" w:rsidTr="003531E9">
        <w:trPr>
          <w:tblCellSpacing w:w="22" w:type="dxa"/>
        </w:trPr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витрат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на проходження відповідних процедур (витрати часу, витрати на експертизи тощо)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Разом за рік </w:t>
            </w:r>
          </w:p>
        </w:tc>
      </w:tr>
      <w:tr w:rsidR="00B938CE" w:rsidRPr="00B938CE" w:rsidTr="003531E9">
        <w:trPr>
          <w:tblCellSpacing w:w="22" w:type="dxa"/>
        </w:trPr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9E" w:rsidRPr="00B938CE" w:rsidRDefault="0099112E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Витрати на отримання адміністративних послуг (дозволів, ліцензій, 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  <w:r w:rsidR="001D6E9E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: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3531E9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324160</w:t>
            </w:r>
          </w:p>
          <w:p w:rsidR="003531E9" w:rsidRPr="00B938CE" w:rsidRDefault="003531E9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 xml:space="preserve">загальна кількості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об’єктів грифування Х вартість платних послуг з проведення комплексної експертизи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3531E9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1E9" w:rsidRPr="00B938CE" w:rsidRDefault="003531E9" w:rsidP="003531E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324160</w:t>
            </w:r>
          </w:p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B938CE" w:rsidRPr="00B938CE" w:rsidTr="003531E9">
        <w:trPr>
          <w:tblCellSpacing w:w="22" w:type="dxa"/>
        </w:trPr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88" w:rsidRPr="00B938CE" w:rsidRDefault="00950A64" w:rsidP="00B87F67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висновку державної санітарно-епідеміологічної експертизи</w:t>
            </w:r>
          </w:p>
          <w:p w:rsidR="001C7441" w:rsidRPr="00B938CE" w:rsidRDefault="001C7441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441" w:rsidRPr="00B938CE" w:rsidRDefault="007A163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833,6</w:t>
            </w:r>
          </w:p>
          <w:p w:rsidR="001C7441" w:rsidRPr="00B938CE" w:rsidRDefault="001C7441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864488" w:rsidRPr="00B938CE" w:rsidRDefault="001C7441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(Формула: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10% від загальної кількості об’єктів грифування Х фактичні витрати часу персоналу на заробітну плату)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C1B" w:rsidRPr="00B938CE" w:rsidRDefault="007A163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1600</w:t>
            </w:r>
          </w:p>
          <w:p w:rsidR="001C7441" w:rsidRPr="00B938CE" w:rsidRDefault="001C7441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1C7441" w:rsidRPr="00B938CE" w:rsidRDefault="001C7441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(Формула: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10% від загальної кількості об’єктів грифування Х ціна адмінпослуги)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88" w:rsidRPr="00B938CE" w:rsidRDefault="007A163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2433,6</w:t>
            </w:r>
          </w:p>
        </w:tc>
      </w:tr>
      <w:tr w:rsidR="00B938CE" w:rsidRPr="00B938CE" w:rsidTr="003531E9">
        <w:trPr>
          <w:tblCellSpacing w:w="22" w:type="dxa"/>
        </w:trPr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9F" w:rsidRPr="00B938CE" w:rsidRDefault="00740E9F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декларації чи сертифікату відповідності технічним регламентам на продукцію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C1B" w:rsidRPr="00B938CE" w:rsidRDefault="007A163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833,6</w:t>
            </w:r>
          </w:p>
          <w:p w:rsidR="00740E9F" w:rsidRPr="00B938CE" w:rsidRDefault="00740E9F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740E9F" w:rsidRPr="00B938CE" w:rsidRDefault="00740E9F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(Формула: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10% від загальної кількості об’єктів грифування Х фактичні витрати часу персоналу на заробітну плату)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9F" w:rsidRPr="00B938CE" w:rsidRDefault="007A163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12000</w:t>
            </w:r>
          </w:p>
          <w:p w:rsidR="00740E9F" w:rsidRPr="00B938CE" w:rsidRDefault="00740E9F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  <w:p w:rsidR="00740E9F" w:rsidRPr="00B938CE" w:rsidRDefault="00740E9F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(Формула: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10% від загальної кількості об’єктів грифування Х ціна адмінпослуги)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E9F" w:rsidRPr="00B938CE" w:rsidRDefault="007A163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12833,6</w:t>
            </w:r>
          </w:p>
        </w:tc>
      </w:tr>
    </w:tbl>
    <w:p w:rsidR="0099112E" w:rsidRPr="00B938CE" w:rsidRDefault="0099112E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A3565" w:rsidRPr="00B938CE" w:rsidRDefault="005A3565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>За середньозважену середню заробітну плату взято 52,1 грн/год.</w:t>
      </w:r>
    </w:p>
    <w:p w:rsidR="00782013" w:rsidRPr="00B938CE" w:rsidRDefault="00782013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10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4"/>
        <w:gridCol w:w="2223"/>
      </w:tblGrid>
      <w:tr w:rsidR="00B938CE" w:rsidRPr="00B938CE" w:rsidTr="009075E0">
        <w:trPr>
          <w:tblCellSpacing w:w="22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витрат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Разом за рік, грн</w:t>
            </w:r>
          </w:p>
        </w:tc>
      </w:tr>
      <w:tr w:rsidR="0099112E" w:rsidRPr="00B938CE" w:rsidTr="009075E0">
        <w:trPr>
          <w:tblCellSpacing w:w="22" w:type="dxa"/>
        </w:trPr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BD2064" w:rsidP="00B87F67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</w:tr>
    </w:tbl>
    <w:p w:rsidR="0099112E" w:rsidRPr="00B938CE" w:rsidRDefault="0099112E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10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8"/>
        <w:gridCol w:w="4049"/>
      </w:tblGrid>
      <w:tr w:rsidR="00B938CE" w:rsidRPr="00B938CE" w:rsidTr="009075E0">
        <w:trPr>
          <w:tblCellSpacing w:w="22" w:type="dxa"/>
        </w:trPr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витрат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на оплату праці додатково найманого персоналу (за рік)</w:t>
            </w:r>
          </w:p>
        </w:tc>
      </w:tr>
      <w:tr w:rsidR="0099112E" w:rsidRPr="00B938CE" w:rsidTr="009075E0">
        <w:trPr>
          <w:tblCellSpacing w:w="22" w:type="dxa"/>
        </w:trPr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Витрати, </w:t>
            </w:r>
            <w:r w:rsidR="00B87F67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пов’язані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із наймом додаткового персоналу</w:t>
            </w:r>
          </w:p>
        </w:tc>
        <w:tc>
          <w:tcPr>
            <w:tcW w:w="2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</w:p>
        </w:tc>
      </w:tr>
    </w:tbl>
    <w:p w:rsidR="0099112E" w:rsidRPr="00B938CE" w:rsidRDefault="0099112E" w:rsidP="00B87F67">
      <w:pPr>
        <w:pStyle w:val="a3"/>
        <w:tabs>
          <w:tab w:val="left" w:pos="851"/>
        </w:tabs>
        <w:jc w:val="both"/>
        <w:rPr>
          <w:rFonts w:eastAsia="Times New Roman"/>
          <w:color w:val="auto"/>
          <w:sz w:val="28"/>
          <w:szCs w:val="28"/>
          <w:lang w:eastAsia="ru-RU" w:bidi="ar-SA"/>
        </w:rPr>
      </w:pPr>
    </w:p>
    <w:p w:rsidR="0099112E" w:rsidRPr="00B938CE" w:rsidRDefault="0099112E" w:rsidP="00B87F67">
      <w:pPr>
        <w:pStyle w:val="a3"/>
        <w:tabs>
          <w:tab w:val="left" w:pos="851"/>
        </w:tabs>
        <w:jc w:val="both"/>
        <w:rPr>
          <w:rFonts w:eastAsia="Times New Roman"/>
          <w:color w:val="auto"/>
          <w:sz w:val="28"/>
          <w:szCs w:val="28"/>
          <w:lang w:eastAsia="ru-RU" w:bidi="ar-SA"/>
        </w:rPr>
      </w:pPr>
    </w:p>
    <w:p w:rsidR="0099112E" w:rsidRPr="00B938CE" w:rsidRDefault="0099112E" w:rsidP="00B87F67">
      <w:pPr>
        <w:pStyle w:val="a3"/>
        <w:tabs>
          <w:tab w:val="left" w:pos="851"/>
        </w:tabs>
        <w:jc w:val="right"/>
        <w:rPr>
          <w:rFonts w:eastAsia="Times New Roman"/>
          <w:b/>
          <w:color w:val="auto"/>
          <w:sz w:val="28"/>
          <w:szCs w:val="28"/>
          <w:lang w:eastAsia="ru-RU" w:bidi="ar-SA"/>
        </w:rPr>
      </w:pPr>
      <w:r w:rsidRPr="00B938CE">
        <w:rPr>
          <w:rFonts w:eastAsia="Times New Roman"/>
          <w:b/>
          <w:color w:val="auto"/>
          <w:sz w:val="28"/>
          <w:szCs w:val="28"/>
          <w:lang w:eastAsia="ru-RU" w:bidi="ar-SA"/>
        </w:rPr>
        <w:lastRenderedPageBreak/>
        <w:t>Додаток 2</w:t>
      </w:r>
    </w:p>
    <w:p w:rsidR="0099112E" w:rsidRPr="00B938CE" w:rsidRDefault="0099112E" w:rsidP="00B87F67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ТЕСТ</w:t>
      </w:r>
      <w:r w:rsidRPr="00B938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малого підприємництва (М-Тест)</w:t>
      </w:r>
    </w:p>
    <w:p w:rsidR="00B87F67" w:rsidRPr="00B938CE" w:rsidRDefault="00B87F67" w:rsidP="00B87F67">
      <w:pPr>
        <w:keepNext/>
        <w:widowControl/>
        <w:tabs>
          <w:tab w:val="left" w:pos="851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9112E" w:rsidRPr="00B938CE" w:rsidRDefault="0099112E" w:rsidP="00B87F67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1. Консультації з представниками мікро- та малого підприємництва щодо оцінки впливу регулювання.</w:t>
      </w:r>
    </w:p>
    <w:p w:rsidR="0099112E" w:rsidRPr="00B938CE" w:rsidRDefault="0099112E" w:rsidP="00B87F67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B700EC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жовтня 2019 року </w:t>
      </w:r>
      <w:r w:rsidR="00FF71C6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 </w:t>
      </w:r>
      <w:r w:rsidR="00B700EC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квітень</w:t>
      </w:r>
      <w:r w:rsidR="00FF71C6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20</w:t>
      </w:r>
      <w:r w:rsidR="00B700EC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20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60" w:firstRow="1" w:lastRow="1" w:firstColumn="0" w:lastColumn="0" w:noHBand="0" w:noVBand="0"/>
      </w:tblPr>
      <w:tblGrid>
        <w:gridCol w:w="1618"/>
        <w:gridCol w:w="3309"/>
        <w:gridCol w:w="1786"/>
        <w:gridCol w:w="2625"/>
      </w:tblGrid>
      <w:tr w:rsidR="00B938CE" w:rsidRPr="00B938CE" w:rsidTr="00112A79">
        <w:trPr>
          <w:trHeight w:val="1900"/>
          <w:tblCellSpacing w:w="22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Порядковий номер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Кількість учасників консультацій, осіб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Основні результати консультацій (опис)</w:t>
            </w:r>
          </w:p>
        </w:tc>
      </w:tr>
      <w:tr w:rsidR="00B938CE" w:rsidRPr="00B938CE" w:rsidTr="00112A79">
        <w:trPr>
          <w:tblCellSpacing w:w="22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pStyle w:val="a3"/>
              <w:tabs>
                <w:tab w:val="left" w:pos="851"/>
              </w:tabs>
              <w:jc w:val="both"/>
              <w:rPr>
                <w:color w:val="auto"/>
                <w:sz w:val="28"/>
                <w:szCs w:val="28"/>
              </w:rPr>
            </w:pPr>
            <w:r w:rsidRPr="00B938CE">
              <w:rPr>
                <w:color w:val="auto"/>
                <w:sz w:val="28"/>
                <w:szCs w:val="28"/>
              </w:rPr>
              <w:t xml:space="preserve">Круглий стіл ДНУ «Інститут модернізації змісту освіти» </w:t>
            </w:r>
          </w:p>
          <w:p w:rsidR="0099112E" w:rsidRPr="00B938CE" w:rsidRDefault="0099112E" w:rsidP="00B87F67">
            <w:pPr>
              <w:pStyle w:val="a3"/>
              <w:tabs>
                <w:tab w:val="left" w:pos="851"/>
              </w:tabs>
              <w:jc w:val="both"/>
              <w:rPr>
                <w:color w:val="auto"/>
                <w:sz w:val="28"/>
                <w:szCs w:val="28"/>
              </w:rPr>
            </w:pPr>
            <w:r w:rsidRPr="00B938CE">
              <w:rPr>
                <w:color w:val="auto"/>
                <w:sz w:val="28"/>
                <w:szCs w:val="28"/>
              </w:rPr>
              <w:t>(м. Київ, вул. Митрополита Василя Липківського, 36)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26628B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="0099112E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Отримано консультацію щодо механізму </w:t>
            </w:r>
            <w:r w:rsidR="00112A79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надання навчальній літературі, засобам навчання і навчальному обладнанню грифів та свідоцтв МОН</w:t>
            </w:r>
          </w:p>
        </w:tc>
      </w:tr>
      <w:tr w:rsidR="00B938CE" w:rsidRPr="00B938CE" w:rsidTr="00112A79">
        <w:trPr>
          <w:tblCellSpacing w:w="22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28B" w:rsidRPr="00B938CE" w:rsidRDefault="0026628B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28B" w:rsidRPr="00B938CE" w:rsidRDefault="00112A79" w:rsidP="006D4142">
            <w:pPr>
              <w:pStyle w:val="a3"/>
              <w:tabs>
                <w:tab w:val="left" w:pos="851"/>
              </w:tabs>
              <w:jc w:val="both"/>
              <w:rPr>
                <w:color w:val="auto"/>
                <w:sz w:val="28"/>
                <w:szCs w:val="28"/>
              </w:rPr>
            </w:pPr>
            <w:r w:rsidRPr="00B938CE">
              <w:rPr>
                <w:color w:val="auto"/>
                <w:sz w:val="28"/>
                <w:szCs w:val="28"/>
              </w:rPr>
              <w:t xml:space="preserve">Нарада під головування заступника Міністра освіти і науки України щодо основних </w:t>
            </w:r>
            <w:r w:rsidR="008F3462" w:rsidRPr="00B938CE">
              <w:rPr>
                <w:color w:val="auto"/>
                <w:sz w:val="28"/>
                <w:szCs w:val="28"/>
              </w:rPr>
              <w:t xml:space="preserve">організаційних </w:t>
            </w:r>
            <w:r w:rsidRPr="00B938CE">
              <w:rPr>
                <w:color w:val="auto"/>
                <w:sz w:val="28"/>
                <w:szCs w:val="28"/>
              </w:rPr>
              <w:t>засад визначення доцільності впровадження та використання учасниками освітнього процесу об’єктів грифування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28B" w:rsidRPr="00B938CE" w:rsidRDefault="00D21609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28B" w:rsidRPr="00B938CE" w:rsidRDefault="002F5CB2" w:rsidP="00B700EC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Обговорено</w:t>
            </w:r>
            <w:r w:rsidR="00112A79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основні  </w:t>
            </w:r>
            <w:r w:rsidR="008F3462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організаційні </w:t>
            </w:r>
            <w:r w:rsidR="00112A79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засади </w:t>
            </w:r>
            <w:r w:rsidR="00112A79"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системи організаційної роботи щодо проведення комплексної ек</w:t>
            </w:r>
            <w:r w:rsidR="00B700EC"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спертизи навчальної літератури</w:t>
            </w:r>
          </w:p>
        </w:tc>
      </w:tr>
      <w:tr w:rsidR="00B938CE" w:rsidRPr="00B938CE" w:rsidTr="00112A79">
        <w:trPr>
          <w:tblCellSpacing w:w="22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EC" w:rsidRPr="00B938CE" w:rsidRDefault="00B700EC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EC" w:rsidRPr="00B938CE" w:rsidRDefault="00B700EC" w:rsidP="002F5CB2">
            <w:pPr>
              <w:pStyle w:val="a3"/>
              <w:tabs>
                <w:tab w:val="left" w:pos="851"/>
              </w:tabs>
              <w:jc w:val="both"/>
              <w:rPr>
                <w:color w:val="auto"/>
                <w:sz w:val="28"/>
                <w:szCs w:val="28"/>
              </w:rPr>
            </w:pPr>
            <w:r w:rsidRPr="00B938CE">
              <w:rPr>
                <w:color w:val="auto"/>
                <w:sz w:val="28"/>
                <w:szCs w:val="28"/>
              </w:rPr>
              <w:t xml:space="preserve">Консультації </w:t>
            </w:r>
            <w:r w:rsidR="002F5CB2" w:rsidRPr="00B938CE">
              <w:rPr>
                <w:color w:val="auto"/>
                <w:sz w:val="28"/>
                <w:szCs w:val="28"/>
              </w:rPr>
              <w:t xml:space="preserve">з </w:t>
            </w:r>
            <w:r w:rsidR="002F5CB2" w:rsidRPr="00B938CE">
              <w:rPr>
                <w:bCs/>
                <w:color w:val="auto"/>
                <w:sz w:val="28"/>
                <w:szCs w:val="28"/>
              </w:rPr>
              <w:t xml:space="preserve">Агенцію розвитку освітньої політики, Асоціацією </w:t>
            </w:r>
            <w:r w:rsidR="002F5CB2" w:rsidRPr="00B938CE">
              <w:rPr>
                <w:bCs/>
                <w:color w:val="auto"/>
                <w:sz w:val="28"/>
                <w:szCs w:val="28"/>
              </w:rPr>
              <w:lastRenderedPageBreak/>
              <w:t>приватних закладів освіти України, громадською спілкою «Національна освітня асоціація»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EC" w:rsidRPr="00B938CE" w:rsidRDefault="002F5CB2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10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EC" w:rsidRPr="00B938CE" w:rsidRDefault="002F5CB2" w:rsidP="00B700EC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Окреслено основні види об’єктів грифування, 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процедурні питання щодо подання матеріалів для проведення комплексної експертизи</w:t>
            </w:r>
          </w:p>
        </w:tc>
      </w:tr>
      <w:tr w:rsidR="00B938CE" w:rsidRPr="00B938CE" w:rsidTr="00112A79">
        <w:trPr>
          <w:tblCellSpacing w:w="22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CB2" w:rsidRPr="00B938CE" w:rsidRDefault="002F5CB2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4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CB2" w:rsidRPr="00B938CE" w:rsidRDefault="002F5CB2" w:rsidP="002F5CB2">
            <w:pPr>
              <w:pStyle w:val="a3"/>
              <w:tabs>
                <w:tab w:val="left" w:pos="851"/>
              </w:tabs>
              <w:jc w:val="both"/>
              <w:rPr>
                <w:color w:val="auto"/>
                <w:sz w:val="28"/>
                <w:szCs w:val="28"/>
              </w:rPr>
            </w:pPr>
            <w:r w:rsidRPr="00B938CE">
              <w:rPr>
                <w:color w:val="auto"/>
                <w:sz w:val="28"/>
                <w:szCs w:val="28"/>
              </w:rPr>
              <w:t xml:space="preserve">Нарада під головування т.в.о. Міністра освіти і науки України з представниками державної установи «Український інститут розвитку освіти» та державної наукової установи «Інститут модернізації змісту освіти»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CB2" w:rsidRPr="00B938CE" w:rsidRDefault="002F5CB2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CB2" w:rsidRPr="00B938CE" w:rsidRDefault="002F5CB2" w:rsidP="002F5CB2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Визначено м</w:t>
            </w:r>
            <w:r w:rsidRPr="00B938CE">
              <w:rPr>
                <w:rFonts w:ascii="Times New Roman" w:hAnsi="Times New Roman"/>
                <w:color w:val="auto"/>
                <w:sz w:val="28"/>
                <w:szCs w:val="28"/>
              </w:rPr>
              <w:t>еханізм надання навчальній літературі та навчальним програмам грифів «Рекомендовано Міністерством освіти і науки України» та «Схвалено для використання в освітньому процесі»</w:t>
            </w:r>
          </w:p>
        </w:tc>
      </w:tr>
      <w:tr w:rsidR="002F5CB2" w:rsidRPr="00B938CE" w:rsidTr="00112A79">
        <w:trPr>
          <w:tblCellSpacing w:w="22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CB2" w:rsidRPr="00B938CE" w:rsidRDefault="002F5CB2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CB2" w:rsidRPr="00B938CE" w:rsidRDefault="002F5CB2" w:rsidP="002F5CB2">
            <w:pPr>
              <w:pStyle w:val="a3"/>
              <w:tabs>
                <w:tab w:val="left" w:pos="851"/>
              </w:tabs>
              <w:jc w:val="both"/>
              <w:rPr>
                <w:color w:val="auto"/>
                <w:sz w:val="28"/>
                <w:szCs w:val="28"/>
              </w:rPr>
            </w:pPr>
            <w:r w:rsidRPr="00B938CE">
              <w:rPr>
                <w:color w:val="auto"/>
                <w:sz w:val="28"/>
                <w:szCs w:val="28"/>
              </w:rPr>
              <w:t>Електронні консультації з громадськістю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CB2" w:rsidRPr="00B938CE" w:rsidRDefault="002F5CB2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CB2" w:rsidRPr="00B938CE" w:rsidRDefault="00E471BC" w:rsidP="00E471BC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Враховано зауваження та пропозиції до проєкту Порядку надання грифів</w:t>
            </w:r>
          </w:p>
        </w:tc>
      </w:tr>
    </w:tbl>
    <w:p w:rsidR="0099112E" w:rsidRPr="00B938CE" w:rsidRDefault="0099112E" w:rsidP="00B87F67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9112E" w:rsidRPr="00B938CE" w:rsidRDefault="0099112E" w:rsidP="00B87F67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 Вимірювання впливу регулювання на суб'єктів малого підприємництва (мікро- та малі):</w:t>
      </w:r>
    </w:p>
    <w:p w:rsidR="0099112E" w:rsidRPr="00B938CE" w:rsidRDefault="0099112E" w:rsidP="00B87F67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кількість суб'єктів господарювання, на яких поширюється регулювання</w:t>
      </w:r>
      <w:r w:rsidR="00D21609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656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: (одиниць), у тому числі малого підприємництва </w:t>
      </w:r>
      <w:r w:rsidR="00D21609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363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(одиниць) та мікропідприємництва </w:t>
      </w:r>
      <w:r w:rsidR="00D21609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288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(одиниць);</w:t>
      </w:r>
    </w:p>
    <w:p w:rsidR="0099112E" w:rsidRPr="00B938CE" w:rsidRDefault="0099112E" w:rsidP="00B87F67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D21609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55,3 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відсотків (відповідно до таблиці «Оцінка впливу на сферу інтересів суб'єктів господарювання»).</w:t>
      </w:r>
    </w:p>
    <w:p w:rsidR="0099112E" w:rsidRPr="00B938CE" w:rsidRDefault="0099112E" w:rsidP="00B87F67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9112E" w:rsidRPr="00B938CE" w:rsidRDefault="0099112E" w:rsidP="00B87F67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3. Розрахунок витрат суб'єктів малого підприємництва на виконання вимог регулювання (під час здійснення розрахунку за основу взято витрати одного суб'єкта малого підприємництва для підготовки та подання </w:t>
      </w:r>
      <w:r w:rsidR="00D21609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пакетів документів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 один </w:t>
      </w:r>
      <w:r w:rsidR="00D21609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суб’єкт грифування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)</w:t>
      </w:r>
      <w:r w:rsidR="00192A36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tbl>
      <w:tblPr>
        <w:tblW w:w="10169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553"/>
        <w:gridCol w:w="2319"/>
        <w:gridCol w:w="1868"/>
        <w:gridCol w:w="1800"/>
        <w:gridCol w:w="8"/>
      </w:tblGrid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3462" w:rsidRPr="00B938CE" w:rsidRDefault="008F3462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3462" w:rsidRPr="00B938CE" w:rsidRDefault="008F3462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Найменування оцінки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3462" w:rsidRPr="00B938CE" w:rsidRDefault="008F3462" w:rsidP="00B87F6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3462" w:rsidRPr="00B938CE" w:rsidRDefault="008F3462" w:rsidP="00B87F6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Періодичні (за наступний рік)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3462" w:rsidRPr="00B938CE" w:rsidRDefault="008F3462" w:rsidP="00B87F6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Витрати за</w:t>
            </w:r>
          </w:p>
          <w:p w:rsidR="008F3462" w:rsidRPr="00B938CE" w:rsidRDefault="008F3462" w:rsidP="00B87F6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три роки</w:t>
            </w:r>
          </w:p>
        </w:tc>
      </w:tr>
      <w:tr w:rsidR="00B938CE" w:rsidRPr="00B938CE" w:rsidTr="00E471BC">
        <w:tc>
          <w:tcPr>
            <w:tcW w:w="1016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3462" w:rsidRPr="00B938CE" w:rsidRDefault="008F3462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lastRenderedPageBreak/>
              <w:t>Оцінка «прямих» витрат суб’єктів малого підприємництва на виконання регулювання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Інші процедури 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 на оборотні активи (матеріали, канцелярські товари, видрук тощо)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2710DA" w:rsidRPr="00B938CE" w:rsidRDefault="002710DA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кількості об’єктів грифування, доставка яких здійснюється поштою Х середня кількість сторінок у пакеті документів Х сумарні витрати на друк 1 стор.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D52036" w:rsidP="00B87F6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120</w:t>
            </w:r>
            <w:r w:rsidR="002710DA"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2710DA" w:rsidP="00B87F67">
            <w:pPr>
              <w:widowControl/>
              <w:numPr>
                <w:ilvl w:val="0"/>
                <w:numId w:val="6"/>
              </w:numPr>
              <w:tabs>
                <w:tab w:val="left" w:pos="484"/>
                <w:tab w:val="left" w:pos="851"/>
              </w:tabs>
              <w:ind w:left="0"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підготовка </w:t>
            </w:r>
            <w:r w:rsidR="00E471BC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рукопису та інших документів для подання для отримання грифа</w:t>
            </w:r>
          </w:p>
          <w:p w:rsidR="002710DA" w:rsidRPr="00B938CE" w:rsidRDefault="002710DA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Формула: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загальна кількості об’єктів грифування Х фактичні витрати часу персоналу на заробітну плату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D52036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2084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D52036" w:rsidP="00B87F6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2084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D52036" w:rsidP="00B87F6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6252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2710DA" w:rsidP="00B87F67">
            <w:pPr>
              <w:widowControl/>
              <w:numPr>
                <w:ilvl w:val="0"/>
                <w:numId w:val="6"/>
              </w:numPr>
              <w:tabs>
                <w:tab w:val="left" w:pos="484"/>
                <w:tab w:val="left" w:pos="851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відправка пакетів матеріалів до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установи, визначеної МОН</w:t>
            </w:r>
          </w:p>
          <w:p w:rsidR="002710DA" w:rsidRPr="00B938CE" w:rsidRDefault="002710DA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Формула: 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загальна кількості об’єктів грифування Х середні витрати на одну відправку</w:t>
            </w:r>
            <w:r w:rsidR="00192A36"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поштою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2710DA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60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D52036" w:rsidP="00B87F6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D52036" w:rsidP="00B87F6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180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D52036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2544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D52036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2544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D52036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7632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9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656</w:t>
            </w:r>
          </w:p>
        </w:tc>
      </w:tr>
      <w:tr w:rsidR="00B938CE" w:rsidRPr="00B938CE" w:rsidTr="00E471BC">
        <w:trPr>
          <w:gridAfter w:val="1"/>
          <w:wAfter w:w="8" w:type="dxa"/>
          <w:trHeight w:val="289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Сумарно, гривень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D52036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1668864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D52036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1668864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D52036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50</w:t>
            </w:r>
            <w:r w:rsidR="002710DA" w:rsidRPr="00B93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0</w:t>
            </w:r>
            <w:r w:rsidRPr="00B93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6592</w:t>
            </w:r>
          </w:p>
        </w:tc>
      </w:tr>
      <w:tr w:rsidR="00B938CE" w:rsidRPr="00B938CE" w:rsidTr="00D07385">
        <w:tc>
          <w:tcPr>
            <w:tcW w:w="1016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7385" w:rsidRPr="00B938CE" w:rsidRDefault="00D07385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2A36" w:rsidRPr="00B938CE" w:rsidRDefault="002710DA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Процедури отримання первинної інформації про вимоги регулювання </w:t>
            </w:r>
          </w:p>
          <w:p w:rsidR="002710DA" w:rsidRPr="00B938CE" w:rsidRDefault="00192A36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Формула: </w:t>
            </w:r>
            <w:r w:rsidR="002710DA"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0,5 год х середньо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зважена середня заробітна плата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26,05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26,05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9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656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D52036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17088,8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192A36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17088,8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192A36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51266,4</w:t>
            </w:r>
          </w:p>
        </w:tc>
      </w:tr>
      <w:tr w:rsidR="00B938CE" w:rsidRPr="00B938CE" w:rsidTr="00F45987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E471BC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Процедури організації виконання вимог регулювання</w:t>
            </w:r>
            <w:r w:rsidR="00192A36"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а саме:</w:t>
            </w:r>
            <w:r w:rsidR="00F61526"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2710DA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2710DA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10DA" w:rsidRPr="00B938CE" w:rsidRDefault="002710DA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526" w:rsidRPr="00B938CE" w:rsidRDefault="00F61526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12.1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526" w:rsidRPr="00B938CE" w:rsidRDefault="00192A36" w:rsidP="00B87F67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в</w:t>
            </w:r>
            <w:r w:rsidR="00F61526"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итрати на отримання адміністративних послуг:</w:t>
            </w:r>
          </w:p>
          <w:p w:rsidR="00F45987" w:rsidRPr="00B938CE" w:rsidRDefault="00F45987" w:rsidP="00F45987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проведення комплексної експертизи</w:t>
            </w: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71B63" w:rsidRPr="00B938CE" w:rsidRDefault="00F45987" w:rsidP="0003327B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Формула: середня кількості об’єктів грифування Х вартість платних послуг з проведення комплексної експертизи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526" w:rsidRPr="00B938CE" w:rsidRDefault="00F45987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16208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526" w:rsidRPr="00B938CE" w:rsidRDefault="00F45987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16208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526" w:rsidRPr="00B938CE" w:rsidRDefault="00F45987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48624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13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офіційного звітування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0DA" w:rsidRPr="00B938CE" w:rsidRDefault="002710DA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656</w:t>
            </w:r>
          </w:p>
        </w:tc>
      </w:tr>
      <w:tr w:rsidR="00B938CE" w:rsidRPr="00B938CE" w:rsidTr="00F45987">
        <w:trPr>
          <w:gridAfter w:val="1"/>
          <w:wAfter w:w="8" w:type="dxa"/>
        </w:trPr>
        <w:tc>
          <w:tcPr>
            <w:tcW w:w="6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2A36" w:rsidRPr="00B938CE" w:rsidRDefault="00192A36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16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2A36" w:rsidRPr="00B938CE" w:rsidRDefault="00192A36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2A36" w:rsidRPr="00B938CE" w:rsidRDefault="00F40D44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10632448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2A36" w:rsidRPr="00B938CE" w:rsidRDefault="00F40D44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10632448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2A36" w:rsidRPr="00B938CE" w:rsidRDefault="00F40D44" w:rsidP="00B87F6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31897344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17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Інші процедури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18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B938CE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19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Разом, гривень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91BA0" w:rsidRPr="00B938CE" w:rsidRDefault="00A91BA0" w:rsidP="00B87F6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не передбачені</w:t>
            </w:r>
          </w:p>
        </w:tc>
      </w:tr>
      <w:tr w:rsidR="00192A36" w:rsidRPr="00B938CE" w:rsidTr="00E471BC">
        <w:trPr>
          <w:gridAfter w:val="1"/>
          <w:wAfter w:w="8" w:type="dxa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2A36" w:rsidRPr="00B938CE" w:rsidRDefault="00192A36" w:rsidP="00B87F6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2A36" w:rsidRPr="00B938CE" w:rsidRDefault="00192A36" w:rsidP="00B87F67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Сумарно, гривень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2A36" w:rsidRPr="00B938CE" w:rsidRDefault="00F40D44" w:rsidP="00F40D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38CE"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eastAsia="zh-CN" w:bidi="hi-IN"/>
              </w:rPr>
              <w:t>10649536,8</w:t>
            </w:r>
          </w:p>
        </w:tc>
        <w:tc>
          <w:tcPr>
            <w:tcW w:w="1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2A36" w:rsidRPr="00B938CE" w:rsidRDefault="00F40D44" w:rsidP="00B87F6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938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10649536,8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2A36" w:rsidRPr="00B938CE" w:rsidRDefault="00F40D44" w:rsidP="00F40D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38CE">
              <w:rPr>
                <w:rFonts w:ascii="Times New Roman" w:eastAsia="Arial" w:hAnsi="Times New Roman" w:cs="Times New Roman"/>
                <w:b/>
                <w:color w:val="auto"/>
                <w:kern w:val="3"/>
                <w:sz w:val="28"/>
                <w:szCs w:val="28"/>
                <w:lang w:val="en-US" w:eastAsia="zh-CN" w:bidi="hi-IN"/>
              </w:rPr>
              <w:t>31948610,4</w:t>
            </w:r>
          </w:p>
        </w:tc>
      </w:tr>
    </w:tbl>
    <w:p w:rsidR="008F3462" w:rsidRPr="00B938CE" w:rsidRDefault="008F3462" w:rsidP="00B87F67">
      <w:pPr>
        <w:pStyle w:val="Textbody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92A36" w:rsidRPr="00B938CE" w:rsidRDefault="00771B63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192A36" w:rsidRPr="00B938CE">
        <w:rPr>
          <w:rFonts w:ascii="Times New Roman" w:hAnsi="Times New Roman" w:cs="Times New Roman"/>
          <w:color w:val="auto"/>
          <w:sz w:val="28"/>
          <w:szCs w:val="28"/>
        </w:rPr>
        <w:t>За середньозважену середню заробітну плату взято 52,1 грн/год.</w:t>
      </w:r>
      <w:r w:rsidR="0003327B" w:rsidRPr="00B938CE">
        <w:rPr>
          <w:rFonts w:ascii="Times New Roman" w:hAnsi="Times New Roman" w:cs="Times New Roman"/>
          <w:color w:val="auto"/>
          <w:sz w:val="28"/>
          <w:szCs w:val="28"/>
        </w:rPr>
        <w:t>, за середню вартість проведення однієї комплексної експертизи взято оплату двох експертів, що разом становить 4052 грн.</w:t>
      </w:r>
    </w:p>
    <w:p w:rsidR="00192A36" w:rsidRPr="00B938CE" w:rsidRDefault="00192A36" w:rsidP="00B87F67">
      <w:pPr>
        <w:pStyle w:val="Textbody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9112E" w:rsidRPr="00B938CE" w:rsidRDefault="0099112E" w:rsidP="00B87F67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Бюджетні витрати на адміністрування регулювання суб'єктів малого підприємництва</w:t>
      </w:r>
    </w:p>
    <w:p w:rsidR="0099112E" w:rsidRPr="00B938CE" w:rsidRDefault="0099112E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9112E" w:rsidRPr="00B938CE" w:rsidRDefault="0099112E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99112E" w:rsidRPr="00B938CE" w:rsidRDefault="0099112E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Державний орган, для якого здійснюється розрахунок вартості адміністрування регулювання:</w:t>
      </w:r>
    </w:p>
    <w:p w:rsidR="003863E0" w:rsidRPr="00B938CE" w:rsidRDefault="003863E0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7177F" w:rsidRPr="00B938CE" w:rsidRDefault="00F7177F" w:rsidP="00B87F67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hAnsi="Times New Roman" w:cs="Times New Roman"/>
          <w:color w:val="auto"/>
          <w:sz w:val="28"/>
          <w:szCs w:val="28"/>
        </w:rPr>
        <w:t>Установа, що належить до сфери його управління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99112E" w:rsidRPr="00B938CE" w:rsidRDefault="0099112E" w:rsidP="00B87F67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Міністерств</w:t>
      </w:r>
      <w:r w:rsidR="00F7177F"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</w:t>
      </w: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освіти і науки України </w:t>
      </w:r>
    </w:p>
    <w:p w:rsidR="00B87F67" w:rsidRPr="00B938CE" w:rsidRDefault="00B87F67" w:rsidP="00B87F67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1082"/>
        <w:gridCol w:w="1382"/>
        <w:gridCol w:w="1583"/>
        <w:gridCol w:w="1583"/>
        <w:gridCol w:w="1624"/>
      </w:tblGrid>
      <w:tr w:rsidR="00B938CE" w:rsidRPr="00B938CE" w:rsidTr="00B87F67">
        <w:trPr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Процедура регулювання суб'єктів малого підприємництва (розрахунок на одного типового суб'єкта господарювання 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lastRenderedPageBreak/>
              <w:t>малого підприємництва - за потреби окремо для суб'єктів малого та мікропідприємництв)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lastRenderedPageBreak/>
              <w:t>Планові витрати часу на процедуру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Вартість часу співробітника </w:t>
            </w:r>
            <w:r w:rsidR="006E358A"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‘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 (заробітна плата)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112E" w:rsidRPr="00B938CE" w:rsidRDefault="0099112E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Витрати на адміністрування регулювання* (за рік), гривень</w:t>
            </w:r>
          </w:p>
        </w:tc>
      </w:tr>
      <w:tr w:rsidR="00B938CE" w:rsidRPr="00B938CE" w:rsidTr="00B87F67">
        <w:trPr>
          <w:trHeight w:val="813"/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lastRenderedPageBreak/>
              <w:t>1. Облік суб'єкта господарювання, що перебуває у сфері регулювання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</w:tr>
      <w:tr w:rsidR="00B938CE" w:rsidRPr="00B938CE" w:rsidTr="00B87F67">
        <w:trPr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938CE" w:rsidRPr="00B938CE" w:rsidTr="00B87F67">
        <w:trPr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камеральні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</w:tr>
      <w:tr w:rsidR="00B938CE" w:rsidRPr="00B938CE" w:rsidTr="00B87F67">
        <w:trPr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виїзні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</w:tr>
      <w:tr w:rsidR="00B938CE" w:rsidRPr="00B938CE" w:rsidTr="00B87F67">
        <w:trPr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</w:tr>
      <w:tr w:rsidR="00B938CE" w:rsidRPr="00B938CE" w:rsidTr="00B87F67">
        <w:trPr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</w:tr>
      <w:tr w:rsidR="00B938CE" w:rsidRPr="00B938CE" w:rsidTr="00B87F67">
        <w:trPr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</w:tr>
      <w:tr w:rsidR="00B938CE" w:rsidRPr="00B938CE" w:rsidTr="00B87F67">
        <w:trPr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6. Підготовка звітності за 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lastRenderedPageBreak/>
              <w:t>результатами регулювання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lastRenderedPageBreak/>
              <w:t>-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</w:p>
        </w:tc>
      </w:tr>
      <w:tr w:rsidR="00B938CE" w:rsidRPr="00B938CE" w:rsidTr="00B87F67">
        <w:trPr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lastRenderedPageBreak/>
              <w:t xml:space="preserve">7. Інші адміністративні процедури: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938CE" w:rsidRPr="00B938CE" w:rsidTr="00B87F67">
        <w:trPr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проведення комплексної експертизи</w:t>
            </w:r>
          </w:p>
          <w:p w:rsidR="00E47123" w:rsidRPr="00B938CE" w:rsidRDefault="00E47123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52,1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для малого 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підприємни</w:t>
            </w:r>
            <w:r w:rsidR="00B87F67"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цтва</w:t>
            </w:r>
          </w:p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для</w:t>
            </w:r>
          </w:p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мікро підприємни</w:t>
            </w:r>
            <w:r w:rsidR="00B87F67"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цтва</w:t>
            </w:r>
          </w:p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малого 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підприємни</w:t>
            </w:r>
            <w:r w:rsidR="00B87F67"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цтва</w:t>
            </w:r>
          </w:p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363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 </w:t>
            </w:r>
          </w:p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мікро підприємни</w:t>
            </w:r>
            <w:r w:rsidR="00B87F67"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-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цтва</w:t>
            </w:r>
          </w:p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288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171417</w:t>
            </w:r>
          </w:p>
        </w:tc>
      </w:tr>
      <w:tr w:rsidR="00B938CE" w:rsidRPr="00B938CE" w:rsidTr="00B87F67">
        <w:trPr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123" w:rsidRPr="00B938CE" w:rsidRDefault="00E471BC" w:rsidP="00E471B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="00E47123"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едення</w:t>
            </w: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Каталогу надання грифів навчальній літературі та навчальним програмам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123" w:rsidRPr="00B938CE" w:rsidRDefault="00E47123" w:rsidP="00B87F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123" w:rsidRPr="00B938CE" w:rsidRDefault="00E47123" w:rsidP="00B87F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52,1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для малого 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підприємництва</w:t>
            </w:r>
          </w:p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  <w:p w:rsidR="00E47123" w:rsidRPr="00B938CE" w:rsidRDefault="0067012B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д</w:t>
            </w:r>
            <w:r w:rsidR="00E47123"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ля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 </w:t>
            </w:r>
            <w:r w:rsidR="00E47123"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мікро підприємництва</w:t>
            </w:r>
          </w:p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малого 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підприємництва</w:t>
            </w:r>
          </w:p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363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 </w:t>
            </w:r>
          </w:p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мікро підприємництва</w:t>
            </w:r>
          </w:p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288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123" w:rsidRPr="00B938CE" w:rsidRDefault="00E47123" w:rsidP="00B87F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17141,7</w:t>
            </w:r>
          </w:p>
        </w:tc>
      </w:tr>
      <w:tr w:rsidR="0067012B" w:rsidRPr="00B938CE" w:rsidTr="00B87F67">
        <w:trPr>
          <w:tblCellSpacing w:w="22" w:type="dxa"/>
          <w:jc w:val="center"/>
        </w:trPr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Разом за рік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11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52,1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для малого 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підприємництва</w:t>
            </w:r>
          </w:p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  <w:p w:rsidR="00E47123" w:rsidRPr="00B938CE" w:rsidRDefault="0067012B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для </w:t>
            </w:r>
            <w:r w:rsidR="00E47123"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мікро підприємництва</w:t>
            </w:r>
          </w:p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малого 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підприємництва</w:t>
            </w:r>
          </w:p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363</w:t>
            </w: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 </w:t>
            </w:r>
          </w:p>
          <w:p w:rsidR="00E47123" w:rsidRPr="00B938CE" w:rsidRDefault="00E47123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мікро підприємництва</w:t>
            </w:r>
          </w:p>
          <w:p w:rsidR="00E47123" w:rsidRPr="00B938CE" w:rsidRDefault="00E47123" w:rsidP="00B87F6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288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123" w:rsidRPr="00B938CE" w:rsidRDefault="00E47123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ru-RU" w:bidi="ar-SA"/>
              </w:rPr>
              <w:t>789158,7</w:t>
            </w:r>
          </w:p>
        </w:tc>
      </w:tr>
    </w:tbl>
    <w:p w:rsidR="0099112E" w:rsidRPr="00B938CE" w:rsidRDefault="0099112E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9112E" w:rsidRPr="00B938CE" w:rsidRDefault="0099112E" w:rsidP="00B87F6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 Розрахунок сумарних витрат суб'єктів малого підприємництва, що виникають на виконання вимог регулювання</w:t>
      </w:r>
    </w:p>
    <w:p w:rsidR="00C817C9" w:rsidRPr="00B938CE" w:rsidRDefault="00C817C9" w:rsidP="00B87F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9909" w:type="dxa"/>
        <w:tblLook w:val="04A0" w:firstRow="1" w:lastRow="0" w:firstColumn="1" w:lastColumn="0" w:noHBand="0" w:noVBand="1"/>
      </w:tblPr>
      <w:tblGrid>
        <w:gridCol w:w="1696"/>
        <w:gridCol w:w="5245"/>
        <w:gridCol w:w="2968"/>
      </w:tblGrid>
      <w:tr w:rsidR="00B938CE" w:rsidRPr="00B938CE" w:rsidTr="00C817C9">
        <w:tc>
          <w:tcPr>
            <w:tcW w:w="1696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Порядковий номер</w:t>
            </w:r>
          </w:p>
        </w:tc>
        <w:tc>
          <w:tcPr>
            <w:tcW w:w="5245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Показник</w:t>
            </w:r>
          </w:p>
        </w:tc>
        <w:tc>
          <w:tcPr>
            <w:tcW w:w="2968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Витрати, грн</w:t>
            </w:r>
          </w:p>
        </w:tc>
      </w:tr>
      <w:tr w:rsidR="00B938CE" w:rsidRPr="00B938CE" w:rsidTr="00C817C9">
        <w:tc>
          <w:tcPr>
            <w:tcW w:w="1696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245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«прямих» витрат суб'єктів малого підприємництва на виконання регулювання</w:t>
            </w:r>
          </w:p>
        </w:tc>
        <w:tc>
          <w:tcPr>
            <w:tcW w:w="2968" w:type="dxa"/>
            <w:vAlign w:val="center"/>
          </w:tcPr>
          <w:p w:rsidR="00C817C9" w:rsidRPr="00B938CE" w:rsidRDefault="00F40D44" w:rsidP="00B87F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10649536</w:t>
            </w:r>
          </w:p>
        </w:tc>
      </w:tr>
      <w:tr w:rsidR="00B938CE" w:rsidRPr="00B938CE" w:rsidTr="00C817C9">
        <w:tc>
          <w:tcPr>
            <w:tcW w:w="1696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245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2968" w:type="dxa"/>
            <w:vAlign w:val="center"/>
          </w:tcPr>
          <w:p w:rsidR="00C817C9" w:rsidRPr="00B938CE" w:rsidRDefault="00C817C9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1668864</w:t>
            </w:r>
          </w:p>
        </w:tc>
      </w:tr>
      <w:tr w:rsidR="00B938CE" w:rsidRPr="00B938CE" w:rsidTr="00C817C9">
        <w:tc>
          <w:tcPr>
            <w:tcW w:w="1696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3</w:t>
            </w:r>
          </w:p>
        </w:tc>
        <w:tc>
          <w:tcPr>
            <w:tcW w:w="5245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968" w:type="dxa"/>
            <w:vAlign w:val="center"/>
          </w:tcPr>
          <w:p w:rsidR="00C817C9" w:rsidRPr="00B938CE" w:rsidRDefault="00F40D44" w:rsidP="00F40D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12318400</w:t>
            </w:r>
          </w:p>
        </w:tc>
      </w:tr>
      <w:tr w:rsidR="00B938CE" w:rsidRPr="00B938CE" w:rsidTr="00C817C9">
        <w:tc>
          <w:tcPr>
            <w:tcW w:w="1696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245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968" w:type="dxa"/>
            <w:vAlign w:val="center"/>
          </w:tcPr>
          <w:p w:rsidR="00C817C9" w:rsidRPr="00B938CE" w:rsidRDefault="00C817C9" w:rsidP="00B87F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789158</w:t>
            </w:r>
          </w:p>
        </w:tc>
      </w:tr>
      <w:tr w:rsidR="00C817C9" w:rsidRPr="00B938CE" w:rsidTr="00C817C9">
        <w:tc>
          <w:tcPr>
            <w:tcW w:w="1696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245" w:type="dxa"/>
          </w:tcPr>
          <w:p w:rsidR="00C817C9" w:rsidRPr="00B938CE" w:rsidRDefault="00C817C9" w:rsidP="00B87F6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Сумарні витрати на виконання запланованого регулювання</w:t>
            </w:r>
          </w:p>
        </w:tc>
        <w:tc>
          <w:tcPr>
            <w:tcW w:w="2968" w:type="dxa"/>
            <w:vAlign w:val="center"/>
          </w:tcPr>
          <w:p w:rsidR="00C817C9" w:rsidRPr="00B938CE" w:rsidRDefault="00F40D44" w:rsidP="00F40D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B938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13107558</w:t>
            </w:r>
          </w:p>
        </w:tc>
      </w:tr>
    </w:tbl>
    <w:p w:rsidR="00C817C9" w:rsidRPr="00B938CE" w:rsidRDefault="00C817C9" w:rsidP="00B87F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012B" w:rsidRPr="00B938CE" w:rsidRDefault="0099112E" w:rsidP="00B87F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="0067012B"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>Розроблення корегуючих (пом’якшувальних) заходів для малого підприємництва щодо запропонованого регулювання</w:t>
      </w:r>
    </w:p>
    <w:p w:rsidR="0067012B" w:rsidRPr="00B938CE" w:rsidRDefault="0067012B" w:rsidP="00B87F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38CE">
        <w:rPr>
          <w:rFonts w:ascii="Times New Roman" w:eastAsia="Times New Roman" w:hAnsi="Times New Roman" w:cs="Times New Roman"/>
          <w:color w:val="auto"/>
          <w:sz w:val="28"/>
          <w:szCs w:val="28"/>
        </w:rPr>
        <w:t>Запропоноване регулювання планується без розроблення компенсаторів (корегуючих (пом’якшувальних) заходів) для малого підприємництва.</w:t>
      </w:r>
    </w:p>
    <w:p w:rsidR="004A42E8" w:rsidRPr="00B938CE" w:rsidRDefault="004A42E8" w:rsidP="00B87F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38CE" w:rsidRPr="00B938CE" w:rsidRDefault="00B938C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938CE" w:rsidRPr="00B938CE" w:rsidSect="000813A7">
      <w:headerReference w:type="even" r:id="rId9"/>
      <w:headerReference w:type="default" r:id="rId10"/>
      <w:pgSz w:w="11906" w:h="16838"/>
      <w:pgMar w:top="1134" w:right="851" w:bottom="1134" w:left="1701" w:header="96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FD" w:rsidRDefault="008440FD">
      <w:r>
        <w:separator/>
      </w:r>
    </w:p>
  </w:endnote>
  <w:endnote w:type="continuationSeparator" w:id="0">
    <w:p w:rsidR="008440FD" w:rsidRDefault="0084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FD" w:rsidRDefault="008440FD">
      <w:r>
        <w:separator/>
      </w:r>
    </w:p>
  </w:footnote>
  <w:footnote w:type="continuationSeparator" w:id="0">
    <w:p w:rsidR="008440FD" w:rsidRDefault="0084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64" w:rsidRDefault="008F26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FD6B3D8" wp14:editId="3ABE223C">
              <wp:simplePos x="0" y="0"/>
              <wp:positionH relativeFrom="page">
                <wp:posOffset>3807460</wp:posOffset>
              </wp:positionH>
              <wp:positionV relativeFrom="page">
                <wp:posOffset>419735</wp:posOffset>
              </wp:positionV>
              <wp:extent cx="70485" cy="154940"/>
              <wp:effectExtent l="0" t="0" r="6350" b="133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664" w:rsidRDefault="008F266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41445">
                            <w:rPr>
                              <w:rStyle w:val="TrebuchetMS105pt"/>
                              <w:noProof/>
                            </w:rPr>
                            <w:t>4</w:t>
                          </w:r>
                          <w:r>
                            <w:rPr>
                              <w:rStyle w:val="TrebuchetMS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FD6B3D8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9.8pt;margin-top:33.05pt;width:5.5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" filled="f" stroked="f">
              <v:textbox style="mso-fit-shape-to-text:t" inset="0,0,0,0">
                <w:txbxContent>
                  <w:p w:rsidR="008F2664" w:rsidRDefault="008F266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41445">
                      <w:rPr>
                        <w:rStyle w:val="TrebuchetMS105pt"/>
                        <w:noProof/>
                      </w:rPr>
                      <w:t>4</w:t>
                    </w:r>
                    <w:r>
                      <w:rPr>
                        <w:rStyle w:val="TrebuchetMS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64" w:rsidRPr="00E17A8F" w:rsidRDefault="008F2664">
    <w:pPr>
      <w:rPr>
        <w:rFonts w:ascii="Times New Roman" w:hAnsi="Times New Roman" w:cs="Times New Roman"/>
        <w:sz w:val="20"/>
        <w:szCs w:val="20"/>
        <w:lang w:bidi="ar-SA"/>
      </w:rPr>
    </w:pPr>
    <w:r w:rsidRPr="00E17A8F">
      <w:rPr>
        <w:rFonts w:ascii="Times New Roman" w:hAnsi="Times New Roman" w:cs="Times New Roman"/>
        <w:noProof/>
        <w:sz w:val="20"/>
        <w:szCs w:val="20"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9CF4970" wp14:editId="70410B5A">
              <wp:simplePos x="0" y="0"/>
              <wp:positionH relativeFrom="page">
                <wp:posOffset>3807460</wp:posOffset>
              </wp:positionH>
              <wp:positionV relativeFrom="page">
                <wp:posOffset>419735</wp:posOffset>
              </wp:positionV>
              <wp:extent cx="140335" cy="154940"/>
              <wp:effectExtent l="0" t="0" r="7620" b="133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664" w:rsidRDefault="008F266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1843" w:rsidRPr="00CC1843">
                            <w:rPr>
                              <w:rStyle w:val="TrebuchetMS105pt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TrebuchetMS10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F4970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299.8pt;margin-top:33.05pt;width:11.05pt;height:1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" filled="f" stroked="f">
              <v:textbox style="mso-fit-shape-to-text:t" inset="0,0,0,0">
                <w:txbxContent>
                  <w:p w:rsidR="008F2664" w:rsidRDefault="008F266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1843" w:rsidRPr="00CC1843">
                      <w:rPr>
                        <w:rStyle w:val="TrebuchetMS105pt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TrebuchetMS10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E9A"/>
    <w:multiLevelType w:val="hybridMultilevel"/>
    <w:tmpl w:val="09C4F550"/>
    <w:lvl w:ilvl="0" w:tplc="88A0E3E2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546893"/>
    <w:multiLevelType w:val="hybridMultilevel"/>
    <w:tmpl w:val="85F0C8C4"/>
    <w:lvl w:ilvl="0" w:tplc="EFCACD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1332"/>
    <w:multiLevelType w:val="multilevel"/>
    <w:tmpl w:val="4E324BF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F2CA1"/>
    <w:multiLevelType w:val="hybridMultilevel"/>
    <w:tmpl w:val="2DAED390"/>
    <w:lvl w:ilvl="0" w:tplc="5DC24EB6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F573B"/>
    <w:multiLevelType w:val="hybridMultilevel"/>
    <w:tmpl w:val="6DA859D8"/>
    <w:lvl w:ilvl="0" w:tplc="B58E8388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A6"/>
    <w:rsid w:val="000010A4"/>
    <w:rsid w:val="000279FB"/>
    <w:rsid w:val="0003327B"/>
    <w:rsid w:val="000406D0"/>
    <w:rsid w:val="00057DDA"/>
    <w:rsid w:val="00064DC0"/>
    <w:rsid w:val="000705DC"/>
    <w:rsid w:val="00070678"/>
    <w:rsid w:val="000813A7"/>
    <w:rsid w:val="0008182F"/>
    <w:rsid w:val="000968CB"/>
    <w:rsid w:val="000A073D"/>
    <w:rsid w:val="000A23FA"/>
    <w:rsid w:val="000A61C6"/>
    <w:rsid w:val="000B3D11"/>
    <w:rsid w:val="000C41A2"/>
    <w:rsid w:val="000D3206"/>
    <w:rsid w:val="000E6A09"/>
    <w:rsid w:val="000E6D92"/>
    <w:rsid w:val="000F2AC3"/>
    <w:rsid w:val="000F4B7F"/>
    <w:rsid w:val="00105E4D"/>
    <w:rsid w:val="00111B78"/>
    <w:rsid w:val="00112A79"/>
    <w:rsid w:val="00120F03"/>
    <w:rsid w:val="00130402"/>
    <w:rsid w:val="001419D0"/>
    <w:rsid w:val="00145443"/>
    <w:rsid w:val="00146DD8"/>
    <w:rsid w:val="00150312"/>
    <w:rsid w:val="00157D99"/>
    <w:rsid w:val="00167F04"/>
    <w:rsid w:val="00192A36"/>
    <w:rsid w:val="001933C3"/>
    <w:rsid w:val="00196BF9"/>
    <w:rsid w:val="00197173"/>
    <w:rsid w:val="001A2AD0"/>
    <w:rsid w:val="001B02C1"/>
    <w:rsid w:val="001C7441"/>
    <w:rsid w:val="001D4EEB"/>
    <w:rsid w:val="001D6E9E"/>
    <w:rsid w:val="001E306A"/>
    <w:rsid w:val="001F0A00"/>
    <w:rsid w:val="001F3D0E"/>
    <w:rsid w:val="00201B0B"/>
    <w:rsid w:val="00211C7B"/>
    <w:rsid w:val="0021318E"/>
    <w:rsid w:val="002138A5"/>
    <w:rsid w:val="00221E30"/>
    <w:rsid w:val="0022217D"/>
    <w:rsid w:val="0022435C"/>
    <w:rsid w:val="00230086"/>
    <w:rsid w:val="002312C9"/>
    <w:rsid w:val="0023572F"/>
    <w:rsid w:val="002407D9"/>
    <w:rsid w:val="00242897"/>
    <w:rsid w:val="00246C6B"/>
    <w:rsid w:val="0025558A"/>
    <w:rsid w:val="00262864"/>
    <w:rsid w:val="0026628B"/>
    <w:rsid w:val="00270316"/>
    <w:rsid w:val="002710DA"/>
    <w:rsid w:val="002725D7"/>
    <w:rsid w:val="00275B60"/>
    <w:rsid w:val="002824D7"/>
    <w:rsid w:val="002834A3"/>
    <w:rsid w:val="002B0CD9"/>
    <w:rsid w:val="002B4B4D"/>
    <w:rsid w:val="002C44E0"/>
    <w:rsid w:val="002D08FD"/>
    <w:rsid w:val="002D153E"/>
    <w:rsid w:val="002D2DBC"/>
    <w:rsid w:val="002E18BA"/>
    <w:rsid w:val="002E1AD0"/>
    <w:rsid w:val="002E2BF7"/>
    <w:rsid w:val="002E758E"/>
    <w:rsid w:val="002F4822"/>
    <w:rsid w:val="002F5CB2"/>
    <w:rsid w:val="003003FA"/>
    <w:rsid w:val="003071CE"/>
    <w:rsid w:val="00313093"/>
    <w:rsid w:val="003213F1"/>
    <w:rsid w:val="00325FBA"/>
    <w:rsid w:val="00335EEE"/>
    <w:rsid w:val="00344658"/>
    <w:rsid w:val="003531E9"/>
    <w:rsid w:val="00377B9E"/>
    <w:rsid w:val="00380BBF"/>
    <w:rsid w:val="003822CB"/>
    <w:rsid w:val="003839E8"/>
    <w:rsid w:val="003863E0"/>
    <w:rsid w:val="00391661"/>
    <w:rsid w:val="003B17BF"/>
    <w:rsid w:val="003B17E5"/>
    <w:rsid w:val="003C4773"/>
    <w:rsid w:val="003C5D25"/>
    <w:rsid w:val="003D53C0"/>
    <w:rsid w:val="003F1058"/>
    <w:rsid w:val="00405112"/>
    <w:rsid w:val="00422FFE"/>
    <w:rsid w:val="00426812"/>
    <w:rsid w:val="00436876"/>
    <w:rsid w:val="004468B8"/>
    <w:rsid w:val="0044723F"/>
    <w:rsid w:val="00450A97"/>
    <w:rsid w:val="004562CE"/>
    <w:rsid w:val="0046274A"/>
    <w:rsid w:val="00472D8B"/>
    <w:rsid w:val="00473A87"/>
    <w:rsid w:val="0047416C"/>
    <w:rsid w:val="00476133"/>
    <w:rsid w:val="00477723"/>
    <w:rsid w:val="00477B69"/>
    <w:rsid w:val="004804E0"/>
    <w:rsid w:val="004A20FD"/>
    <w:rsid w:val="004A42E8"/>
    <w:rsid w:val="004C13DE"/>
    <w:rsid w:val="004C317D"/>
    <w:rsid w:val="004C491B"/>
    <w:rsid w:val="004D06B1"/>
    <w:rsid w:val="004F15E3"/>
    <w:rsid w:val="004F7554"/>
    <w:rsid w:val="0050373F"/>
    <w:rsid w:val="005042AB"/>
    <w:rsid w:val="0050675C"/>
    <w:rsid w:val="0051624D"/>
    <w:rsid w:val="00524901"/>
    <w:rsid w:val="00530173"/>
    <w:rsid w:val="005333AB"/>
    <w:rsid w:val="0055693E"/>
    <w:rsid w:val="00560810"/>
    <w:rsid w:val="005640C6"/>
    <w:rsid w:val="005663CE"/>
    <w:rsid w:val="00573490"/>
    <w:rsid w:val="00577C1B"/>
    <w:rsid w:val="005814EE"/>
    <w:rsid w:val="00590E89"/>
    <w:rsid w:val="00596C9F"/>
    <w:rsid w:val="005A3565"/>
    <w:rsid w:val="005B53D8"/>
    <w:rsid w:val="005C15BC"/>
    <w:rsid w:val="005D1C71"/>
    <w:rsid w:val="005D5FBE"/>
    <w:rsid w:val="005E40A2"/>
    <w:rsid w:val="005E58E2"/>
    <w:rsid w:val="005F1F72"/>
    <w:rsid w:val="005F355F"/>
    <w:rsid w:val="00601182"/>
    <w:rsid w:val="006028BF"/>
    <w:rsid w:val="00612189"/>
    <w:rsid w:val="0061615B"/>
    <w:rsid w:val="0061648F"/>
    <w:rsid w:val="00617C41"/>
    <w:rsid w:val="006210EE"/>
    <w:rsid w:val="006379EE"/>
    <w:rsid w:val="00637D71"/>
    <w:rsid w:val="00640378"/>
    <w:rsid w:val="00640B43"/>
    <w:rsid w:val="00641A3C"/>
    <w:rsid w:val="006466BE"/>
    <w:rsid w:val="006617A1"/>
    <w:rsid w:val="00662815"/>
    <w:rsid w:val="006635E0"/>
    <w:rsid w:val="00666AD1"/>
    <w:rsid w:val="0067012B"/>
    <w:rsid w:val="00675F0B"/>
    <w:rsid w:val="00683592"/>
    <w:rsid w:val="00683D7B"/>
    <w:rsid w:val="006918B4"/>
    <w:rsid w:val="006A2923"/>
    <w:rsid w:val="006A51AE"/>
    <w:rsid w:val="006B3AE2"/>
    <w:rsid w:val="006B4A91"/>
    <w:rsid w:val="006C221E"/>
    <w:rsid w:val="006C3A2B"/>
    <w:rsid w:val="006C6247"/>
    <w:rsid w:val="006D4142"/>
    <w:rsid w:val="006E1248"/>
    <w:rsid w:val="006E358A"/>
    <w:rsid w:val="006F0377"/>
    <w:rsid w:val="00704285"/>
    <w:rsid w:val="0070758A"/>
    <w:rsid w:val="007140FA"/>
    <w:rsid w:val="007153D0"/>
    <w:rsid w:val="00721445"/>
    <w:rsid w:val="00725342"/>
    <w:rsid w:val="00730487"/>
    <w:rsid w:val="00733167"/>
    <w:rsid w:val="00740E9F"/>
    <w:rsid w:val="00741445"/>
    <w:rsid w:val="00753E9C"/>
    <w:rsid w:val="00765421"/>
    <w:rsid w:val="00771B63"/>
    <w:rsid w:val="00774C5F"/>
    <w:rsid w:val="00782013"/>
    <w:rsid w:val="007848DD"/>
    <w:rsid w:val="007961FE"/>
    <w:rsid w:val="007A163E"/>
    <w:rsid w:val="007C0243"/>
    <w:rsid w:val="007C11B8"/>
    <w:rsid w:val="007D1D3A"/>
    <w:rsid w:val="007D579E"/>
    <w:rsid w:val="007F0595"/>
    <w:rsid w:val="007F3DD1"/>
    <w:rsid w:val="007F63F1"/>
    <w:rsid w:val="008005F1"/>
    <w:rsid w:val="00804CD0"/>
    <w:rsid w:val="00813AAA"/>
    <w:rsid w:val="0081508F"/>
    <w:rsid w:val="00815965"/>
    <w:rsid w:val="00815C91"/>
    <w:rsid w:val="008176F2"/>
    <w:rsid w:val="00820D35"/>
    <w:rsid w:val="00821CEB"/>
    <w:rsid w:val="008223AB"/>
    <w:rsid w:val="00831125"/>
    <w:rsid w:val="00836558"/>
    <w:rsid w:val="0083754C"/>
    <w:rsid w:val="008440FD"/>
    <w:rsid w:val="008506F1"/>
    <w:rsid w:val="008537A2"/>
    <w:rsid w:val="00862E0C"/>
    <w:rsid w:val="00864488"/>
    <w:rsid w:val="00871194"/>
    <w:rsid w:val="00875F3F"/>
    <w:rsid w:val="0088442E"/>
    <w:rsid w:val="008A010B"/>
    <w:rsid w:val="008A234F"/>
    <w:rsid w:val="008A53D6"/>
    <w:rsid w:val="008A75A2"/>
    <w:rsid w:val="008B1611"/>
    <w:rsid w:val="008B16E6"/>
    <w:rsid w:val="008C5874"/>
    <w:rsid w:val="008D59B3"/>
    <w:rsid w:val="008D74D5"/>
    <w:rsid w:val="008E7ED5"/>
    <w:rsid w:val="008F2664"/>
    <w:rsid w:val="008F3462"/>
    <w:rsid w:val="008F5607"/>
    <w:rsid w:val="008F5EE9"/>
    <w:rsid w:val="008F68DB"/>
    <w:rsid w:val="009075E0"/>
    <w:rsid w:val="009101E7"/>
    <w:rsid w:val="00910736"/>
    <w:rsid w:val="0091656D"/>
    <w:rsid w:val="00916575"/>
    <w:rsid w:val="009176D2"/>
    <w:rsid w:val="00923CFE"/>
    <w:rsid w:val="0093093D"/>
    <w:rsid w:val="00934891"/>
    <w:rsid w:val="00936E6F"/>
    <w:rsid w:val="009501A7"/>
    <w:rsid w:val="00950A64"/>
    <w:rsid w:val="0097031C"/>
    <w:rsid w:val="009744D8"/>
    <w:rsid w:val="0098645F"/>
    <w:rsid w:val="0099074B"/>
    <w:rsid w:val="00990E97"/>
    <w:rsid w:val="0099112E"/>
    <w:rsid w:val="009A3AE8"/>
    <w:rsid w:val="009C13D0"/>
    <w:rsid w:val="009C1F10"/>
    <w:rsid w:val="009D17D4"/>
    <w:rsid w:val="009E16BC"/>
    <w:rsid w:val="009F4CC1"/>
    <w:rsid w:val="00A13BAE"/>
    <w:rsid w:val="00A1539A"/>
    <w:rsid w:val="00A15E4D"/>
    <w:rsid w:val="00A32062"/>
    <w:rsid w:val="00A333AC"/>
    <w:rsid w:val="00A343BB"/>
    <w:rsid w:val="00A36C06"/>
    <w:rsid w:val="00A467A6"/>
    <w:rsid w:val="00A5576D"/>
    <w:rsid w:val="00A56D58"/>
    <w:rsid w:val="00A867A5"/>
    <w:rsid w:val="00A87904"/>
    <w:rsid w:val="00A91BA0"/>
    <w:rsid w:val="00A94424"/>
    <w:rsid w:val="00A97679"/>
    <w:rsid w:val="00AA5F8A"/>
    <w:rsid w:val="00AA7517"/>
    <w:rsid w:val="00AB0B3D"/>
    <w:rsid w:val="00AD18D5"/>
    <w:rsid w:val="00AE151D"/>
    <w:rsid w:val="00AE5216"/>
    <w:rsid w:val="00B13294"/>
    <w:rsid w:val="00B2077D"/>
    <w:rsid w:val="00B21913"/>
    <w:rsid w:val="00B237FD"/>
    <w:rsid w:val="00B25AF4"/>
    <w:rsid w:val="00B321F0"/>
    <w:rsid w:val="00B32236"/>
    <w:rsid w:val="00B451F4"/>
    <w:rsid w:val="00B5559A"/>
    <w:rsid w:val="00B57D5A"/>
    <w:rsid w:val="00B700EC"/>
    <w:rsid w:val="00B74D6B"/>
    <w:rsid w:val="00B83622"/>
    <w:rsid w:val="00B84616"/>
    <w:rsid w:val="00B87F67"/>
    <w:rsid w:val="00B92555"/>
    <w:rsid w:val="00B93797"/>
    <w:rsid w:val="00B938CE"/>
    <w:rsid w:val="00B954D4"/>
    <w:rsid w:val="00B9727C"/>
    <w:rsid w:val="00BA3A5E"/>
    <w:rsid w:val="00BC2AFE"/>
    <w:rsid w:val="00BC3688"/>
    <w:rsid w:val="00BC5B55"/>
    <w:rsid w:val="00BD2064"/>
    <w:rsid w:val="00BF2B3C"/>
    <w:rsid w:val="00BF3F40"/>
    <w:rsid w:val="00C009A6"/>
    <w:rsid w:val="00C06B66"/>
    <w:rsid w:val="00C10EF7"/>
    <w:rsid w:val="00C22433"/>
    <w:rsid w:val="00C26140"/>
    <w:rsid w:val="00C30568"/>
    <w:rsid w:val="00C33D38"/>
    <w:rsid w:val="00C42FA0"/>
    <w:rsid w:val="00C55A7C"/>
    <w:rsid w:val="00C56EBF"/>
    <w:rsid w:val="00C65DF9"/>
    <w:rsid w:val="00C735CA"/>
    <w:rsid w:val="00C817C9"/>
    <w:rsid w:val="00C8780D"/>
    <w:rsid w:val="00C904B8"/>
    <w:rsid w:val="00CA125A"/>
    <w:rsid w:val="00CA56E6"/>
    <w:rsid w:val="00CC1843"/>
    <w:rsid w:val="00CC64C7"/>
    <w:rsid w:val="00CF4F94"/>
    <w:rsid w:val="00D017CC"/>
    <w:rsid w:val="00D03426"/>
    <w:rsid w:val="00D07385"/>
    <w:rsid w:val="00D10A75"/>
    <w:rsid w:val="00D12C5B"/>
    <w:rsid w:val="00D21609"/>
    <w:rsid w:val="00D269F6"/>
    <w:rsid w:val="00D32CDB"/>
    <w:rsid w:val="00D36A82"/>
    <w:rsid w:val="00D44E5B"/>
    <w:rsid w:val="00D52036"/>
    <w:rsid w:val="00D71B31"/>
    <w:rsid w:val="00D735C8"/>
    <w:rsid w:val="00D75BF0"/>
    <w:rsid w:val="00D8241B"/>
    <w:rsid w:val="00D93A94"/>
    <w:rsid w:val="00D93BE2"/>
    <w:rsid w:val="00DA71D3"/>
    <w:rsid w:val="00DC4F95"/>
    <w:rsid w:val="00DD1419"/>
    <w:rsid w:val="00DD406C"/>
    <w:rsid w:val="00DE063D"/>
    <w:rsid w:val="00DE3227"/>
    <w:rsid w:val="00E0479A"/>
    <w:rsid w:val="00E07A42"/>
    <w:rsid w:val="00E15EEB"/>
    <w:rsid w:val="00E17A8F"/>
    <w:rsid w:val="00E336DD"/>
    <w:rsid w:val="00E47123"/>
    <w:rsid w:val="00E471BC"/>
    <w:rsid w:val="00E53B41"/>
    <w:rsid w:val="00E54C75"/>
    <w:rsid w:val="00E56E38"/>
    <w:rsid w:val="00E57D6B"/>
    <w:rsid w:val="00E61414"/>
    <w:rsid w:val="00E6170A"/>
    <w:rsid w:val="00E62C4B"/>
    <w:rsid w:val="00E63513"/>
    <w:rsid w:val="00E676CD"/>
    <w:rsid w:val="00E9032F"/>
    <w:rsid w:val="00E9346C"/>
    <w:rsid w:val="00E95579"/>
    <w:rsid w:val="00EB2627"/>
    <w:rsid w:val="00EB49E2"/>
    <w:rsid w:val="00EB74A1"/>
    <w:rsid w:val="00EC0115"/>
    <w:rsid w:val="00ED55A0"/>
    <w:rsid w:val="00EE133B"/>
    <w:rsid w:val="00EE427A"/>
    <w:rsid w:val="00F00AB9"/>
    <w:rsid w:val="00F1522F"/>
    <w:rsid w:val="00F22E07"/>
    <w:rsid w:val="00F32CA3"/>
    <w:rsid w:val="00F3528F"/>
    <w:rsid w:val="00F40D44"/>
    <w:rsid w:val="00F41338"/>
    <w:rsid w:val="00F43829"/>
    <w:rsid w:val="00F45987"/>
    <w:rsid w:val="00F4725B"/>
    <w:rsid w:val="00F56E76"/>
    <w:rsid w:val="00F61526"/>
    <w:rsid w:val="00F678BA"/>
    <w:rsid w:val="00F7177F"/>
    <w:rsid w:val="00F87F73"/>
    <w:rsid w:val="00FA1E79"/>
    <w:rsid w:val="00FC5264"/>
    <w:rsid w:val="00FC6AFE"/>
    <w:rsid w:val="00FD3979"/>
    <w:rsid w:val="00FD3C7C"/>
    <w:rsid w:val="00FD7D6E"/>
    <w:rsid w:val="00FE1DE2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A9613-7C96-4900-8D10-24B8DA68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31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6A292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777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4777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77723"/>
    <w:pPr>
      <w:shd w:val="clear" w:color="auto" w:fill="FFFFFF"/>
      <w:spacing w:line="317" w:lineRule="exact"/>
      <w:ind w:hanging="20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477723"/>
    <w:pPr>
      <w:shd w:val="clear" w:color="auto" w:fill="FFFFFF"/>
      <w:spacing w:after="600" w:line="317" w:lineRule="exact"/>
      <w:ind w:hanging="8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rsid w:val="0047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TrebuchetMS105pt">
    <w:name w:val="Колонтитул + Trebuchet MS;10;5 pt"/>
    <w:rsid w:val="004777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3">
    <w:name w:val="Normal (Web)"/>
    <w:basedOn w:val="a"/>
    <w:unhideWhenUsed/>
    <w:rsid w:val="00477723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477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color w:val="auto"/>
      <w:sz w:val="20"/>
      <w:szCs w:val="20"/>
      <w:lang w:val="x-none" w:eastAsia="zh-CN" w:bidi="ar-SA"/>
    </w:rPr>
  </w:style>
  <w:style w:type="character" w:customStyle="1" w:styleId="HTML0">
    <w:name w:val="Стандартный HTML Знак"/>
    <w:basedOn w:val="a0"/>
    <w:link w:val="HTML"/>
    <w:rsid w:val="00477723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FontStyle44">
    <w:name w:val="Font Style44"/>
    <w:rsid w:val="00477723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rsid w:val="00477723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val="ru-RU" w:eastAsia="zh-CN" w:bidi="ar-SA"/>
    </w:rPr>
  </w:style>
  <w:style w:type="paragraph" w:styleId="20">
    <w:name w:val="Body Text 2"/>
    <w:basedOn w:val="a"/>
    <w:link w:val="21"/>
    <w:rsid w:val="0047772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character" w:customStyle="1" w:styleId="21">
    <w:name w:val="Основной текст 2 Знак"/>
    <w:basedOn w:val="a0"/>
    <w:link w:val="20"/>
    <w:rsid w:val="0047772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4">
    <w:name w:val="Hyperlink"/>
    <w:uiPriority w:val="99"/>
    <w:unhideWhenUsed/>
    <w:rsid w:val="00477723"/>
    <w:rPr>
      <w:color w:val="0000FF"/>
      <w:u w:val="single"/>
    </w:rPr>
  </w:style>
  <w:style w:type="paragraph" w:customStyle="1" w:styleId="rvps2">
    <w:name w:val="rvps2"/>
    <w:basedOn w:val="a"/>
    <w:rsid w:val="004777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9">
    <w:name w:val="rvts9"/>
    <w:basedOn w:val="a0"/>
    <w:rsid w:val="00477723"/>
  </w:style>
  <w:style w:type="character" w:customStyle="1" w:styleId="22">
    <w:name w:val="Основной текст (2)_ Знак"/>
    <w:link w:val="23"/>
    <w:rsid w:val="00F56E76"/>
    <w:rPr>
      <w:rFonts w:cs="Times New Roman"/>
      <w:szCs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F56E76"/>
    <w:pPr>
      <w:shd w:val="clear" w:color="auto" w:fill="FFFFFF"/>
      <w:spacing w:before="1500" w:after="600" w:line="322" w:lineRule="exact"/>
    </w:pPr>
    <w:rPr>
      <w:rFonts w:asciiTheme="minorHAnsi" w:eastAsiaTheme="minorHAnsi" w:hAnsiTheme="minorHAnsi" w:cs="Times New Roman"/>
      <w:color w:val="auto"/>
      <w:sz w:val="22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DA71D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rvps14">
    <w:name w:val="rvps14"/>
    <w:basedOn w:val="a"/>
    <w:rsid w:val="00B74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73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5CA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character" w:customStyle="1" w:styleId="rvts23">
    <w:name w:val="rvts23"/>
    <w:basedOn w:val="a0"/>
    <w:rsid w:val="00A343BB"/>
  </w:style>
  <w:style w:type="paragraph" w:customStyle="1" w:styleId="a8">
    <w:name w:val="Нормальний текст"/>
    <w:basedOn w:val="a"/>
    <w:rsid w:val="00E9032F"/>
    <w:pPr>
      <w:widowControl/>
      <w:spacing w:before="120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A292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xfm04756138">
    <w:name w:val="xfm_04756138"/>
    <w:basedOn w:val="a0"/>
    <w:rsid w:val="00C10EF7"/>
  </w:style>
  <w:style w:type="character" w:customStyle="1" w:styleId="rvts0">
    <w:name w:val="rvts0"/>
    <w:basedOn w:val="a0"/>
    <w:rsid w:val="00640B43"/>
  </w:style>
  <w:style w:type="paragraph" w:customStyle="1" w:styleId="a9">
    <w:name w:val="Знак Знак"/>
    <w:basedOn w:val="a"/>
    <w:rsid w:val="002834A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aa">
    <w:name w:val="footer"/>
    <w:basedOn w:val="a"/>
    <w:link w:val="ab"/>
    <w:uiPriority w:val="99"/>
    <w:unhideWhenUsed/>
    <w:rsid w:val="00DD141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1419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DD141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1419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Standard">
    <w:name w:val="Standard"/>
    <w:rsid w:val="00864488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extbody">
    <w:name w:val="Text body"/>
    <w:basedOn w:val="Standard"/>
    <w:rsid w:val="00864488"/>
    <w:pPr>
      <w:spacing w:after="140" w:line="288" w:lineRule="auto"/>
    </w:pPr>
  </w:style>
  <w:style w:type="paragraph" w:customStyle="1" w:styleId="TableContents">
    <w:name w:val="Table Contents"/>
    <w:basedOn w:val="Standard"/>
    <w:rsid w:val="00864488"/>
  </w:style>
  <w:style w:type="table" w:styleId="ae">
    <w:name w:val="Table Grid"/>
    <w:basedOn w:val="a1"/>
    <w:uiPriority w:val="39"/>
    <w:rsid w:val="0075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AA75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6">
    <w:name w:val="rvps6"/>
    <w:basedOn w:val="a"/>
    <w:rsid w:val="00AA75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AC85-7D0A-4863-A8D7-292FC05C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20508</Words>
  <Characters>11690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Міщенков Євген Сергійович</dc:creator>
  <cp:lastModifiedBy>Волик Іван Анатолійович</cp:lastModifiedBy>
  <cp:revision>3</cp:revision>
  <cp:lastPrinted>2020-05-18T14:06:00Z</cp:lastPrinted>
  <dcterms:created xsi:type="dcterms:W3CDTF">2020-06-03T11:54:00Z</dcterms:created>
  <dcterms:modified xsi:type="dcterms:W3CDTF">2020-06-03T11:54:00Z</dcterms:modified>
</cp:coreProperties>
</file>