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ПОВІДОМЛЕННЯ</w:t>
      </w:r>
    </w:p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оприлюднення </w:t>
      </w:r>
      <w:proofErr w:type="spellStart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 Міністерства освіти і науки</w:t>
      </w:r>
      <w:r w:rsidRPr="007C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України  </w:t>
      </w:r>
    </w:p>
    <w:p w:rsidR="00906667" w:rsidRDefault="007C1394" w:rsidP="0090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06667"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="00906667"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завтердження</w:t>
      </w:r>
      <w:proofErr w:type="spellEnd"/>
      <w:r w:rsidR="00906667"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Порядку допуску до освітньої діяльності </w:t>
      </w:r>
    </w:p>
    <w:p w:rsidR="00906667" w:rsidRDefault="00906667" w:rsidP="0090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системі освіти пластових </w:t>
      </w:r>
      <w:proofErr w:type="spellStart"/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виховників</w:t>
      </w:r>
      <w:proofErr w:type="spellEnd"/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скаутлідерів</w:t>
      </w:r>
      <w:proofErr w:type="spellEnd"/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1394" w:rsidRPr="007C1394" w:rsidRDefault="00906667" w:rsidP="0090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пластовою, скаутською освітньою (навчальною) програмою чи пластовим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 скаутським методом</w:t>
      </w:r>
      <w:r w:rsidR="00D0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1394" w:rsidRPr="007C1394" w:rsidRDefault="007C1394" w:rsidP="000A681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Розробник – Міністерство освіти і науки України</w:t>
      </w:r>
    </w:p>
    <w:p w:rsidR="00906667" w:rsidRDefault="007C1394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на виконання </w:t>
      </w:r>
      <w:r w:rsidR="00906667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п’ятої статті 4 Закону України «Про визнання пластового руху та особливості державної підтримки пластового, скаутського руху».</w:t>
      </w:r>
    </w:p>
    <w:p w:rsidR="00906667" w:rsidRPr="00906667" w:rsidRDefault="00906667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передбачено, що суб’єкт освітньої діяльності в системі позашкільної освіти здійснює допуск до освітньої діяльності пластових </w:t>
      </w: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виховників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скаутлідерів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отримання від претендента на посаду керівника гуртка, секції, студії, інших форм гурткової роботи сертифікату про проходження пластовим </w:t>
      </w: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виховником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скаутлідером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підготовки у пластовому, скаутському громадському об’єднанні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формою.</w:t>
      </w:r>
    </w:p>
    <w:p w:rsidR="00906667" w:rsidRDefault="00906667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 підвищенню якості позашкільної освіти за пластовим, скаутським напрямом через допуск до освітньої діяльності виключно осіб, що пройшли підготовку у пластовому, скаутському громадському об’єднанні.</w:t>
      </w:r>
    </w:p>
    <w:p w:rsidR="007C1394" w:rsidRPr="007C1394" w:rsidRDefault="007C1394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7C1394" w:rsidRDefault="007C1394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 освіти і науки України (директорат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шкільної освіти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інклюзивної освіти</w:t>
      </w: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2468A" w:rsidRPr="0092468A" w:rsidRDefault="0092468A" w:rsidP="0092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Зауваження та пропозиції до </w:t>
      </w:r>
      <w:proofErr w:type="spellStart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проєкту</w:t>
      </w:r>
      <w:proofErr w:type="spellEnd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приймаються в письмовому вигляді </w:t>
      </w:r>
      <w:r w:rsidRPr="0092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місяця за адресами:</w:t>
      </w:r>
    </w:p>
    <w:p w:rsidR="007C1394" w:rsidRDefault="0092468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роспе</w:t>
      </w:r>
      <w:r w:rsidR="00BA6F47">
        <w:rPr>
          <w:rFonts w:ascii="Times New Roman" w:eastAsia="Times New Roman" w:hAnsi="Times New Roman" w:cs="Times New Roman"/>
          <w:sz w:val="28"/>
          <w:szCs w:val="28"/>
          <w:lang w:eastAsia="uk-UA"/>
        </w:rPr>
        <w:t>кт Перемоги, 10, м. Київ, 01135</w:t>
      </w:r>
    </w:p>
    <w:p w:rsidR="00A41865" w:rsidRPr="00906667" w:rsidRDefault="00906667" w:rsidP="00A41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fldChar w:fldCharType="begin"/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instrText>HYPERLINK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"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instrText>mailto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>: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instrText>yurii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>.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instrText>demediuk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>@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instrText>mon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>.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instrText>gov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>.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instrText>ua</w:instrTex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fldChar w:fldCharType="separate"/>
      </w:r>
      <w:r w:rsidRPr="00B93D7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uk-UA"/>
        </w:rPr>
        <w:t>yurii</w:t>
      </w:r>
      <w:r w:rsidRPr="00906667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3D7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uk-UA"/>
        </w:rPr>
        <w:t>demediuk</w:t>
      </w:r>
      <w:r w:rsidRPr="00B93D7F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@</w:t>
      </w:r>
      <w:r w:rsidRPr="00B93D7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uk-UA"/>
        </w:rPr>
        <w:t>mon</w:t>
      </w:r>
      <w:r w:rsidRPr="00B93D7F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3D7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uk-UA"/>
        </w:rPr>
        <w:t>gov</w:t>
      </w:r>
      <w:r w:rsidRPr="00B93D7F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3D7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fldChar w:fldCharType="end"/>
      </w:r>
    </w:p>
    <w:p w:rsidR="007C1394" w:rsidRDefault="00A41865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.: (044) 481-32-</w:t>
      </w:r>
      <w:r w:rsid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t>86</w:t>
      </w:r>
      <w:bookmarkStart w:id="0" w:name="_GoBack"/>
      <w:bookmarkEnd w:id="0"/>
    </w:p>
    <w:p w:rsidR="00E47D7A" w:rsidRPr="007C1394" w:rsidRDefault="00E47D7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576" w:rsidRPr="00590576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Державна регуляторна служба України, вул. Арсенальна, 9/11, м. Київ, 01011;</w:t>
      </w:r>
    </w:p>
    <w:p w:rsidR="00590576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spellStart"/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4" w:history="1">
        <w:r w:rsidRPr="005905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inform@dkrp.gov.ua</w:t>
        </w:r>
      </w:hyperlink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5BBB" w:rsidRPr="00590576" w:rsidRDefault="00375BBB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394" w:rsidRPr="007C1394" w:rsidRDefault="007C1394" w:rsidP="007C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C13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МОН </w:t>
      </w:r>
      <w:r w:rsidRPr="00285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hyperlink r:id="rId5" w:history="1">
        <w:r w:rsidRPr="00285AD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www.mon.gov.ua</w:t>
        </w:r>
      </w:hyperlink>
      <w:r w:rsidRPr="00285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7C1394" w:rsidRPr="007C1394" w:rsidRDefault="007C1394" w:rsidP="007C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0A6813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0A6813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0A6813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7E" w:rsidRPr="000A6813" w:rsidRDefault="00AE017E"/>
    <w:sectPr w:rsidR="00AE017E" w:rsidRPr="000A6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7"/>
    <w:rsid w:val="00051AD0"/>
    <w:rsid w:val="000709B5"/>
    <w:rsid w:val="000A6813"/>
    <w:rsid w:val="000F1D9C"/>
    <w:rsid w:val="00151B0A"/>
    <w:rsid w:val="00163667"/>
    <w:rsid w:val="00253C9D"/>
    <w:rsid w:val="00285AD2"/>
    <w:rsid w:val="002E2FDB"/>
    <w:rsid w:val="00324767"/>
    <w:rsid w:val="00375BBB"/>
    <w:rsid w:val="00590576"/>
    <w:rsid w:val="00784038"/>
    <w:rsid w:val="007C1394"/>
    <w:rsid w:val="00906667"/>
    <w:rsid w:val="0092468A"/>
    <w:rsid w:val="009645B6"/>
    <w:rsid w:val="00A16A9C"/>
    <w:rsid w:val="00A41865"/>
    <w:rsid w:val="00AE017E"/>
    <w:rsid w:val="00B57CBC"/>
    <w:rsid w:val="00BA6F47"/>
    <w:rsid w:val="00C0540F"/>
    <w:rsid w:val="00D02684"/>
    <w:rsid w:val="00E14AFE"/>
    <w:rsid w:val="00E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4360"/>
  <w15:chartTrackingRefBased/>
  <w15:docId w15:val="{FB96FB8B-DFA7-4A5D-AAB4-3DB90E3D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.gov.ua" TargetMode="External"/><Relationship Id="rId4" Type="http://schemas.openxmlformats.org/officeDocument/2006/relationships/hyperlink" Target="mailto:inform@dkrp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Ганна Анатоліївна</dc:creator>
  <cp:keywords/>
  <dc:description/>
  <cp:lastModifiedBy>Демедюк Юрій Григорович</cp:lastModifiedBy>
  <cp:revision>2</cp:revision>
  <dcterms:created xsi:type="dcterms:W3CDTF">2020-04-09T15:25:00Z</dcterms:created>
  <dcterms:modified xsi:type="dcterms:W3CDTF">2020-04-09T15:25:00Z</dcterms:modified>
</cp:coreProperties>
</file>