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96616" w14:textId="77777777" w:rsidR="00E706D5" w:rsidRPr="00CA6A42" w:rsidRDefault="00E706D5" w:rsidP="00FB5521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CA6A42">
        <w:rPr>
          <w:b/>
          <w:bCs/>
          <w:color w:val="000000" w:themeColor="text1"/>
          <w:sz w:val="28"/>
          <w:szCs w:val="28"/>
          <w:lang w:val="uk-UA"/>
        </w:rPr>
        <w:t>Аналіз регуляторного впливу</w:t>
      </w:r>
    </w:p>
    <w:p w14:paraId="6BEE425D" w14:textId="7866DAA4" w:rsidR="00B2581D" w:rsidRPr="00CA6A42" w:rsidRDefault="00170954" w:rsidP="00FB5521">
      <w:pPr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до проє</w:t>
      </w:r>
      <w:r w:rsidR="00E706D5" w:rsidRPr="00CA6A42">
        <w:rPr>
          <w:b/>
          <w:bCs/>
          <w:color w:val="000000" w:themeColor="text1"/>
          <w:sz w:val="28"/>
          <w:szCs w:val="28"/>
          <w:lang w:val="uk-UA"/>
        </w:rPr>
        <w:t xml:space="preserve">кту постанови Кабінету Міністрів України </w:t>
      </w:r>
    </w:p>
    <w:p w14:paraId="5666BEE6" w14:textId="4D09B915" w:rsidR="00E706D5" w:rsidRDefault="00E706D5" w:rsidP="0065119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CA6A42">
        <w:rPr>
          <w:b/>
          <w:bCs/>
          <w:color w:val="000000" w:themeColor="text1"/>
          <w:sz w:val="28"/>
          <w:szCs w:val="28"/>
        </w:rPr>
        <w:t>«</w:t>
      </w:r>
      <w:r w:rsidR="009331BC" w:rsidRPr="00CA6A4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 затвердження мінімальних ставок винагороди авторам технологій і особам, які здійснюють їх трансфер</w:t>
      </w:r>
      <w:r w:rsidRPr="00CA6A42">
        <w:rPr>
          <w:b/>
          <w:bCs/>
          <w:color w:val="000000" w:themeColor="text1"/>
          <w:sz w:val="28"/>
          <w:szCs w:val="28"/>
        </w:rPr>
        <w:t>»</w:t>
      </w:r>
    </w:p>
    <w:p w14:paraId="090E2DBA" w14:textId="77777777" w:rsidR="00374405" w:rsidRPr="00651195" w:rsidRDefault="00374405" w:rsidP="0065119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14:paraId="3EB66E19" w14:textId="77777777" w:rsidR="00E706D5" w:rsidRPr="00CA6A42" w:rsidRDefault="00E706D5" w:rsidP="00FB5521">
      <w:pPr>
        <w:spacing w:line="276" w:lineRule="auto"/>
        <w:ind w:firstLine="709"/>
        <w:contextualSpacing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CA6A42">
        <w:rPr>
          <w:b/>
          <w:bCs/>
          <w:color w:val="000000" w:themeColor="text1"/>
          <w:sz w:val="28"/>
          <w:szCs w:val="28"/>
          <w:lang w:val="uk-UA"/>
        </w:rPr>
        <w:t>І. Визначення проблеми</w:t>
      </w:r>
    </w:p>
    <w:p w14:paraId="77AA882D" w14:textId="5A85F1CD" w:rsidR="00FB5521" w:rsidRPr="00CA6A42" w:rsidRDefault="000C0769" w:rsidP="00946B3D">
      <w:pPr>
        <w:spacing w:line="276" w:lineRule="auto"/>
        <w:ind w:firstLine="709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CA6A42">
        <w:rPr>
          <w:bCs/>
          <w:color w:val="000000" w:themeColor="text1"/>
          <w:sz w:val="28"/>
          <w:szCs w:val="28"/>
          <w:lang w:val="uk-UA"/>
        </w:rPr>
        <w:t>Постановою Кабінету Міністрів України від 4 червня 2008 р. №</w:t>
      </w:r>
      <w:r w:rsidR="00591155">
        <w:rPr>
          <w:bCs/>
          <w:color w:val="000000" w:themeColor="text1"/>
          <w:sz w:val="28"/>
          <w:szCs w:val="28"/>
          <w:lang w:val="uk-UA"/>
        </w:rPr>
        <w:t> </w:t>
      </w:r>
      <w:r w:rsidRPr="00CA6A42">
        <w:rPr>
          <w:bCs/>
          <w:color w:val="000000" w:themeColor="text1"/>
          <w:sz w:val="28"/>
          <w:szCs w:val="28"/>
          <w:lang w:val="uk-UA"/>
        </w:rPr>
        <w:t>520 затверджено мінімальні ставки винагороди авторам технологій і особам, які здійснюють їх трансфер на рівні</w:t>
      </w:r>
      <w:r w:rsidR="00591155">
        <w:rPr>
          <w:bCs/>
          <w:color w:val="000000" w:themeColor="text1"/>
          <w:sz w:val="28"/>
          <w:szCs w:val="28"/>
          <w:lang w:val="uk-UA"/>
        </w:rPr>
        <w:t xml:space="preserve"> від 0,5 % до</w:t>
      </w:r>
      <w:r w:rsidRPr="00CA6A42">
        <w:rPr>
          <w:bCs/>
          <w:color w:val="000000" w:themeColor="text1"/>
          <w:sz w:val="28"/>
          <w:szCs w:val="28"/>
          <w:lang w:val="uk-UA"/>
        </w:rPr>
        <w:t xml:space="preserve"> 3</w:t>
      </w:r>
      <w:r w:rsidR="00591155">
        <w:rPr>
          <w:bCs/>
          <w:color w:val="000000" w:themeColor="text1"/>
          <w:sz w:val="28"/>
          <w:szCs w:val="28"/>
          <w:lang w:val="uk-UA"/>
        </w:rPr>
        <w:t> </w:t>
      </w:r>
      <w:r w:rsidRPr="00CA6A42">
        <w:rPr>
          <w:bCs/>
          <w:color w:val="000000" w:themeColor="text1"/>
          <w:sz w:val="28"/>
          <w:szCs w:val="28"/>
          <w:lang w:val="uk-UA"/>
        </w:rPr>
        <w:t xml:space="preserve">% </w:t>
      </w:r>
      <w:r w:rsidR="00591155">
        <w:rPr>
          <w:bCs/>
          <w:color w:val="000000" w:themeColor="text1"/>
          <w:sz w:val="28"/>
          <w:szCs w:val="28"/>
          <w:lang w:val="uk-UA"/>
        </w:rPr>
        <w:t xml:space="preserve">коштів, </w:t>
      </w:r>
      <w:r w:rsidRPr="00CA6A42">
        <w:rPr>
          <w:bCs/>
          <w:color w:val="000000" w:themeColor="text1"/>
          <w:sz w:val="28"/>
          <w:szCs w:val="28"/>
          <w:lang w:val="uk-UA"/>
        </w:rPr>
        <w:t>отриманих за догов</w:t>
      </w:r>
      <w:r w:rsidR="00FB5521" w:rsidRPr="00CA6A42">
        <w:rPr>
          <w:bCs/>
          <w:color w:val="000000" w:themeColor="text1"/>
          <w:sz w:val="28"/>
          <w:szCs w:val="28"/>
          <w:lang w:val="uk-UA"/>
        </w:rPr>
        <w:t>о</w:t>
      </w:r>
      <w:r w:rsidRPr="00CA6A42">
        <w:rPr>
          <w:bCs/>
          <w:color w:val="000000" w:themeColor="text1"/>
          <w:sz w:val="28"/>
          <w:szCs w:val="28"/>
          <w:lang w:val="uk-UA"/>
        </w:rPr>
        <w:t>рами про трансфер технологій</w:t>
      </w:r>
      <w:r w:rsidR="00591155">
        <w:rPr>
          <w:bCs/>
          <w:color w:val="000000" w:themeColor="text1"/>
          <w:sz w:val="28"/>
          <w:szCs w:val="28"/>
          <w:lang w:val="uk-UA"/>
        </w:rPr>
        <w:t>,</w:t>
      </w:r>
      <w:r w:rsidRPr="00CA6A4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591155">
        <w:rPr>
          <w:bCs/>
          <w:color w:val="000000" w:themeColor="text1"/>
          <w:sz w:val="28"/>
          <w:szCs w:val="28"/>
          <w:lang w:val="uk-UA"/>
        </w:rPr>
        <w:t>в залежності від типу продукції (товарів, що виготовляються, і послуг, що надаються з використанням нової технології)</w:t>
      </w:r>
      <w:r w:rsidR="00946B3D" w:rsidRPr="00CA6A42">
        <w:rPr>
          <w:bCs/>
          <w:color w:val="000000" w:themeColor="text1"/>
          <w:sz w:val="28"/>
          <w:szCs w:val="28"/>
          <w:lang w:val="uk-UA"/>
        </w:rPr>
        <w:t>.</w:t>
      </w:r>
    </w:p>
    <w:p w14:paraId="6437110B" w14:textId="46E32134" w:rsidR="000C0769" w:rsidRPr="00CA6A42" w:rsidRDefault="00FB5521" w:rsidP="00FB5521">
      <w:pPr>
        <w:spacing w:line="276" w:lineRule="auto"/>
        <w:ind w:firstLine="709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CA6A42">
        <w:rPr>
          <w:bCs/>
          <w:color w:val="000000" w:themeColor="text1"/>
          <w:sz w:val="28"/>
          <w:szCs w:val="28"/>
          <w:lang w:val="uk-UA"/>
        </w:rPr>
        <w:t>У п</w:t>
      </w:r>
      <w:r w:rsidR="000C0769" w:rsidRPr="00CA6A42">
        <w:rPr>
          <w:bCs/>
          <w:color w:val="000000" w:themeColor="text1"/>
          <w:sz w:val="28"/>
          <w:szCs w:val="28"/>
          <w:lang w:val="uk-UA"/>
        </w:rPr>
        <w:t>риміт</w:t>
      </w:r>
      <w:r w:rsidRPr="00CA6A42">
        <w:rPr>
          <w:bCs/>
          <w:color w:val="000000" w:themeColor="text1"/>
          <w:sz w:val="28"/>
          <w:szCs w:val="28"/>
          <w:lang w:val="uk-UA"/>
        </w:rPr>
        <w:t>ці</w:t>
      </w:r>
      <w:r w:rsidR="000C0769" w:rsidRPr="00CA6A42">
        <w:rPr>
          <w:bCs/>
          <w:color w:val="000000" w:themeColor="text1"/>
          <w:sz w:val="28"/>
          <w:szCs w:val="28"/>
          <w:lang w:val="uk-UA"/>
        </w:rPr>
        <w:t xml:space="preserve"> 2 до </w:t>
      </w:r>
      <w:r w:rsidRPr="00CA6A42">
        <w:rPr>
          <w:bCs/>
          <w:color w:val="000000" w:themeColor="text1"/>
          <w:sz w:val="28"/>
          <w:szCs w:val="28"/>
          <w:lang w:val="uk-UA"/>
        </w:rPr>
        <w:t xml:space="preserve">зазначеної </w:t>
      </w:r>
      <w:r w:rsidR="000C0769" w:rsidRPr="00CA6A42">
        <w:rPr>
          <w:bCs/>
          <w:color w:val="000000" w:themeColor="text1"/>
          <w:sz w:val="28"/>
          <w:szCs w:val="28"/>
          <w:lang w:val="uk-UA"/>
        </w:rPr>
        <w:t xml:space="preserve">постанови визначено, що авторові (авторам) технології або її складових, що створені в результаті виконання ним творчої (інтелектуальної) роботи, який є власником майнових прав на них, та особам, які здійснюють трансфер технології і є власниками майнових </w:t>
      </w:r>
      <w:r w:rsidR="00F82DDD">
        <w:rPr>
          <w:bCs/>
          <w:color w:val="000000" w:themeColor="text1"/>
          <w:sz w:val="28"/>
          <w:szCs w:val="28"/>
          <w:lang w:val="uk-UA"/>
        </w:rPr>
        <w:t>прав на неї, виплачується по 50 %</w:t>
      </w:r>
      <w:r w:rsidR="00F82DDD" w:rsidRPr="00F82DDD">
        <w:rPr>
          <w:bCs/>
          <w:color w:val="000000" w:themeColor="text1"/>
          <w:sz w:val="28"/>
          <w:szCs w:val="28"/>
        </w:rPr>
        <w:t xml:space="preserve"> </w:t>
      </w:r>
      <w:r w:rsidR="000C0769" w:rsidRPr="00CA6A42">
        <w:rPr>
          <w:bCs/>
          <w:color w:val="000000" w:themeColor="text1"/>
          <w:sz w:val="28"/>
          <w:szCs w:val="28"/>
          <w:lang w:val="uk-UA"/>
        </w:rPr>
        <w:t>мінімальної ставки винагороди. У договорі про трансфер технології сторони можуть встановити інший розмір винагороди з визначенням порядку її розподілу.</w:t>
      </w:r>
    </w:p>
    <w:p w14:paraId="6EE68916" w14:textId="211EA275" w:rsidR="001A58B3" w:rsidRDefault="000C0769" w:rsidP="001A58B3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>Міністерством освіти і науки України на виконання пункту 3 Порядку і напрямів використання коштів, одержаних у результаті трансферу технологій, створених за рахунок коштів державного бюджету, затверджених постановою Кабінету Міністрів України від 22</w:t>
      </w:r>
      <w:r w:rsidR="00F82DDD">
        <w:rPr>
          <w:color w:val="000000" w:themeColor="text1"/>
          <w:sz w:val="28"/>
          <w:szCs w:val="28"/>
          <w:lang w:val="uk-UA"/>
        </w:rPr>
        <w:t xml:space="preserve"> квітня 2013 р. </w:t>
      </w:r>
      <w:r w:rsidRPr="00CA6A42">
        <w:rPr>
          <w:color w:val="000000" w:themeColor="text1"/>
          <w:sz w:val="28"/>
          <w:szCs w:val="28"/>
          <w:lang w:val="uk-UA"/>
        </w:rPr>
        <w:t>№ 300, та пункту 5 Порядку здійснення контролю за виплатою винагороди авторам технологій та/або їх складових, затвердженого постановою Кабінету Міністрів України від 22</w:t>
      </w:r>
      <w:r w:rsidR="00F82DDD">
        <w:rPr>
          <w:color w:val="000000" w:themeColor="text1"/>
          <w:sz w:val="28"/>
          <w:szCs w:val="28"/>
          <w:lang w:val="uk-UA"/>
        </w:rPr>
        <w:t xml:space="preserve"> травня </w:t>
      </w:r>
      <w:r w:rsidRPr="00CA6A42">
        <w:rPr>
          <w:color w:val="000000" w:themeColor="text1"/>
          <w:sz w:val="28"/>
          <w:szCs w:val="28"/>
          <w:lang w:val="uk-UA"/>
        </w:rPr>
        <w:t>2013</w:t>
      </w:r>
      <w:r w:rsidR="00F82DDD">
        <w:rPr>
          <w:color w:val="000000" w:themeColor="text1"/>
          <w:sz w:val="28"/>
          <w:szCs w:val="28"/>
          <w:lang w:val="uk-UA"/>
        </w:rPr>
        <w:t> р.</w:t>
      </w:r>
      <w:r w:rsidRPr="00CA6A42">
        <w:rPr>
          <w:color w:val="000000" w:themeColor="text1"/>
          <w:sz w:val="28"/>
          <w:szCs w:val="28"/>
          <w:lang w:val="uk-UA"/>
        </w:rPr>
        <w:t xml:space="preserve"> № 351, проведено аналіз напрямів використання коштів, одержаних у результаті трансферу технологій, створених за рахунок коштів державного бюджету у період 2014</w:t>
      </w:r>
      <w:r w:rsidR="001A58B3">
        <w:rPr>
          <w:color w:val="000000" w:themeColor="text1"/>
          <w:sz w:val="28"/>
          <w:szCs w:val="28"/>
          <w:lang w:val="uk-UA"/>
        </w:rPr>
        <w:t>-</w:t>
      </w:r>
      <w:r w:rsidRPr="00CA6A42">
        <w:rPr>
          <w:color w:val="000000" w:themeColor="text1"/>
          <w:sz w:val="28"/>
          <w:szCs w:val="28"/>
          <w:lang w:val="uk-UA"/>
        </w:rPr>
        <w:t>2018 рр., у тому числі обсягів коштів, виплачених в якості винагороди авторам технологій та/або їх складових в розрізі наукових установ та закладів вищої освіти.</w:t>
      </w:r>
    </w:p>
    <w:p w14:paraId="158E4086" w14:textId="2F4B2CFC" w:rsidR="006B6B5B" w:rsidRDefault="001A58B3" w:rsidP="006B6B5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A58B3">
        <w:rPr>
          <w:color w:val="000000" w:themeColor="text1"/>
          <w:sz w:val="28"/>
          <w:szCs w:val="28"/>
          <w:lang w:val="uk-UA"/>
        </w:rPr>
        <w:t xml:space="preserve">Результати аналізу </w:t>
      </w:r>
      <w:r>
        <w:rPr>
          <w:color w:val="000000" w:themeColor="text1"/>
          <w:sz w:val="28"/>
          <w:szCs w:val="28"/>
          <w:lang w:val="uk-UA"/>
        </w:rPr>
        <w:t>показали</w:t>
      </w:r>
      <w:r>
        <w:rPr>
          <w:sz w:val="28"/>
          <w:szCs w:val="28"/>
          <w:lang w:val="uk-UA"/>
        </w:rPr>
        <w:t xml:space="preserve">, що </w:t>
      </w:r>
      <w:r w:rsidRPr="001A58B3">
        <w:rPr>
          <w:color w:val="000000" w:themeColor="text1"/>
          <w:sz w:val="28"/>
          <w:szCs w:val="28"/>
          <w:lang w:val="uk-UA"/>
        </w:rPr>
        <w:t>середня річна ставка виплати винагороди авторам технологій та особам, які здійснювали трансфер технологій у досліджуваний період, склала 3,4 %.</w:t>
      </w:r>
      <w:r>
        <w:rPr>
          <w:sz w:val="28"/>
          <w:szCs w:val="28"/>
          <w:lang w:val="uk-UA"/>
        </w:rPr>
        <w:t xml:space="preserve"> Водночас, якщо порівнювати показники виплати винагороди авторам технологій та особам, які здійснювали їх трансфер у закладах вищої освіти та наукових установах України, то</w:t>
      </w:r>
      <w:r w:rsidR="006B6B5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6B6B5B">
        <w:rPr>
          <w:sz w:val="28"/>
          <w:szCs w:val="28"/>
          <w:lang w:val="uk-UA"/>
        </w:rPr>
        <w:t>наприклад,</w:t>
      </w:r>
      <w:r>
        <w:rPr>
          <w:sz w:val="28"/>
          <w:szCs w:val="28"/>
          <w:lang w:val="uk-UA"/>
        </w:rPr>
        <w:t xml:space="preserve"> у </w:t>
      </w:r>
      <w:r w:rsidR="006B6B5B">
        <w:rPr>
          <w:sz w:val="28"/>
          <w:szCs w:val="28"/>
          <w:lang w:val="uk-UA"/>
        </w:rPr>
        <w:t>2018 </w:t>
      </w:r>
      <w:r w:rsidRPr="001A58B3">
        <w:rPr>
          <w:sz w:val="28"/>
          <w:szCs w:val="28"/>
          <w:lang w:val="uk-UA"/>
        </w:rPr>
        <w:t xml:space="preserve">році </w:t>
      </w:r>
      <w:r w:rsidR="006B6B5B">
        <w:rPr>
          <w:sz w:val="28"/>
          <w:szCs w:val="28"/>
          <w:lang w:val="uk-UA"/>
        </w:rPr>
        <w:t>с</w:t>
      </w:r>
      <w:r w:rsidR="006B6B5B" w:rsidRPr="001A58B3">
        <w:rPr>
          <w:sz w:val="28"/>
          <w:szCs w:val="28"/>
          <w:lang w:val="uk-UA"/>
        </w:rPr>
        <w:t xml:space="preserve">ереднє значення ставки виплати винагороди авторам технологій та особам, які здійснювали трансфер </w:t>
      </w:r>
      <w:r w:rsidR="006B6B5B">
        <w:rPr>
          <w:sz w:val="28"/>
          <w:szCs w:val="28"/>
          <w:lang w:val="uk-UA"/>
        </w:rPr>
        <w:t>в наукових установах</w:t>
      </w:r>
      <w:r w:rsidR="00E37263">
        <w:rPr>
          <w:sz w:val="28"/>
          <w:szCs w:val="28"/>
          <w:lang w:val="uk-UA"/>
        </w:rPr>
        <w:t xml:space="preserve"> Національної академії аграрних наук України (далі – НААН України)</w:t>
      </w:r>
      <w:r w:rsidR="006B6B5B" w:rsidRPr="001A58B3">
        <w:rPr>
          <w:sz w:val="28"/>
          <w:szCs w:val="28"/>
          <w:lang w:val="uk-UA"/>
        </w:rPr>
        <w:t xml:space="preserve"> </w:t>
      </w:r>
      <w:r w:rsidR="006B6B5B">
        <w:rPr>
          <w:sz w:val="28"/>
          <w:szCs w:val="28"/>
          <w:lang w:val="uk-UA"/>
        </w:rPr>
        <w:t>становило 0,35</w:t>
      </w:r>
      <w:r w:rsidR="006B6B5B" w:rsidRPr="001A58B3">
        <w:rPr>
          <w:sz w:val="28"/>
          <w:szCs w:val="28"/>
          <w:lang w:val="uk-UA"/>
        </w:rPr>
        <w:t> %</w:t>
      </w:r>
      <w:r w:rsidR="006B6B5B">
        <w:rPr>
          <w:sz w:val="28"/>
          <w:szCs w:val="28"/>
          <w:lang w:val="uk-UA"/>
        </w:rPr>
        <w:t xml:space="preserve"> (мінімальна зафіксована ставка – 0,003%, максимальна – 1,94</w:t>
      </w:r>
      <w:r w:rsidR="00F82DDD">
        <w:rPr>
          <w:sz w:val="28"/>
          <w:szCs w:val="28"/>
          <w:lang w:val="uk-UA"/>
        </w:rPr>
        <w:t> </w:t>
      </w:r>
      <w:r w:rsidR="006B6B5B">
        <w:rPr>
          <w:sz w:val="28"/>
          <w:szCs w:val="28"/>
          <w:lang w:val="uk-UA"/>
        </w:rPr>
        <w:t>%)</w:t>
      </w:r>
      <w:r w:rsidR="006B6B5B" w:rsidRPr="001A58B3">
        <w:rPr>
          <w:sz w:val="28"/>
          <w:szCs w:val="28"/>
          <w:lang w:val="uk-UA"/>
        </w:rPr>
        <w:t xml:space="preserve">, </w:t>
      </w:r>
      <w:r w:rsidR="006B6B5B">
        <w:rPr>
          <w:sz w:val="28"/>
          <w:szCs w:val="28"/>
          <w:lang w:val="uk-UA"/>
        </w:rPr>
        <w:t xml:space="preserve">а </w:t>
      </w:r>
      <w:r w:rsidR="006B6B5B" w:rsidRPr="001A58B3">
        <w:rPr>
          <w:sz w:val="28"/>
          <w:szCs w:val="28"/>
          <w:lang w:val="uk-UA"/>
        </w:rPr>
        <w:t xml:space="preserve">у </w:t>
      </w:r>
      <w:r w:rsidR="006B6B5B">
        <w:rPr>
          <w:sz w:val="28"/>
          <w:szCs w:val="28"/>
          <w:lang w:val="uk-UA"/>
        </w:rPr>
        <w:t>закладах вищої освіти – 21,6</w:t>
      </w:r>
      <w:r w:rsidR="006B6B5B" w:rsidRPr="001A58B3">
        <w:rPr>
          <w:sz w:val="28"/>
          <w:szCs w:val="28"/>
          <w:lang w:val="uk-UA"/>
        </w:rPr>
        <w:t>5 %</w:t>
      </w:r>
      <w:r w:rsidR="006B6B5B">
        <w:rPr>
          <w:sz w:val="28"/>
          <w:szCs w:val="28"/>
          <w:lang w:val="uk-UA"/>
        </w:rPr>
        <w:t xml:space="preserve"> (мінімальна зафіксована ставка – 2,78 %, максимальна – 53,77</w:t>
      </w:r>
      <w:r w:rsidR="006B6B5B">
        <w:rPr>
          <w:sz w:val="28"/>
          <w:szCs w:val="28"/>
          <w:lang w:val="en-US"/>
        </w:rPr>
        <w:t> </w:t>
      </w:r>
      <w:r w:rsidR="006B6B5B">
        <w:rPr>
          <w:sz w:val="28"/>
          <w:szCs w:val="28"/>
          <w:lang w:val="uk-UA"/>
        </w:rPr>
        <w:t>%)</w:t>
      </w:r>
      <w:r w:rsidR="006B6B5B" w:rsidRPr="001A58B3">
        <w:rPr>
          <w:sz w:val="28"/>
          <w:szCs w:val="28"/>
          <w:lang w:val="uk-UA"/>
        </w:rPr>
        <w:t>.</w:t>
      </w:r>
    </w:p>
    <w:p w14:paraId="65A80A8E" w14:textId="77777777" w:rsidR="00DA490B" w:rsidRDefault="006B6B5B" w:rsidP="00946B3D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Зафіксовані н</w:t>
      </w:r>
      <w:r w:rsidR="000C0769" w:rsidRPr="00CA6A42">
        <w:rPr>
          <w:color w:val="000000" w:themeColor="text1"/>
          <w:sz w:val="28"/>
          <w:szCs w:val="28"/>
          <w:lang w:val="uk-UA"/>
        </w:rPr>
        <w:t>изькі ставки винагороди для авторів технологій та їх складових</w:t>
      </w:r>
      <w:r w:rsidR="001A0597">
        <w:rPr>
          <w:color w:val="000000" w:themeColor="text1"/>
          <w:sz w:val="28"/>
          <w:szCs w:val="28"/>
          <w:lang w:val="uk-UA"/>
        </w:rPr>
        <w:t xml:space="preserve"> та осіб, які здійснюють трансфер технологій (менше 0,5% сукупної винагороди)</w:t>
      </w:r>
      <w:r w:rsidR="000C0769" w:rsidRPr="00CA6A42">
        <w:rPr>
          <w:color w:val="000000" w:themeColor="text1"/>
          <w:sz w:val="28"/>
          <w:szCs w:val="28"/>
          <w:lang w:val="uk-UA"/>
        </w:rPr>
        <w:t xml:space="preserve"> не стимулюють представників наукового середовища до налагодження комунікації з бізнесом та пошуку можливостей для застосування створених за бюджетні кошти технологій у реальному секторі економіки через укладення договорів про трансфер (передачу) технологій. </w:t>
      </w:r>
    </w:p>
    <w:p w14:paraId="0A65C03B" w14:textId="4C5590D1" w:rsidR="00F82DDD" w:rsidRDefault="00946B3D" w:rsidP="00EB3A88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>П</w:t>
      </w:r>
      <w:r w:rsidR="000C0769" w:rsidRPr="00CA6A42">
        <w:rPr>
          <w:color w:val="000000" w:themeColor="text1"/>
          <w:sz w:val="28"/>
          <w:szCs w:val="28"/>
          <w:lang w:val="uk-UA"/>
        </w:rPr>
        <w:t>роведений аналіз</w:t>
      </w:r>
      <w:r w:rsidR="00DA490B">
        <w:rPr>
          <w:color w:val="000000" w:themeColor="text1"/>
          <w:sz w:val="28"/>
          <w:szCs w:val="28"/>
          <w:lang w:val="uk-UA"/>
        </w:rPr>
        <w:t xml:space="preserve"> виявив пр</w:t>
      </w:r>
      <w:r w:rsidR="000F59F9">
        <w:rPr>
          <w:color w:val="000000" w:themeColor="text1"/>
          <w:sz w:val="28"/>
          <w:szCs w:val="28"/>
          <w:lang w:val="uk-UA"/>
        </w:rPr>
        <w:t>облему істотного</w:t>
      </w:r>
      <w:r w:rsidR="000C0769" w:rsidRPr="00CA6A42">
        <w:rPr>
          <w:color w:val="000000" w:themeColor="text1"/>
          <w:sz w:val="28"/>
          <w:szCs w:val="28"/>
          <w:lang w:val="uk-UA"/>
        </w:rPr>
        <w:t xml:space="preserve"> зменшення </w:t>
      </w:r>
      <w:r w:rsidR="000F59F9">
        <w:rPr>
          <w:color w:val="000000" w:themeColor="text1"/>
          <w:sz w:val="28"/>
          <w:szCs w:val="28"/>
          <w:lang w:val="uk-UA"/>
        </w:rPr>
        <w:t>(</w:t>
      </w:r>
      <w:r w:rsidR="000C0769" w:rsidRPr="00CA6A42">
        <w:rPr>
          <w:color w:val="000000" w:themeColor="text1"/>
          <w:sz w:val="28"/>
          <w:szCs w:val="28"/>
          <w:lang w:val="uk-UA"/>
        </w:rPr>
        <w:t>більш як на третину</w:t>
      </w:r>
      <w:r w:rsidR="000F59F9">
        <w:rPr>
          <w:color w:val="000000" w:themeColor="text1"/>
          <w:sz w:val="28"/>
          <w:szCs w:val="28"/>
          <w:lang w:val="uk-UA"/>
        </w:rPr>
        <w:t>)</w:t>
      </w:r>
      <w:r w:rsidR="000C0769" w:rsidRPr="00CA6A42">
        <w:rPr>
          <w:color w:val="000000" w:themeColor="text1"/>
          <w:sz w:val="28"/>
          <w:szCs w:val="28"/>
          <w:lang w:val="uk-UA"/>
        </w:rPr>
        <w:t xml:space="preserve"> кількості укладених договорів про трансфер технологій (з 4521 договору у 2014 році до 2872 договорів у 2018 році)</w:t>
      </w:r>
      <w:r w:rsidR="00343F19">
        <w:rPr>
          <w:color w:val="000000" w:themeColor="text1"/>
          <w:sz w:val="28"/>
          <w:szCs w:val="28"/>
          <w:lang w:val="uk-UA"/>
        </w:rPr>
        <w:t xml:space="preserve"> і відповідно – кількості переданих технологій</w:t>
      </w:r>
      <w:r w:rsidR="00C95F5E">
        <w:rPr>
          <w:color w:val="000000" w:themeColor="text1"/>
          <w:sz w:val="28"/>
          <w:szCs w:val="28"/>
          <w:lang w:val="uk-UA"/>
        </w:rPr>
        <w:t xml:space="preserve"> та їх складових</w:t>
      </w:r>
      <w:r w:rsidR="00EB3A88">
        <w:rPr>
          <w:color w:val="000000" w:themeColor="text1"/>
          <w:sz w:val="28"/>
          <w:szCs w:val="28"/>
          <w:lang w:val="uk-UA"/>
        </w:rPr>
        <w:t xml:space="preserve"> через незацікавленість винахідників у пошуку можливостей впровадження</w:t>
      </w:r>
      <w:r w:rsidR="000C0769" w:rsidRPr="00CA6A42">
        <w:rPr>
          <w:color w:val="000000" w:themeColor="text1"/>
          <w:sz w:val="28"/>
          <w:szCs w:val="28"/>
          <w:lang w:val="uk-UA"/>
        </w:rPr>
        <w:t>.</w:t>
      </w:r>
    </w:p>
    <w:p w14:paraId="03AC0FEA" w14:textId="339F895F" w:rsidR="00E706D5" w:rsidRPr="00CA6A42" w:rsidRDefault="00E706D5" w:rsidP="00E706D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>Основні групи (підгрупи), на які проблема здійснює вплив:</w:t>
      </w:r>
    </w:p>
    <w:tbl>
      <w:tblPr>
        <w:tblStyle w:val="a7"/>
        <w:tblW w:w="9464" w:type="dxa"/>
        <w:jc w:val="center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CA6A42" w:rsidRPr="00CA6A42" w14:paraId="27261ADE" w14:textId="77777777" w:rsidTr="005626B8">
        <w:trPr>
          <w:jc w:val="center"/>
        </w:trPr>
        <w:tc>
          <w:tcPr>
            <w:tcW w:w="3510" w:type="dxa"/>
          </w:tcPr>
          <w:p w14:paraId="7AEB2F63" w14:textId="77777777" w:rsidR="00E706D5" w:rsidRPr="00CA6A42" w:rsidRDefault="00E706D5" w:rsidP="00516B8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2977" w:type="dxa"/>
          </w:tcPr>
          <w:p w14:paraId="2B85EFB0" w14:textId="77777777" w:rsidR="00E706D5" w:rsidRPr="00CA6A42" w:rsidRDefault="00E706D5" w:rsidP="005626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977" w:type="dxa"/>
          </w:tcPr>
          <w:p w14:paraId="4C48FD31" w14:textId="77777777" w:rsidR="00E706D5" w:rsidRPr="00CA6A42" w:rsidRDefault="00E706D5" w:rsidP="005626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Ні</w:t>
            </w:r>
          </w:p>
        </w:tc>
      </w:tr>
      <w:tr w:rsidR="00CA6A42" w:rsidRPr="00CA6A42" w14:paraId="058A90B3" w14:textId="77777777" w:rsidTr="005626B8">
        <w:trPr>
          <w:jc w:val="center"/>
        </w:trPr>
        <w:tc>
          <w:tcPr>
            <w:tcW w:w="3510" w:type="dxa"/>
          </w:tcPr>
          <w:p w14:paraId="7BE176DC" w14:textId="77777777" w:rsidR="00E706D5" w:rsidRPr="00CA6A42" w:rsidRDefault="00E706D5" w:rsidP="00516B8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Громадяни, іноземці</w:t>
            </w:r>
          </w:p>
        </w:tc>
        <w:tc>
          <w:tcPr>
            <w:tcW w:w="2977" w:type="dxa"/>
          </w:tcPr>
          <w:p w14:paraId="1399C951" w14:textId="77777777" w:rsidR="00E706D5" w:rsidRPr="00CA6A42" w:rsidRDefault="00E706D5" w:rsidP="005626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977" w:type="dxa"/>
          </w:tcPr>
          <w:p w14:paraId="0DCCD16A" w14:textId="77777777" w:rsidR="00E706D5" w:rsidRPr="00CA6A42" w:rsidRDefault="00E706D5" w:rsidP="005626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</w:tr>
      <w:tr w:rsidR="00CA6A42" w:rsidRPr="00CA6A42" w14:paraId="1B969709" w14:textId="77777777" w:rsidTr="005626B8">
        <w:trPr>
          <w:jc w:val="center"/>
        </w:trPr>
        <w:tc>
          <w:tcPr>
            <w:tcW w:w="3510" w:type="dxa"/>
          </w:tcPr>
          <w:p w14:paraId="2FDDD78E" w14:textId="77777777" w:rsidR="00E706D5" w:rsidRPr="00CA6A42" w:rsidRDefault="00E706D5" w:rsidP="00516B8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2977" w:type="dxa"/>
          </w:tcPr>
          <w:p w14:paraId="6CA322B9" w14:textId="77777777" w:rsidR="00E706D5" w:rsidRPr="00CA6A42" w:rsidRDefault="00E706D5" w:rsidP="005626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977" w:type="dxa"/>
          </w:tcPr>
          <w:p w14:paraId="4977FFA1" w14:textId="77777777" w:rsidR="00E706D5" w:rsidRPr="00CA6A42" w:rsidRDefault="00E706D5" w:rsidP="005626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</w:tr>
      <w:tr w:rsidR="00CA6A42" w:rsidRPr="00CA6A42" w14:paraId="4753C127" w14:textId="77777777" w:rsidTr="005626B8">
        <w:trPr>
          <w:jc w:val="center"/>
        </w:trPr>
        <w:tc>
          <w:tcPr>
            <w:tcW w:w="3510" w:type="dxa"/>
          </w:tcPr>
          <w:p w14:paraId="7B2CFC0C" w14:textId="77777777" w:rsidR="00E706D5" w:rsidRPr="00CA6A42" w:rsidRDefault="00E706D5" w:rsidP="00516B8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Суб’єкти господарювання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CE5904" w14:textId="77777777" w:rsidR="00E706D5" w:rsidRPr="00CA6A42" w:rsidRDefault="00E706D5" w:rsidP="005626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2399D49" w14:textId="77777777" w:rsidR="00E706D5" w:rsidRPr="00CA6A42" w:rsidRDefault="00E706D5" w:rsidP="005626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</w:tr>
      <w:tr w:rsidR="00E706D5" w:rsidRPr="00CA6A42" w14:paraId="04A731E3" w14:textId="77777777" w:rsidTr="005626B8">
        <w:trPr>
          <w:jc w:val="center"/>
        </w:trPr>
        <w:tc>
          <w:tcPr>
            <w:tcW w:w="3510" w:type="dxa"/>
          </w:tcPr>
          <w:p w14:paraId="7325C184" w14:textId="77777777" w:rsidR="00E706D5" w:rsidRPr="00CA6A42" w:rsidRDefault="00E706D5" w:rsidP="00FE3CB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у тому числі суб’єкти малого підприємництва*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A7DE8AE" w14:textId="77777777" w:rsidR="00E706D5" w:rsidRPr="00CA6A42" w:rsidRDefault="00E706D5" w:rsidP="005626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541B47" w14:textId="77777777" w:rsidR="00E706D5" w:rsidRPr="00CA6A42" w:rsidRDefault="00E706D5" w:rsidP="005626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</w:tr>
    </w:tbl>
    <w:p w14:paraId="1D3182B2" w14:textId="77777777" w:rsidR="00E706D5" w:rsidRPr="00CA6A42" w:rsidRDefault="00E706D5" w:rsidP="00E706D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14:paraId="0F6FA71B" w14:textId="77777777" w:rsidR="00E706D5" w:rsidRPr="00CA6A42" w:rsidRDefault="00E706D5" w:rsidP="00E706D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CA6A42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ІІ. Цілі державного регулювання</w:t>
      </w:r>
    </w:p>
    <w:p w14:paraId="13B2B63A" w14:textId="1B8E4642" w:rsidR="00E706D5" w:rsidRPr="00CA6A42" w:rsidRDefault="00946B3D" w:rsidP="00E706D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A6A42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Стимулювання діяльності у сфері трансферу технологій шляхом створення умов для підвищення мотивації авторів до впровадження розроблених ними технологій</w:t>
      </w:r>
      <w:r w:rsidRPr="00CA6A42">
        <w:rPr>
          <w:color w:val="000000" w:themeColor="text1"/>
          <w:sz w:val="28"/>
          <w:szCs w:val="28"/>
          <w:lang w:val="uk-UA"/>
        </w:rPr>
        <w:t xml:space="preserve">, </w:t>
      </w:r>
      <w:r w:rsidRPr="00CA6A42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збільшення обсягів комерціалізації технологій, створених за бюджетні кошти</w:t>
      </w:r>
      <w:r w:rsidRPr="00CA6A42">
        <w:rPr>
          <w:color w:val="000000" w:themeColor="text1"/>
          <w:sz w:val="28"/>
          <w:szCs w:val="28"/>
          <w:lang w:val="uk-UA"/>
        </w:rPr>
        <w:t>, забезпечення</w:t>
      </w:r>
      <w:r w:rsidRPr="00CA6A42" w:rsidDel="00C1646C">
        <w:rPr>
          <w:color w:val="000000" w:themeColor="text1"/>
          <w:sz w:val="28"/>
          <w:szCs w:val="28"/>
          <w:lang w:val="uk-UA"/>
        </w:rPr>
        <w:t xml:space="preserve"> </w:t>
      </w:r>
      <w:r w:rsidRPr="00CA6A42">
        <w:rPr>
          <w:color w:val="000000" w:themeColor="text1"/>
          <w:sz w:val="28"/>
          <w:szCs w:val="28"/>
          <w:lang w:val="uk-UA"/>
        </w:rPr>
        <w:t>технологічного оновлення і підвищення конкурентоспроможності вітчизняного виробництва.</w:t>
      </w:r>
    </w:p>
    <w:p w14:paraId="4A059162" w14:textId="77777777" w:rsidR="00946B3D" w:rsidRPr="00CA6A42" w:rsidRDefault="00946B3D" w:rsidP="00E706D5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52A72CED" w14:textId="77777777" w:rsidR="00E706D5" w:rsidRPr="00CA6A42" w:rsidRDefault="00E706D5" w:rsidP="00E706D5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CA6A42">
        <w:rPr>
          <w:b/>
          <w:color w:val="000000" w:themeColor="text1"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14:paraId="72734F25" w14:textId="77777777" w:rsidR="00E706D5" w:rsidRPr="00CA6A42" w:rsidRDefault="00E706D5" w:rsidP="00E706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 альтернативних способів.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19"/>
      </w:tblGrid>
      <w:tr w:rsidR="00CA6A42" w:rsidRPr="00CA6A42" w14:paraId="369A1FD5" w14:textId="77777777" w:rsidTr="00D62527">
        <w:trPr>
          <w:trHeight w:val="131"/>
        </w:trPr>
        <w:tc>
          <w:tcPr>
            <w:tcW w:w="3544" w:type="dxa"/>
          </w:tcPr>
          <w:p w14:paraId="4CB0307B" w14:textId="77777777" w:rsidR="00E706D5" w:rsidRPr="00CA6A42" w:rsidRDefault="00E706D5" w:rsidP="00516B87">
            <w:pPr>
              <w:jc w:val="both"/>
              <w:rPr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5919" w:type="dxa"/>
          </w:tcPr>
          <w:p w14:paraId="1E40CA35" w14:textId="77777777" w:rsidR="00E706D5" w:rsidRPr="00CA6A42" w:rsidRDefault="00E706D5" w:rsidP="00516B87">
            <w:pPr>
              <w:jc w:val="both"/>
              <w:rPr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CA6A42" w:rsidRPr="00CA6A42" w14:paraId="5D6F692E" w14:textId="77777777" w:rsidTr="00516B87">
        <w:tc>
          <w:tcPr>
            <w:tcW w:w="3544" w:type="dxa"/>
          </w:tcPr>
          <w:p w14:paraId="51C3FA48" w14:textId="77777777" w:rsidR="00E706D5" w:rsidRPr="00CA6A42" w:rsidRDefault="00E706D5" w:rsidP="00516B87">
            <w:pPr>
              <w:jc w:val="both"/>
              <w:rPr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color w:val="000000" w:themeColor="text1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5919" w:type="dxa"/>
          </w:tcPr>
          <w:p w14:paraId="66657611" w14:textId="09FFB5B9" w:rsidR="00E706D5" w:rsidRPr="00CA6A42" w:rsidRDefault="00E706D5" w:rsidP="00FE3CB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Залишення існуючої на даний момент ситуації без змін. </w:t>
            </w:r>
            <w:r w:rsidR="00946B3D" w:rsidRPr="00CA6A4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Окреслена проблема існуватиме і надалі, відсутність мотивації для авторів технологій щодо їх впровадження за договорами про трансфер технологій </w:t>
            </w:r>
            <w:r w:rsidR="00D62527" w:rsidRPr="00CA6A4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залишатиметься</w:t>
            </w:r>
            <w:r w:rsidR="00917CBE" w:rsidRPr="00CA6A4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гальмом на шляху до комерціалізації розробок та технологій, створених </w:t>
            </w:r>
            <w:r w:rsidR="00FE3CBE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за бюджетні кошти</w:t>
            </w:r>
            <w:r w:rsidR="00917CBE" w:rsidRPr="00CA6A4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заклад</w:t>
            </w:r>
            <w:r w:rsidR="00FE3CBE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ами</w:t>
            </w:r>
            <w:r w:rsidR="00917CBE" w:rsidRPr="00CA6A4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вищої освіти та наукови</w:t>
            </w:r>
            <w:r w:rsidR="00FE3CBE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ми</w:t>
            </w:r>
            <w:r w:rsidR="00917CBE" w:rsidRPr="00CA6A4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установ</w:t>
            </w:r>
            <w:r w:rsidR="00FE3CBE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ами</w:t>
            </w:r>
            <w:r w:rsidR="00946B3D" w:rsidRPr="00CA6A4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.</w:t>
            </w:r>
          </w:p>
        </w:tc>
      </w:tr>
      <w:tr w:rsidR="00E706D5" w:rsidRPr="00FE3CBE" w14:paraId="66A9B8FC" w14:textId="77777777" w:rsidTr="00516B87">
        <w:tc>
          <w:tcPr>
            <w:tcW w:w="3544" w:type="dxa"/>
          </w:tcPr>
          <w:p w14:paraId="1622DEFB" w14:textId="77777777" w:rsidR="00E706D5" w:rsidRPr="00CA6A42" w:rsidRDefault="00E706D5" w:rsidP="00516B87">
            <w:pPr>
              <w:jc w:val="both"/>
              <w:rPr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color w:val="000000" w:themeColor="text1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5919" w:type="dxa"/>
          </w:tcPr>
          <w:p w14:paraId="39A41440" w14:textId="03D2EC65" w:rsidR="00E706D5" w:rsidRPr="00CA6A42" w:rsidRDefault="0016368C" w:rsidP="00FE3CB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b/>
                <w:color w:val="000000" w:themeColor="text1"/>
                <w:sz w:val="28"/>
                <w:szCs w:val="28"/>
                <w:lang w:val="uk-UA"/>
              </w:rPr>
              <w:t>Прийняття проє</w:t>
            </w:r>
            <w:r w:rsidR="00E706D5" w:rsidRPr="00CA6A4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кту акта. 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Забезпечить </w:t>
            </w:r>
            <w:r w:rsidR="0054392E" w:rsidRPr="00CA6A42">
              <w:rPr>
                <w:color w:val="000000" w:themeColor="text1"/>
                <w:sz w:val="28"/>
                <w:szCs w:val="28"/>
                <w:lang w:val="uk-UA"/>
              </w:rPr>
              <w:t>усуненн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я </w:t>
            </w:r>
            <w:r w:rsidR="0054392E" w:rsidRPr="00CA6A42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снуючої проблеми шляхом підвищення</w:t>
            </w:r>
            <w:r w:rsidR="0054392E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мотивації 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54392E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авторів 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технологій шукати інвесторів для </w:t>
            </w:r>
            <w:r w:rsidR="00FE3CBE">
              <w:rPr>
                <w:color w:val="000000" w:themeColor="text1"/>
                <w:sz w:val="28"/>
                <w:szCs w:val="28"/>
                <w:lang w:val="uk-UA"/>
              </w:rPr>
              <w:t>комерціалізації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, розроблених ними технологій</w:t>
            </w:r>
            <w:r w:rsidR="00D62527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та налагодження </w:t>
            </w:r>
            <w:r w:rsidR="00D62527" w:rsidRPr="00CA6A42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комунікації між представниками наукового середовища та бізнесу, що 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сприятиме </w:t>
            </w:r>
            <w:r w:rsidR="00FE3CBE">
              <w:rPr>
                <w:color w:val="000000" w:themeColor="text1"/>
                <w:sz w:val="28"/>
                <w:szCs w:val="28"/>
                <w:lang w:val="uk-UA"/>
              </w:rPr>
              <w:t>впровадженню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новітніх вітчизняних технологій та їх складових у реальн</w:t>
            </w:r>
            <w:r w:rsidR="00FE3CBE">
              <w:rPr>
                <w:color w:val="000000" w:themeColor="text1"/>
                <w:sz w:val="28"/>
                <w:szCs w:val="28"/>
                <w:lang w:val="uk-UA"/>
              </w:rPr>
              <w:t>ий</w:t>
            </w:r>
            <w:r w:rsidR="00D62527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сектор економіки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</w:tbl>
    <w:p w14:paraId="57C55211" w14:textId="46E5C44F" w:rsidR="003C4F9B" w:rsidRPr="00CA6A42" w:rsidRDefault="003C4F9B" w:rsidP="00E706D5">
      <w:pPr>
        <w:shd w:val="clear" w:color="auto" w:fill="FFFFFF"/>
        <w:ind w:firstLine="709"/>
        <w:jc w:val="both"/>
        <w:rPr>
          <w:color w:val="000000" w:themeColor="text1"/>
          <w:spacing w:val="-3"/>
          <w:sz w:val="28"/>
          <w:szCs w:val="28"/>
          <w:lang w:val="uk-UA"/>
        </w:rPr>
      </w:pPr>
    </w:p>
    <w:p w14:paraId="313C3940" w14:textId="77777777" w:rsidR="00E706D5" w:rsidRPr="00CA6A42" w:rsidRDefault="00E706D5" w:rsidP="00E706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>Оцінка вибраних альтернативних способів досягнення цілей</w:t>
      </w:r>
    </w:p>
    <w:p w14:paraId="7E54FA37" w14:textId="77777777" w:rsidR="003C4F9B" w:rsidRPr="003C4F9B" w:rsidRDefault="003C4F9B" w:rsidP="00E706D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6D0797" w14:textId="47EA308A" w:rsidR="00E706D5" w:rsidRPr="00CA6A42" w:rsidRDefault="00E706D5" w:rsidP="00E706D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>Оцінка впливу на сферу інтересів держави.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1"/>
        <w:gridCol w:w="3516"/>
        <w:gridCol w:w="3743"/>
      </w:tblGrid>
      <w:tr w:rsidR="00CA6A42" w:rsidRPr="00CA6A42" w14:paraId="0CB3AB30" w14:textId="77777777" w:rsidTr="00FE3C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26A9" w14:textId="77777777" w:rsidR="00E706D5" w:rsidRPr="00CA6A42" w:rsidRDefault="00E706D5" w:rsidP="00FE3CB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альтернативи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1682" w14:textId="77777777" w:rsidR="00E706D5" w:rsidRPr="00CA6A42" w:rsidRDefault="00E706D5" w:rsidP="00FE3CBE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color w:val="000000" w:themeColor="text1"/>
                <w:sz w:val="28"/>
                <w:szCs w:val="28"/>
              </w:rPr>
              <w:t>Вигоди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4F64" w14:textId="77777777" w:rsidR="00E706D5" w:rsidRPr="00CA6A42" w:rsidRDefault="00E706D5" w:rsidP="00FE3C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6A42">
              <w:rPr>
                <w:color w:val="000000" w:themeColor="text1"/>
                <w:sz w:val="28"/>
                <w:szCs w:val="28"/>
              </w:rPr>
              <w:t>Витрати</w:t>
            </w:r>
          </w:p>
        </w:tc>
      </w:tr>
      <w:tr w:rsidR="00CA6A42" w:rsidRPr="00CA6A42" w14:paraId="4281D988" w14:textId="77777777" w:rsidTr="00FE3CBE">
        <w:tc>
          <w:tcPr>
            <w:tcW w:w="2268" w:type="dxa"/>
            <w:tcBorders>
              <w:top w:val="single" w:sz="4" w:space="0" w:color="auto"/>
            </w:tcBorders>
          </w:tcPr>
          <w:p w14:paraId="63BB0DA7" w14:textId="77777777" w:rsidR="00E706D5" w:rsidRPr="00CA6A42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A07A8DF" w14:textId="03DD841C" w:rsidR="00D62527" w:rsidRPr="00CA6A42" w:rsidRDefault="00E706D5" w:rsidP="000D003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</w:rPr>
              <w:t>Відсутні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="007B053D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D0036">
              <w:rPr>
                <w:color w:val="000000" w:themeColor="text1"/>
                <w:sz w:val="28"/>
                <w:szCs w:val="28"/>
                <w:lang w:val="uk-UA"/>
              </w:rPr>
              <w:t>Окреслена п</w:t>
            </w:r>
            <w:r w:rsidR="007B053D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роблема існуватиме, що не </w:t>
            </w:r>
            <w:r w:rsidR="000D0036">
              <w:rPr>
                <w:color w:val="000000" w:themeColor="text1"/>
                <w:sz w:val="28"/>
                <w:szCs w:val="28"/>
                <w:lang w:val="uk-UA"/>
              </w:rPr>
              <w:t>сприятиме</w:t>
            </w:r>
            <w:r w:rsidR="00AF2746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науково-технічному</w:t>
            </w:r>
            <w:r w:rsidR="00FE3CBE">
              <w:rPr>
                <w:color w:val="000000" w:themeColor="text1"/>
                <w:sz w:val="28"/>
                <w:szCs w:val="28"/>
                <w:lang w:val="uk-UA"/>
              </w:rPr>
              <w:t xml:space="preserve"> та інноваційному</w:t>
            </w:r>
            <w:r w:rsidR="00AF2746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розвитку держави.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32E62763" w14:textId="40015E23" w:rsidR="00E706D5" w:rsidRPr="00CA6A42" w:rsidRDefault="00D62527" w:rsidP="00AF274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Відсутні.</w:t>
            </w:r>
            <w:r w:rsidR="00AF2746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F2746" w:rsidRPr="00CA6A42" w14:paraId="4B72859B" w14:textId="77777777" w:rsidTr="00FE3CBE">
        <w:tc>
          <w:tcPr>
            <w:tcW w:w="2268" w:type="dxa"/>
          </w:tcPr>
          <w:p w14:paraId="0A8304B6" w14:textId="77777777" w:rsidR="00E706D5" w:rsidRPr="00CA6A42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3543" w:type="dxa"/>
          </w:tcPr>
          <w:p w14:paraId="5F586679" w14:textId="1E49B6C7" w:rsidR="00E706D5" w:rsidRPr="00CA6A42" w:rsidRDefault="00CE4EA3" w:rsidP="00CE4EA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Підвищення мотивації в авторів технологій до їх впровадження сприятиме комерціалізації результатів наукових досліджень та розробок, більш широкому застосуванню новітніх вітчизняних технологій в реальному секторі економіки, що в свою чергу забезпечуватиме технологічне оновлення виробничих процесів та матиме позитивний вплив на економічний розвиток держави.</w:t>
            </w:r>
          </w:p>
        </w:tc>
        <w:tc>
          <w:tcPr>
            <w:tcW w:w="3793" w:type="dxa"/>
          </w:tcPr>
          <w:p w14:paraId="5D601E2D" w14:textId="6421C890" w:rsidR="00E706D5" w:rsidRPr="00CA6A42" w:rsidRDefault="00B56949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</w:t>
            </w:r>
            <w:r w:rsidR="00FE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037C5C4F" w14:textId="77777777" w:rsidR="00E706D5" w:rsidRPr="00CA6A42" w:rsidRDefault="00E706D5" w:rsidP="00E706D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14:paraId="54EE03BC" w14:textId="77777777" w:rsidR="00E706D5" w:rsidRPr="00CA6A42" w:rsidRDefault="00E706D5" w:rsidP="00E706D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>Оцінка впливу на сферу інтересів громадян.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3793"/>
      </w:tblGrid>
      <w:tr w:rsidR="00CA6A42" w:rsidRPr="00CA6A42" w14:paraId="787EAA39" w14:textId="77777777" w:rsidTr="00FE3CBE">
        <w:tc>
          <w:tcPr>
            <w:tcW w:w="2127" w:type="dxa"/>
            <w:vAlign w:val="center"/>
          </w:tcPr>
          <w:p w14:paraId="4A12369C" w14:textId="77777777" w:rsidR="00E706D5" w:rsidRPr="00CA6A42" w:rsidRDefault="00E706D5" w:rsidP="00FE3CB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альтернативи</w:t>
            </w:r>
          </w:p>
        </w:tc>
        <w:tc>
          <w:tcPr>
            <w:tcW w:w="3543" w:type="dxa"/>
            <w:vAlign w:val="center"/>
          </w:tcPr>
          <w:p w14:paraId="37C5ED6B" w14:textId="77777777" w:rsidR="00E706D5" w:rsidRPr="00CA6A42" w:rsidRDefault="00E706D5" w:rsidP="00FE3CBE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color w:val="000000" w:themeColor="text1"/>
                <w:sz w:val="28"/>
                <w:szCs w:val="28"/>
              </w:rPr>
              <w:t>Вигоди</w:t>
            </w:r>
          </w:p>
        </w:tc>
        <w:tc>
          <w:tcPr>
            <w:tcW w:w="3793" w:type="dxa"/>
            <w:vAlign w:val="center"/>
          </w:tcPr>
          <w:p w14:paraId="3F31E72E" w14:textId="77777777" w:rsidR="00E706D5" w:rsidRPr="00CA6A42" w:rsidRDefault="00E706D5" w:rsidP="00FE3C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6A42">
              <w:rPr>
                <w:color w:val="000000" w:themeColor="text1"/>
                <w:sz w:val="28"/>
                <w:szCs w:val="28"/>
              </w:rPr>
              <w:t>Витрати</w:t>
            </w:r>
          </w:p>
        </w:tc>
      </w:tr>
      <w:tr w:rsidR="00CA6A42" w:rsidRPr="00CA6A42" w14:paraId="50027206" w14:textId="77777777" w:rsidTr="00516B87">
        <w:tc>
          <w:tcPr>
            <w:tcW w:w="2127" w:type="dxa"/>
          </w:tcPr>
          <w:p w14:paraId="2E5536BB" w14:textId="77777777" w:rsidR="00E706D5" w:rsidRPr="00CA6A42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3543" w:type="dxa"/>
          </w:tcPr>
          <w:p w14:paraId="16217EAD" w14:textId="77777777" w:rsidR="00E706D5" w:rsidRPr="00CA6A42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Відсутні. Проблема залишається невирішеною.</w:t>
            </w:r>
          </w:p>
        </w:tc>
        <w:tc>
          <w:tcPr>
            <w:tcW w:w="3793" w:type="dxa"/>
          </w:tcPr>
          <w:p w14:paraId="1E05650D" w14:textId="1E336AB7" w:rsidR="00E706D5" w:rsidRPr="00CA6A42" w:rsidRDefault="004C3291" w:rsidP="0053671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Відсутні.</w:t>
            </w:r>
          </w:p>
        </w:tc>
      </w:tr>
      <w:tr w:rsidR="004C3291" w:rsidRPr="00CA6A42" w14:paraId="7020326F" w14:textId="77777777" w:rsidTr="00516B87">
        <w:tc>
          <w:tcPr>
            <w:tcW w:w="2127" w:type="dxa"/>
          </w:tcPr>
          <w:p w14:paraId="08DD22E7" w14:textId="77777777" w:rsidR="00E706D5" w:rsidRPr="00CA6A42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3543" w:type="dxa"/>
          </w:tcPr>
          <w:p w14:paraId="2690BFC7" w14:textId="12BD9B1B" w:rsidR="00E706D5" w:rsidRPr="00CA6A42" w:rsidRDefault="004C3291" w:rsidP="00FE3CB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Стимулювання діяльності з трансферу технологій матиме позитивний ефект на впровадження новітніх вітчизняних технологій</w:t>
            </w:r>
            <w:r w:rsidR="00FE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створених за бюджетні </w:t>
            </w:r>
            <w:r w:rsidR="00FE3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кошти, </w:t>
            </w: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виробництво, покращення якості продукції (товарів, які виробляються і послуг, які надаються), створеної з використанням новітніх вітчизняних технологій.</w:t>
            </w:r>
          </w:p>
        </w:tc>
        <w:tc>
          <w:tcPr>
            <w:tcW w:w="3793" w:type="dxa"/>
          </w:tcPr>
          <w:p w14:paraId="1A19F030" w14:textId="3591BDAE" w:rsidR="00E706D5" w:rsidRPr="00CA6A42" w:rsidRDefault="00E706D5" w:rsidP="004C32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Відсутні. </w:t>
            </w:r>
          </w:p>
        </w:tc>
      </w:tr>
    </w:tbl>
    <w:p w14:paraId="7EE9A251" w14:textId="6F396DDA" w:rsidR="004C3291" w:rsidRPr="000D0036" w:rsidRDefault="004C3291" w:rsidP="000D0036">
      <w:pPr>
        <w:shd w:val="clear" w:color="auto" w:fill="FFFFFF"/>
        <w:jc w:val="both"/>
        <w:rPr>
          <w:color w:val="000000" w:themeColor="text1"/>
          <w:spacing w:val="-3"/>
          <w:sz w:val="28"/>
          <w:szCs w:val="28"/>
        </w:rPr>
      </w:pPr>
    </w:p>
    <w:p w14:paraId="736AB385" w14:textId="77777777" w:rsidR="00E706D5" w:rsidRPr="00CA6A42" w:rsidRDefault="00E706D5" w:rsidP="00E706D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>Оцінка впливу на сферу інтересів суб’єктів господарювання.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685"/>
        <w:gridCol w:w="1417"/>
        <w:gridCol w:w="1418"/>
        <w:gridCol w:w="1559"/>
        <w:gridCol w:w="1412"/>
      </w:tblGrid>
      <w:tr w:rsidR="00CA6A42" w:rsidRPr="00CA6A42" w14:paraId="6AD6B422" w14:textId="77777777" w:rsidTr="00FE3CBE">
        <w:tc>
          <w:tcPr>
            <w:tcW w:w="3686" w:type="dxa"/>
            <w:vAlign w:val="center"/>
          </w:tcPr>
          <w:p w14:paraId="5F75E40F" w14:textId="77777777" w:rsidR="00CC3853" w:rsidRPr="00CA6A42" w:rsidRDefault="00CC3853" w:rsidP="00FE3CB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417" w:type="dxa"/>
            <w:vAlign w:val="center"/>
          </w:tcPr>
          <w:p w14:paraId="48DFE284" w14:textId="0EF41674" w:rsidR="00CC3853" w:rsidRPr="00CA6A42" w:rsidRDefault="00CC3853" w:rsidP="00FE3CBE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Великі та середні</w:t>
            </w:r>
          </w:p>
        </w:tc>
        <w:tc>
          <w:tcPr>
            <w:tcW w:w="1418" w:type="dxa"/>
            <w:vAlign w:val="center"/>
          </w:tcPr>
          <w:p w14:paraId="5001C3BC" w14:textId="77777777" w:rsidR="00CC3853" w:rsidRPr="00CA6A42" w:rsidRDefault="00CC3853" w:rsidP="00FE3CB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Малі</w:t>
            </w:r>
          </w:p>
        </w:tc>
        <w:tc>
          <w:tcPr>
            <w:tcW w:w="1559" w:type="dxa"/>
            <w:vAlign w:val="center"/>
          </w:tcPr>
          <w:p w14:paraId="6EBEDEB5" w14:textId="77777777" w:rsidR="00CC3853" w:rsidRPr="00CA6A42" w:rsidRDefault="00CC3853" w:rsidP="00FE3CB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Мікро</w:t>
            </w:r>
          </w:p>
        </w:tc>
        <w:tc>
          <w:tcPr>
            <w:tcW w:w="1412" w:type="dxa"/>
            <w:vAlign w:val="center"/>
          </w:tcPr>
          <w:p w14:paraId="2B72B6AC" w14:textId="77777777" w:rsidR="00CC3853" w:rsidRPr="00CA6A42" w:rsidRDefault="00CC3853" w:rsidP="00FE3CB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Разом</w:t>
            </w:r>
          </w:p>
        </w:tc>
      </w:tr>
      <w:tr w:rsidR="00CA6A42" w:rsidRPr="00CA6A42" w14:paraId="44C9A815" w14:textId="77777777" w:rsidTr="00CC3853">
        <w:tc>
          <w:tcPr>
            <w:tcW w:w="3686" w:type="dxa"/>
          </w:tcPr>
          <w:p w14:paraId="49C9596A" w14:textId="77777777" w:rsidR="00CC3853" w:rsidRPr="00CA6A42" w:rsidRDefault="00CC3853" w:rsidP="00CC385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417" w:type="dxa"/>
          </w:tcPr>
          <w:p w14:paraId="4C780210" w14:textId="77777777" w:rsidR="00CC3853" w:rsidRPr="00CA6A42" w:rsidRDefault="00CC3853" w:rsidP="00CC385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963</w:t>
            </w:r>
          </w:p>
        </w:tc>
        <w:tc>
          <w:tcPr>
            <w:tcW w:w="1418" w:type="dxa"/>
          </w:tcPr>
          <w:p w14:paraId="32F3EF63" w14:textId="77777777" w:rsidR="00CC3853" w:rsidRPr="00CA6A42" w:rsidRDefault="00CC3853" w:rsidP="00CC3853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337F0E" w14:textId="77777777" w:rsidR="00CC3853" w:rsidRPr="00CA6A42" w:rsidRDefault="00CC3853" w:rsidP="00CC3853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99E30F9" w14:textId="77777777" w:rsidR="00CC3853" w:rsidRPr="00CA6A42" w:rsidRDefault="00CC3853" w:rsidP="00CC385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963</w:t>
            </w:r>
          </w:p>
        </w:tc>
      </w:tr>
      <w:tr w:rsidR="00CA6A42" w:rsidRPr="00CA6A42" w14:paraId="29AD38FF" w14:textId="77777777" w:rsidTr="00CC3853">
        <w:tc>
          <w:tcPr>
            <w:tcW w:w="3686" w:type="dxa"/>
          </w:tcPr>
          <w:p w14:paraId="07420F90" w14:textId="77777777" w:rsidR="00CC3853" w:rsidRPr="00CA6A42" w:rsidRDefault="00CC3853" w:rsidP="00CC385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417" w:type="dxa"/>
          </w:tcPr>
          <w:p w14:paraId="0C5BCA4D" w14:textId="77777777" w:rsidR="00CC3853" w:rsidRPr="00CA6A42" w:rsidRDefault="00CC3853" w:rsidP="00CC385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14:paraId="386CAE49" w14:textId="77777777" w:rsidR="00CC3853" w:rsidRPr="00CA6A42" w:rsidRDefault="00CC3853" w:rsidP="00CC3853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66F6D8" w14:textId="77777777" w:rsidR="00CC3853" w:rsidRPr="00CA6A42" w:rsidRDefault="00CC3853" w:rsidP="00CC3853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5188B84" w14:textId="77777777" w:rsidR="00CC3853" w:rsidRPr="00CA6A42" w:rsidRDefault="00CC3853" w:rsidP="00CC385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14:paraId="6D068E35" w14:textId="77777777" w:rsidR="00C21F6E" w:rsidRDefault="00C21F6E" w:rsidP="00CC38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757053A5" w14:textId="0668503E" w:rsidR="00CC3853" w:rsidRPr="00CA6A42" w:rsidRDefault="00CC3853" w:rsidP="00CC38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>Регуляторна дія акта поширюється на підприємства, установи та організації (серед яких найчисленнішу групу становлять заклади вищої освіти та наукові установи), що здійснюють наукові дослідження і розробки, в результаті яких створюються технології. За даними Де</w:t>
      </w:r>
      <w:r w:rsidR="00D33EF6">
        <w:rPr>
          <w:color w:val="000000" w:themeColor="text1"/>
          <w:sz w:val="28"/>
          <w:szCs w:val="28"/>
          <w:lang w:val="uk-UA"/>
        </w:rPr>
        <w:t>ржстату, в Україні упродовж 2018</w:t>
      </w:r>
      <w:r w:rsidRPr="00CA6A42">
        <w:rPr>
          <w:color w:val="000000" w:themeColor="text1"/>
          <w:sz w:val="28"/>
          <w:szCs w:val="28"/>
          <w:lang w:val="uk-UA"/>
        </w:rPr>
        <w:t xml:space="preserve"> року </w:t>
      </w:r>
      <w:r w:rsidR="00F82DDD">
        <w:rPr>
          <w:color w:val="000000" w:themeColor="text1"/>
          <w:sz w:val="28"/>
          <w:szCs w:val="28"/>
          <w:lang w:val="uk-UA"/>
        </w:rPr>
        <w:t>науково-дослідні роботи (</w:t>
      </w:r>
      <w:r w:rsidRPr="00CA6A42">
        <w:rPr>
          <w:color w:val="000000" w:themeColor="text1"/>
          <w:sz w:val="28"/>
          <w:szCs w:val="28"/>
          <w:lang w:val="uk-UA"/>
        </w:rPr>
        <w:t>НДР</w:t>
      </w:r>
      <w:r w:rsidR="00F82DDD">
        <w:rPr>
          <w:color w:val="000000" w:themeColor="text1"/>
          <w:sz w:val="28"/>
          <w:szCs w:val="28"/>
          <w:lang w:val="uk-UA"/>
        </w:rPr>
        <w:t>)</w:t>
      </w:r>
      <w:r w:rsidRPr="00CA6A42">
        <w:rPr>
          <w:color w:val="000000" w:themeColor="text1"/>
          <w:sz w:val="28"/>
          <w:szCs w:val="28"/>
          <w:lang w:val="uk-UA"/>
        </w:rPr>
        <w:t xml:space="preserve"> виконували </w:t>
      </w:r>
      <w:r w:rsidR="00D33EF6">
        <w:rPr>
          <w:b/>
          <w:color w:val="000000" w:themeColor="text1"/>
          <w:sz w:val="28"/>
          <w:szCs w:val="28"/>
          <w:lang w:val="uk-UA"/>
        </w:rPr>
        <w:t>950</w:t>
      </w:r>
      <w:r w:rsidRPr="00CA6A42">
        <w:rPr>
          <w:color w:val="000000" w:themeColor="text1"/>
          <w:sz w:val="28"/>
          <w:szCs w:val="28"/>
          <w:lang w:val="uk-UA"/>
        </w:rPr>
        <w:t xml:space="preserve"> організаці</w:t>
      </w:r>
      <w:r w:rsidR="00D33EF6">
        <w:rPr>
          <w:color w:val="000000" w:themeColor="text1"/>
          <w:sz w:val="28"/>
          <w:szCs w:val="28"/>
          <w:lang w:val="uk-UA"/>
        </w:rPr>
        <w:t>й</w:t>
      </w:r>
      <w:r w:rsidRPr="00CA6A42">
        <w:rPr>
          <w:color w:val="000000" w:themeColor="text1"/>
          <w:sz w:val="28"/>
          <w:szCs w:val="28"/>
          <w:lang w:val="uk-UA"/>
        </w:rPr>
        <w:t xml:space="preserve">, </w:t>
      </w:r>
      <w:r w:rsidR="00D33EF6" w:rsidRPr="00CA6A42">
        <w:rPr>
          <w:color w:val="000000" w:themeColor="text1"/>
          <w:sz w:val="28"/>
          <w:szCs w:val="28"/>
          <w:lang w:val="uk-UA"/>
        </w:rPr>
        <w:t xml:space="preserve">з яких </w:t>
      </w:r>
      <w:r w:rsidR="00D33EF6">
        <w:rPr>
          <w:i/>
          <w:color w:val="000000" w:themeColor="text1"/>
          <w:sz w:val="28"/>
          <w:szCs w:val="28"/>
          <w:lang w:val="uk-UA"/>
        </w:rPr>
        <w:t>48,1</w:t>
      </w:r>
      <w:r w:rsidRPr="00CA6A42">
        <w:rPr>
          <w:i/>
          <w:color w:val="000000" w:themeColor="text1"/>
          <w:sz w:val="28"/>
          <w:szCs w:val="28"/>
          <w:lang w:val="uk-UA"/>
        </w:rPr>
        <w:t>%</w:t>
      </w:r>
      <w:r w:rsidRPr="00CA6A42">
        <w:rPr>
          <w:color w:val="000000" w:themeColor="text1"/>
          <w:sz w:val="28"/>
          <w:szCs w:val="28"/>
          <w:lang w:val="uk-UA"/>
        </w:rPr>
        <w:t xml:space="preserve"> (</w:t>
      </w:r>
      <w:r w:rsidR="00D33EF6">
        <w:rPr>
          <w:color w:val="000000" w:themeColor="text1"/>
          <w:sz w:val="28"/>
          <w:szCs w:val="28"/>
          <w:lang w:val="uk-UA"/>
        </w:rPr>
        <w:t>457 установ</w:t>
      </w:r>
      <w:r w:rsidRPr="00CA6A42">
        <w:rPr>
          <w:color w:val="000000" w:themeColor="text1"/>
          <w:sz w:val="28"/>
          <w:szCs w:val="28"/>
          <w:lang w:val="uk-UA"/>
        </w:rPr>
        <w:t xml:space="preserve">) відносилися до державного сектору економіки (зокрема, наукові інститути НАН України та національних галузевих академій наук України), </w:t>
      </w:r>
      <w:r w:rsidR="00D33EF6">
        <w:rPr>
          <w:i/>
          <w:color w:val="000000" w:themeColor="text1"/>
          <w:sz w:val="28"/>
          <w:szCs w:val="28"/>
          <w:lang w:val="uk-UA"/>
        </w:rPr>
        <w:t>37</w:t>
      </w:r>
      <w:r w:rsidRPr="00CA6A42">
        <w:rPr>
          <w:i/>
          <w:color w:val="000000" w:themeColor="text1"/>
          <w:sz w:val="28"/>
          <w:szCs w:val="28"/>
          <w:lang w:val="uk-UA"/>
        </w:rPr>
        <w:t xml:space="preserve">,0% </w:t>
      </w:r>
      <w:r w:rsidR="00D33EF6">
        <w:rPr>
          <w:color w:val="000000" w:themeColor="text1"/>
          <w:sz w:val="28"/>
          <w:szCs w:val="28"/>
          <w:lang w:val="uk-UA"/>
        </w:rPr>
        <w:t xml:space="preserve">(351 </w:t>
      </w:r>
      <w:r w:rsidR="00D33EF6" w:rsidRPr="00CA6A42">
        <w:rPr>
          <w:color w:val="000000" w:themeColor="text1"/>
          <w:sz w:val="28"/>
          <w:szCs w:val="28"/>
          <w:lang w:val="uk-UA"/>
        </w:rPr>
        <w:t>суб’єкт господарювання</w:t>
      </w:r>
      <w:r w:rsidRPr="00CA6A42">
        <w:rPr>
          <w:color w:val="000000" w:themeColor="text1"/>
          <w:sz w:val="28"/>
          <w:szCs w:val="28"/>
          <w:lang w:val="uk-UA"/>
        </w:rPr>
        <w:t xml:space="preserve">) – суб’єкти підприємницької діяльності, </w:t>
      </w:r>
      <w:r w:rsidR="00D33EF6">
        <w:rPr>
          <w:i/>
          <w:color w:val="000000" w:themeColor="text1"/>
          <w:sz w:val="28"/>
          <w:szCs w:val="28"/>
          <w:lang w:val="uk-UA"/>
        </w:rPr>
        <w:t>14,9</w:t>
      </w:r>
      <w:r w:rsidRPr="00CA6A42">
        <w:rPr>
          <w:i/>
          <w:color w:val="000000" w:themeColor="text1"/>
          <w:sz w:val="28"/>
          <w:szCs w:val="28"/>
          <w:lang w:val="uk-UA"/>
        </w:rPr>
        <w:t>%</w:t>
      </w:r>
      <w:r w:rsidRPr="00CA6A42">
        <w:rPr>
          <w:color w:val="000000" w:themeColor="text1"/>
          <w:sz w:val="28"/>
          <w:szCs w:val="28"/>
          <w:lang w:val="uk-UA"/>
        </w:rPr>
        <w:t xml:space="preserve"> (</w:t>
      </w:r>
      <w:r w:rsidR="00D33EF6">
        <w:rPr>
          <w:color w:val="000000" w:themeColor="text1"/>
          <w:sz w:val="28"/>
          <w:szCs w:val="28"/>
          <w:lang w:val="uk-UA"/>
        </w:rPr>
        <w:t>142 </w:t>
      </w:r>
      <w:r w:rsidRPr="00CA6A42">
        <w:rPr>
          <w:color w:val="000000" w:themeColor="text1"/>
          <w:sz w:val="28"/>
          <w:szCs w:val="28"/>
          <w:lang w:val="uk-UA"/>
        </w:rPr>
        <w:t>суб’єкт</w:t>
      </w:r>
      <w:r w:rsidR="00D33EF6">
        <w:rPr>
          <w:color w:val="000000" w:themeColor="text1"/>
          <w:sz w:val="28"/>
          <w:szCs w:val="28"/>
          <w:lang w:val="uk-UA"/>
        </w:rPr>
        <w:t>и</w:t>
      </w:r>
      <w:r w:rsidRPr="00CA6A42">
        <w:rPr>
          <w:color w:val="000000" w:themeColor="text1"/>
          <w:sz w:val="28"/>
          <w:szCs w:val="28"/>
          <w:lang w:val="uk-UA"/>
        </w:rPr>
        <w:t xml:space="preserve"> господарювання) – заклади вищої освіти.</w:t>
      </w:r>
    </w:p>
    <w:p w14:paraId="7145C5F1" w14:textId="77777777" w:rsidR="00CC3853" w:rsidRPr="00CA6A42" w:rsidRDefault="00CC3853" w:rsidP="00CC3853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40"/>
        <w:gridCol w:w="3543"/>
        <w:gridCol w:w="3793"/>
      </w:tblGrid>
      <w:tr w:rsidR="00CA6A42" w:rsidRPr="00CA6A42" w14:paraId="6F4C07D9" w14:textId="77777777" w:rsidTr="0010252E">
        <w:trPr>
          <w:trHeight w:val="330"/>
        </w:trPr>
        <w:tc>
          <w:tcPr>
            <w:tcW w:w="2240" w:type="dxa"/>
            <w:vAlign w:val="center"/>
          </w:tcPr>
          <w:p w14:paraId="1CC7A910" w14:textId="77777777" w:rsidR="00E706D5" w:rsidRPr="00CA6A42" w:rsidRDefault="00E706D5" w:rsidP="003C4F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альтернативи</w:t>
            </w:r>
          </w:p>
        </w:tc>
        <w:tc>
          <w:tcPr>
            <w:tcW w:w="3543" w:type="dxa"/>
            <w:vAlign w:val="center"/>
          </w:tcPr>
          <w:p w14:paraId="32AD7DB1" w14:textId="77777777" w:rsidR="00E706D5" w:rsidRPr="00CA6A42" w:rsidRDefault="00E706D5" w:rsidP="003C4F9B">
            <w:pPr>
              <w:jc w:val="center"/>
              <w:rPr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color w:val="000000" w:themeColor="text1"/>
                <w:sz w:val="28"/>
                <w:szCs w:val="28"/>
              </w:rPr>
              <w:t>Вигоди</w:t>
            </w:r>
          </w:p>
        </w:tc>
        <w:tc>
          <w:tcPr>
            <w:tcW w:w="3793" w:type="dxa"/>
            <w:vAlign w:val="center"/>
          </w:tcPr>
          <w:p w14:paraId="44BBAF97" w14:textId="77777777" w:rsidR="00E706D5" w:rsidRPr="00CA6A42" w:rsidRDefault="00E706D5" w:rsidP="003C4F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6A42">
              <w:rPr>
                <w:color w:val="000000" w:themeColor="text1"/>
                <w:sz w:val="28"/>
                <w:szCs w:val="28"/>
              </w:rPr>
              <w:t>Витрати</w:t>
            </w:r>
          </w:p>
        </w:tc>
      </w:tr>
      <w:tr w:rsidR="00CA6A42" w:rsidRPr="00CA6A42" w14:paraId="512C7C63" w14:textId="77777777" w:rsidTr="0010252E">
        <w:tc>
          <w:tcPr>
            <w:tcW w:w="2240" w:type="dxa"/>
          </w:tcPr>
          <w:p w14:paraId="52D6016C" w14:textId="77777777" w:rsidR="00E706D5" w:rsidRPr="00CA6A42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3543" w:type="dxa"/>
          </w:tcPr>
          <w:p w14:paraId="77017428" w14:textId="141E555D" w:rsidR="00E706D5" w:rsidRPr="00CA6A42" w:rsidRDefault="004C3291" w:rsidP="004C32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</w:t>
            </w:r>
            <w:r w:rsidR="00E706D5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14:paraId="2A1BEB4C" w14:textId="272DA171" w:rsidR="00CA6A42" w:rsidRDefault="001F50BA" w:rsidP="0053671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</w:t>
            </w:r>
            <w:r w:rsidR="00E706D5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0DD22044" w14:textId="1D142D56" w:rsidR="00CA6A42" w:rsidRPr="00CA6A42" w:rsidRDefault="00CA6A42" w:rsidP="0053671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06D5" w:rsidRPr="00CA6A42" w14:paraId="0A433BE1" w14:textId="77777777" w:rsidTr="0010252E">
        <w:tc>
          <w:tcPr>
            <w:tcW w:w="2240" w:type="dxa"/>
          </w:tcPr>
          <w:p w14:paraId="32ACB7D5" w14:textId="77777777" w:rsidR="00E706D5" w:rsidRPr="00CA6A42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3543" w:type="dxa"/>
          </w:tcPr>
          <w:p w14:paraId="2715465D" w14:textId="51D2CE8C" w:rsidR="00E706D5" w:rsidRPr="00CA6A42" w:rsidRDefault="004C3291" w:rsidP="004C32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Стимулювання діяльності з трансферу технологій матиме позитивний ефект для налагодження взаємодії бізнесу з науковим академічним  середовищем, передача та впровадження у реальному секторі технологій, зумовить підвищення технологічності та </w:t>
            </w: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конкурентоспроможності вітчизняного виробництва</w:t>
            </w:r>
            <w:r w:rsidR="00E706D5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14:paraId="76392B68" w14:textId="567E0385" w:rsidR="00E706D5" w:rsidRPr="00CA6A42" w:rsidRDefault="004C3291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Відсутні</w:t>
            </w:r>
            <w:r w:rsidR="00E706D5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</w:tbl>
    <w:p w14:paraId="505CED65" w14:textId="77777777" w:rsidR="00E706D5" w:rsidRPr="00CA6A42" w:rsidRDefault="00E706D5" w:rsidP="00E706D5">
      <w:pPr>
        <w:ind w:firstLine="709"/>
        <w:jc w:val="both"/>
        <w:rPr>
          <w:i/>
          <w:color w:val="000000" w:themeColor="text1"/>
          <w:sz w:val="28"/>
          <w:szCs w:val="28"/>
          <w:lang w:val="uk-UA"/>
        </w:rPr>
      </w:pPr>
    </w:p>
    <w:p w14:paraId="7A6001E9" w14:textId="295B84C2" w:rsidR="00B863D8" w:rsidRPr="00CA6A42" w:rsidRDefault="00C0409B" w:rsidP="009F1E2D">
      <w:pPr>
        <w:pStyle w:val="a6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6A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Порівняння р</w:t>
      </w:r>
      <w:r w:rsidR="00B863D8" w:rsidRPr="00CA6A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озмір</w:t>
      </w:r>
      <w:r w:rsidRPr="00CA6A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ів</w:t>
      </w:r>
      <w:r w:rsidR="00B863D8" w:rsidRPr="00CA6A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винагороди авторам технологій та особам, які здійснюють трансфер технологій, за умови </w:t>
      </w:r>
      <w:r w:rsidRPr="00CA6A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використання існуючих мінімальних ставок винагороди та </w:t>
      </w:r>
      <w:r w:rsidR="00B863D8" w:rsidRPr="00CA6A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встановлення нових мінімальних ставок винагороди.</w:t>
      </w:r>
    </w:p>
    <w:p w14:paraId="53F66ACD" w14:textId="646A63A8" w:rsidR="00075480" w:rsidRPr="00CA6A42" w:rsidRDefault="00B863D8" w:rsidP="009F1E2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>У 2018 році середня вартість договору про трансфер</w:t>
      </w:r>
      <w:r w:rsidR="00075480" w:rsidRPr="00CA6A42">
        <w:rPr>
          <w:color w:val="000000" w:themeColor="text1"/>
          <w:sz w:val="28"/>
          <w:szCs w:val="28"/>
          <w:lang w:val="uk-UA"/>
        </w:rPr>
        <w:t xml:space="preserve"> технологій становила 42450 грн. </w:t>
      </w:r>
    </w:p>
    <w:p w14:paraId="6D861429" w14:textId="081B1CD0" w:rsidR="00075480" w:rsidRDefault="00075480" w:rsidP="00075480">
      <w:pPr>
        <w:spacing w:line="276" w:lineRule="auto"/>
        <w:ind w:firstLine="709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 xml:space="preserve">Оскільки приміткою 2 до постанови </w:t>
      </w:r>
      <w:r w:rsidRPr="00CA6A42">
        <w:rPr>
          <w:bCs/>
          <w:color w:val="000000" w:themeColor="text1"/>
          <w:sz w:val="28"/>
          <w:szCs w:val="28"/>
          <w:lang w:val="uk-UA"/>
        </w:rPr>
        <w:t xml:space="preserve">Кабінету Міністрів України від 4 червня 2008 р. № 520 </w:t>
      </w:r>
      <w:r w:rsidRPr="00CA6A42">
        <w:rPr>
          <w:color w:val="000000" w:themeColor="text1"/>
          <w:sz w:val="28"/>
          <w:szCs w:val="28"/>
          <w:lang w:val="uk-UA"/>
        </w:rPr>
        <w:t xml:space="preserve">визначено, що авторові (авторам) технології або її складових, що створені в результаті виконання ним творчої (інтелектуальної) роботи, який є власником майнових прав на них, та особам, які здійснюють трансфер технології і є власниками майнових </w:t>
      </w:r>
      <w:r w:rsidR="00CE32F6">
        <w:rPr>
          <w:color w:val="000000" w:themeColor="text1"/>
          <w:sz w:val="28"/>
          <w:szCs w:val="28"/>
          <w:lang w:val="uk-UA"/>
        </w:rPr>
        <w:t>прав на неї, виплачується по 50 </w:t>
      </w:r>
      <w:r w:rsidRPr="00CA6A42">
        <w:rPr>
          <w:color w:val="000000" w:themeColor="text1"/>
          <w:sz w:val="28"/>
          <w:szCs w:val="28"/>
          <w:lang w:val="uk-UA"/>
        </w:rPr>
        <w:t xml:space="preserve">відсотків мінімальної ставки винагороди, </w:t>
      </w:r>
      <w:r w:rsidR="00CE32F6" w:rsidRPr="00CE32F6">
        <w:rPr>
          <w:color w:val="000000" w:themeColor="text1"/>
          <w:sz w:val="28"/>
          <w:szCs w:val="28"/>
          <w:lang w:val="uk-UA"/>
        </w:rPr>
        <w:t>то</w:t>
      </w:r>
      <w:r w:rsidRPr="00CA6A42">
        <w:rPr>
          <w:bCs/>
          <w:color w:val="000000" w:themeColor="text1"/>
          <w:sz w:val="28"/>
          <w:szCs w:val="28"/>
          <w:lang w:val="uk-UA"/>
        </w:rPr>
        <w:t xml:space="preserve"> сукупн</w:t>
      </w:r>
      <w:r w:rsidR="00CE32F6">
        <w:rPr>
          <w:bCs/>
          <w:color w:val="000000" w:themeColor="text1"/>
          <w:sz w:val="28"/>
          <w:szCs w:val="28"/>
          <w:lang w:val="uk-UA"/>
        </w:rPr>
        <w:t>а</w:t>
      </w:r>
      <w:r w:rsidRPr="00CA6A42">
        <w:rPr>
          <w:bCs/>
          <w:color w:val="000000" w:themeColor="text1"/>
          <w:sz w:val="28"/>
          <w:szCs w:val="28"/>
          <w:lang w:val="uk-UA"/>
        </w:rPr>
        <w:t xml:space="preserve"> мінімальн</w:t>
      </w:r>
      <w:r w:rsidR="00CE32F6">
        <w:rPr>
          <w:bCs/>
          <w:color w:val="000000" w:themeColor="text1"/>
          <w:sz w:val="28"/>
          <w:szCs w:val="28"/>
          <w:lang w:val="uk-UA"/>
        </w:rPr>
        <w:t>а</w:t>
      </w:r>
      <w:r w:rsidRPr="00CA6A42">
        <w:rPr>
          <w:bCs/>
          <w:color w:val="000000" w:themeColor="text1"/>
          <w:sz w:val="28"/>
          <w:szCs w:val="28"/>
          <w:lang w:val="uk-UA"/>
        </w:rPr>
        <w:t xml:space="preserve"> винагород</w:t>
      </w:r>
      <w:r w:rsidR="00CE32F6">
        <w:rPr>
          <w:bCs/>
          <w:color w:val="000000" w:themeColor="text1"/>
          <w:sz w:val="28"/>
          <w:szCs w:val="28"/>
          <w:lang w:val="uk-UA"/>
        </w:rPr>
        <w:t>а</w:t>
      </w:r>
      <w:r w:rsidRPr="00CA6A42">
        <w:rPr>
          <w:bCs/>
          <w:color w:val="000000" w:themeColor="text1"/>
          <w:sz w:val="28"/>
          <w:szCs w:val="28"/>
          <w:lang w:val="uk-UA"/>
        </w:rPr>
        <w:t xml:space="preserve"> від укладення договору про трансфер технологій середньої вартості</w:t>
      </w:r>
      <w:r w:rsidR="001A0597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E32F6">
        <w:rPr>
          <w:bCs/>
          <w:color w:val="000000" w:themeColor="text1"/>
          <w:sz w:val="28"/>
          <w:szCs w:val="28"/>
          <w:lang w:val="uk-UA"/>
        </w:rPr>
        <w:t>становитиме</w:t>
      </w:r>
      <w:r w:rsidRPr="00CA6A42">
        <w:rPr>
          <w:bCs/>
          <w:color w:val="000000" w:themeColor="text1"/>
          <w:sz w:val="28"/>
          <w:szCs w:val="28"/>
          <w:lang w:val="uk-UA"/>
        </w:rPr>
        <w:t>:</w:t>
      </w:r>
    </w:p>
    <w:p w14:paraId="3992561F" w14:textId="6CE017B3" w:rsidR="00CD2112" w:rsidRDefault="00CD2112" w:rsidP="00075480">
      <w:pPr>
        <w:spacing w:line="276" w:lineRule="auto"/>
        <w:ind w:firstLine="709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якщо мінімальна ставка винагороди складає 0,5%:</w:t>
      </w:r>
    </w:p>
    <w:p w14:paraId="2E712B1A" w14:textId="05A62302" w:rsidR="00CD2112" w:rsidRPr="00AF75B6" w:rsidRDefault="00CD2112" w:rsidP="00CD2112">
      <w:pPr>
        <w:spacing w:line="276" w:lineRule="auto"/>
        <w:ind w:firstLine="709"/>
        <w:contextualSpacing/>
        <w:jc w:val="both"/>
        <w:rPr>
          <w:bCs/>
          <w:i/>
          <w:color w:val="000000" w:themeColor="text1"/>
          <w:sz w:val="28"/>
          <w:szCs w:val="28"/>
          <w:lang w:val="uk-UA"/>
        </w:rPr>
      </w:pPr>
      <w:r w:rsidRPr="00AF75B6">
        <w:rPr>
          <w:bCs/>
          <w:i/>
          <w:color w:val="000000" w:themeColor="text1"/>
          <w:sz w:val="28"/>
          <w:szCs w:val="28"/>
          <w:lang w:val="uk-UA"/>
        </w:rPr>
        <w:t>42450 грн *0,005 = 212,25 (грн).</w:t>
      </w:r>
    </w:p>
    <w:p w14:paraId="59E9D18D" w14:textId="6BFA1A4C" w:rsidR="00CD2112" w:rsidRDefault="00CD2112" w:rsidP="00CD2112">
      <w:pPr>
        <w:spacing w:line="276" w:lineRule="auto"/>
        <w:ind w:firstLine="709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якщо мінімальна ставка винагороди складає 3%:</w:t>
      </w:r>
    </w:p>
    <w:p w14:paraId="06FC8652" w14:textId="2128BF27" w:rsidR="00075480" w:rsidRDefault="00075480" w:rsidP="00075480">
      <w:pPr>
        <w:spacing w:line="276" w:lineRule="auto"/>
        <w:ind w:firstLine="709"/>
        <w:contextualSpacing/>
        <w:jc w:val="both"/>
        <w:rPr>
          <w:bCs/>
          <w:i/>
          <w:color w:val="000000" w:themeColor="text1"/>
          <w:sz w:val="28"/>
          <w:szCs w:val="28"/>
          <w:lang w:val="uk-UA"/>
        </w:rPr>
      </w:pPr>
      <w:r w:rsidRPr="00AF75B6">
        <w:rPr>
          <w:bCs/>
          <w:i/>
          <w:color w:val="000000" w:themeColor="text1"/>
          <w:sz w:val="28"/>
          <w:szCs w:val="28"/>
          <w:lang w:val="uk-UA"/>
        </w:rPr>
        <w:t>42450 грн *0,03 = 1273,5</w:t>
      </w:r>
      <w:r w:rsidR="00C44A2B" w:rsidRPr="00AF75B6">
        <w:rPr>
          <w:bCs/>
          <w:i/>
          <w:color w:val="000000" w:themeColor="text1"/>
          <w:sz w:val="28"/>
          <w:szCs w:val="28"/>
          <w:lang w:val="uk-UA"/>
        </w:rPr>
        <w:t>0</w:t>
      </w:r>
      <w:r w:rsidRPr="00AF75B6">
        <w:rPr>
          <w:bCs/>
          <w:i/>
          <w:color w:val="000000" w:themeColor="text1"/>
          <w:sz w:val="28"/>
          <w:szCs w:val="28"/>
          <w:lang w:val="uk-UA"/>
        </w:rPr>
        <w:t xml:space="preserve"> (грн).</w:t>
      </w:r>
    </w:p>
    <w:p w14:paraId="3339F34A" w14:textId="0508EE4C" w:rsidR="00095493" w:rsidRDefault="001A0597" w:rsidP="00075480">
      <w:pPr>
        <w:spacing w:line="276" w:lineRule="auto"/>
        <w:ind w:firstLine="709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я</w:t>
      </w:r>
      <w:r w:rsidR="00095493" w:rsidRPr="00095493">
        <w:rPr>
          <w:bCs/>
          <w:color w:val="000000" w:themeColor="text1"/>
          <w:sz w:val="28"/>
          <w:szCs w:val="28"/>
          <w:lang w:val="uk-UA"/>
        </w:rPr>
        <w:t>кщо взяти для розрахунку середню ставку виплати винагороди, яку розраховано для наукових установ НААН України</w:t>
      </w:r>
      <w:r w:rsidR="00095493">
        <w:rPr>
          <w:bCs/>
          <w:color w:val="000000" w:themeColor="text1"/>
          <w:sz w:val="28"/>
          <w:szCs w:val="28"/>
          <w:lang w:val="uk-UA"/>
        </w:rPr>
        <w:t xml:space="preserve"> (0,35%)</w:t>
      </w:r>
      <w:r w:rsidR="00095493" w:rsidRPr="00095493">
        <w:rPr>
          <w:bCs/>
          <w:color w:val="000000" w:themeColor="text1"/>
          <w:sz w:val="28"/>
          <w:szCs w:val="28"/>
          <w:lang w:val="uk-UA"/>
        </w:rPr>
        <w:t xml:space="preserve">: </w:t>
      </w:r>
    </w:p>
    <w:p w14:paraId="08D13FCB" w14:textId="5F5D1984" w:rsidR="00095493" w:rsidRPr="00095493" w:rsidRDefault="00095493" w:rsidP="00095493">
      <w:pPr>
        <w:spacing w:line="276" w:lineRule="auto"/>
        <w:ind w:firstLine="709"/>
        <w:contextualSpacing/>
        <w:jc w:val="both"/>
        <w:rPr>
          <w:bCs/>
          <w:i/>
          <w:color w:val="000000" w:themeColor="text1"/>
          <w:sz w:val="28"/>
          <w:szCs w:val="28"/>
          <w:lang w:val="uk-UA"/>
        </w:rPr>
      </w:pPr>
      <w:r w:rsidRPr="00AF75B6">
        <w:rPr>
          <w:bCs/>
          <w:i/>
          <w:color w:val="000000" w:themeColor="text1"/>
          <w:sz w:val="28"/>
          <w:szCs w:val="28"/>
          <w:lang w:val="uk-UA"/>
        </w:rPr>
        <w:t>42450 грн *0,0</w:t>
      </w:r>
      <w:r>
        <w:rPr>
          <w:bCs/>
          <w:i/>
          <w:color w:val="000000" w:themeColor="text1"/>
          <w:sz w:val="28"/>
          <w:szCs w:val="28"/>
          <w:lang w:val="uk-UA"/>
        </w:rPr>
        <w:t>0</w:t>
      </w:r>
      <w:r w:rsidRPr="00AF75B6">
        <w:rPr>
          <w:bCs/>
          <w:i/>
          <w:color w:val="000000" w:themeColor="text1"/>
          <w:sz w:val="28"/>
          <w:szCs w:val="28"/>
          <w:lang w:val="uk-UA"/>
        </w:rPr>
        <w:t>3</w:t>
      </w:r>
      <w:r>
        <w:rPr>
          <w:bCs/>
          <w:i/>
          <w:color w:val="000000" w:themeColor="text1"/>
          <w:sz w:val="28"/>
          <w:szCs w:val="28"/>
          <w:lang w:val="uk-UA"/>
        </w:rPr>
        <w:t>5</w:t>
      </w:r>
      <w:r w:rsidRPr="00AF75B6">
        <w:rPr>
          <w:bCs/>
          <w:i/>
          <w:color w:val="000000" w:themeColor="text1"/>
          <w:sz w:val="28"/>
          <w:szCs w:val="28"/>
          <w:lang w:val="uk-UA"/>
        </w:rPr>
        <w:t xml:space="preserve"> = </w:t>
      </w:r>
      <w:r>
        <w:rPr>
          <w:bCs/>
          <w:i/>
          <w:color w:val="000000" w:themeColor="text1"/>
          <w:sz w:val="28"/>
          <w:szCs w:val="28"/>
          <w:lang w:val="uk-UA"/>
        </w:rPr>
        <w:t>148</w:t>
      </w:r>
      <w:r w:rsidRPr="00AF75B6">
        <w:rPr>
          <w:bCs/>
          <w:i/>
          <w:color w:val="000000" w:themeColor="text1"/>
          <w:sz w:val="28"/>
          <w:szCs w:val="28"/>
          <w:lang w:val="uk-UA"/>
        </w:rPr>
        <w:t>,5</w:t>
      </w:r>
      <w:r>
        <w:rPr>
          <w:bCs/>
          <w:i/>
          <w:color w:val="000000" w:themeColor="text1"/>
          <w:sz w:val="28"/>
          <w:szCs w:val="28"/>
          <w:lang w:val="uk-UA"/>
        </w:rPr>
        <w:t>8</w:t>
      </w:r>
      <w:r w:rsidRPr="00AF75B6">
        <w:rPr>
          <w:bCs/>
          <w:i/>
          <w:color w:val="000000" w:themeColor="text1"/>
          <w:sz w:val="28"/>
          <w:szCs w:val="28"/>
          <w:lang w:val="uk-UA"/>
        </w:rPr>
        <w:t xml:space="preserve"> (грн).</w:t>
      </w:r>
    </w:p>
    <w:p w14:paraId="3335E833" w14:textId="1E84CDF8" w:rsidR="00075480" w:rsidRDefault="00075480" w:rsidP="00075480">
      <w:pPr>
        <w:spacing w:line="276" w:lineRule="auto"/>
        <w:ind w:firstLine="709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CA6A42">
        <w:rPr>
          <w:bCs/>
          <w:color w:val="000000" w:themeColor="text1"/>
          <w:sz w:val="28"/>
          <w:szCs w:val="28"/>
          <w:lang w:val="uk-UA"/>
        </w:rPr>
        <w:t>З цієї суми винагорода для автора (авторів) технологій та осіб, які здійснюють трансфер технологій, становить:</w:t>
      </w:r>
    </w:p>
    <w:p w14:paraId="0F04180B" w14:textId="74CFC194" w:rsidR="00CD2112" w:rsidRDefault="00CD2112" w:rsidP="00CD2112">
      <w:pPr>
        <w:spacing w:line="276" w:lineRule="auto"/>
        <w:ind w:firstLine="709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якщо мінімальна ставка винагороди складає 0,5%:</w:t>
      </w:r>
    </w:p>
    <w:p w14:paraId="2B1B24EB" w14:textId="3E4F26D5" w:rsidR="00CD2112" w:rsidRPr="00AF75B6" w:rsidRDefault="00CD2112" w:rsidP="00CD2112">
      <w:pPr>
        <w:spacing w:line="276" w:lineRule="auto"/>
        <w:ind w:firstLine="709"/>
        <w:contextualSpacing/>
        <w:jc w:val="both"/>
        <w:rPr>
          <w:bCs/>
          <w:i/>
          <w:color w:val="000000" w:themeColor="text1"/>
          <w:sz w:val="28"/>
          <w:szCs w:val="28"/>
          <w:lang w:val="uk-UA"/>
        </w:rPr>
      </w:pPr>
      <w:r w:rsidRPr="00AF75B6">
        <w:rPr>
          <w:bCs/>
          <w:i/>
          <w:color w:val="000000" w:themeColor="text1"/>
          <w:sz w:val="28"/>
          <w:szCs w:val="28"/>
          <w:lang w:val="uk-UA"/>
        </w:rPr>
        <w:t>212,25 грн / 2 = 106,13 (грн).</w:t>
      </w:r>
    </w:p>
    <w:p w14:paraId="58A2F081" w14:textId="6142413A" w:rsidR="00CD2112" w:rsidRDefault="00CD2112" w:rsidP="00CD2112">
      <w:pPr>
        <w:spacing w:line="276" w:lineRule="auto"/>
        <w:ind w:firstLine="709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якщо мінімальна ставка винагороди складає 3%:</w:t>
      </w:r>
    </w:p>
    <w:p w14:paraId="719B54D9" w14:textId="11A8CA47" w:rsidR="009F1E2D" w:rsidRDefault="00075480" w:rsidP="00C0409B">
      <w:pPr>
        <w:spacing w:line="276" w:lineRule="auto"/>
        <w:ind w:firstLine="709"/>
        <w:contextualSpacing/>
        <w:jc w:val="both"/>
        <w:rPr>
          <w:bCs/>
          <w:i/>
          <w:color w:val="000000" w:themeColor="text1"/>
          <w:sz w:val="28"/>
          <w:szCs w:val="28"/>
          <w:lang w:val="uk-UA"/>
        </w:rPr>
      </w:pPr>
      <w:r w:rsidRPr="00AF75B6">
        <w:rPr>
          <w:bCs/>
          <w:i/>
          <w:color w:val="000000" w:themeColor="text1"/>
          <w:sz w:val="28"/>
          <w:szCs w:val="28"/>
          <w:lang w:val="uk-UA"/>
        </w:rPr>
        <w:t>1273,5 грн / 2 = 637</w:t>
      </w:r>
      <w:r w:rsidR="00C44A2B" w:rsidRPr="00AF75B6">
        <w:rPr>
          <w:bCs/>
          <w:i/>
          <w:color w:val="000000" w:themeColor="text1"/>
          <w:sz w:val="28"/>
          <w:szCs w:val="28"/>
          <w:lang w:val="uk-UA"/>
        </w:rPr>
        <w:t>,00</w:t>
      </w:r>
      <w:r w:rsidRPr="00AF75B6">
        <w:rPr>
          <w:bCs/>
          <w:i/>
          <w:color w:val="000000" w:themeColor="text1"/>
          <w:sz w:val="28"/>
          <w:szCs w:val="28"/>
          <w:lang w:val="uk-UA"/>
        </w:rPr>
        <w:t xml:space="preserve"> (грн).</w:t>
      </w:r>
    </w:p>
    <w:p w14:paraId="0419DA4A" w14:textId="07991388" w:rsidR="00095493" w:rsidRDefault="001A0597" w:rsidP="00095493">
      <w:pPr>
        <w:spacing w:line="276" w:lineRule="auto"/>
        <w:ind w:firstLine="709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я</w:t>
      </w:r>
      <w:r w:rsidR="00095493" w:rsidRPr="00095493">
        <w:rPr>
          <w:bCs/>
          <w:color w:val="000000" w:themeColor="text1"/>
          <w:sz w:val="28"/>
          <w:szCs w:val="28"/>
          <w:lang w:val="uk-UA"/>
        </w:rPr>
        <w:t>кщо взяти для розрахунку середню ставку виплати винагороди, яку розраховано для наукових установ НААН України</w:t>
      </w:r>
      <w:r w:rsidR="00095493">
        <w:rPr>
          <w:bCs/>
          <w:color w:val="000000" w:themeColor="text1"/>
          <w:sz w:val="28"/>
          <w:szCs w:val="28"/>
          <w:lang w:val="uk-UA"/>
        </w:rPr>
        <w:t xml:space="preserve"> (0,35%)</w:t>
      </w:r>
      <w:r w:rsidR="00095493" w:rsidRPr="00095493">
        <w:rPr>
          <w:bCs/>
          <w:color w:val="000000" w:themeColor="text1"/>
          <w:sz w:val="28"/>
          <w:szCs w:val="28"/>
          <w:lang w:val="uk-UA"/>
        </w:rPr>
        <w:t xml:space="preserve">: </w:t>
      </w:r>
    </w:p>
    <w:p w14:paraId="1364B9CC" w14:textId="32220F1E" w:rsidR="00095493" w:rsidRPr="00AF75B6" w:rsidRDefault="00095493" w:rsidP="00095493">
      <w:pPr>
        <w:spacing w:line="276" w:lineRule="auto"/>
        <w:ind w:firstLine="709"/>
        <w:contextualSpacing/>
        <w:jc w:val="both"/>
        <w:rPr>
          <w:bCs/>
          <w:i/>
          <w:color w:val="000000" w:themeColor="text1"/>
          <w:sz w:val="28"/>
          <w:szCs w:val="28"/>
          <w:lang w:val="uk-UA"/>
        </w:rPr>
      </w:pPr>
      <w:r>
        <w:rPr>
          <w:bCs/>
          <w:i/>
          <w:color w:val="000000" w:themeColor="text1"/>
          <w:sz w:val="28"/>
          <w:szCs w:val="28"/>
          <w:lang w:val="uk-UA"/>
        </w:rPr>
        <w:t>148</w:t>
      </w:r>
      <w:r w:rsidRPr="00AF75B6">
        <w:rPr>
          <w:bCs/>
          <w:i/>
          <w:color w:val="000000" w:themeColor="text1"/>
          <w:sz w:val="28"/>
          <w:szCs w:val="28"/>
          <w:lang w:val="uk-UA"/>
        </w:rPr>
        <w:t>,5</w:t>
      </w:r>
      <w:r>
        <w:rPr>
          <w:bCs/>
          <w:i/>
          <w:color w:val="000000" w:themeColor="text1"/>
          <w:sz w:val="28"/>
          <w:szCs w:val="28"/>
          <w:lang w:val="uk-UA"/>
        </w:rPr>
        <w:t>8</w:t>
      </w:r>
      <w:r w:rsidRPr="00AF75B6">
        <w:rPr>
          <w:bCs/>
          <w:i/>
          <w:color w:val="000000" w:themeColor="text1"/>
          <w:sz w:val="28"/>
          <w:szCs w:val="28"/>
          <w:lang w:val="uk-UA"/>
        </w:rPr>
        <w:t xml:space="preserve"> / 2 = </w:t>
      </w:r>
      <w:r>
        <w:rPr>
          <w:bCs/>
          <w:i/>
          <w:color w:val="000000" w:themeColor="text1"/>
          <w:sz w:val="28"/>
          <w:szCs w:val="28"/>
          <w:lang w:val="uk-UA"/>
        </w:rPr>
        <w:t>74,29</w:t>
      </w:r>
      <w:r w:rsidRPr="00AF75B6">
        <w:rPr>
          <w:bCs/>
          <w:i/>
          <w:color w:val="000000" w:themeColor="text1"/>
          <w:sz w:val="28"/>
          <w:szCs w:val="28"/>
          <w:lang w:val="uk-UA"/>
        </w:rPr>
        <w:t xml:space="preserve"> (грн).</w:t>
      </w:r>
    </w:p>
    <w:p w14:paraId="5406411E" w14:textId="18031E84" w:rsidR="00075480" w:rsidRPr="00CA6A42" w:rsidRDefault="009F1E2D" w:rsidP="00075480">
      <w:pPr>
        <w:spacing w:line="276" w:lineRule="auto"/>
        <w:ind w:firstLine="709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CA6A42">
        <w:rPr>
          <w:bCs/>
          <w:color w:val="000000" w:themeColor="text1"/>
          <w:sz w:val="28"/>
          <w:szCs w:val="28"/>
          <w:lang w:val="uk-UA"/>
        </w:rPr>
        <w:t>За умови збільшення мінімальної винагороди від трансферу технологій</w:t>
      </w:r>
      <w:r w:rsidR="00C0409B" w:rsidRPr="00CA6A42">
        <w:rPr>
          <w:bCs/>
          <w:color w:val="000000" w:themeColor="text1"/>
          <w:sz w:val="28"/>
          <w:szCs w:val="28"/>
          <w:lang w:val="uk-UA"/>
        </w:rPr>
        <w:t xml:space="preserve"> шляхом прийняття акта</w:t>
      </w:r>
      <w:r w:rsidRPr="00CA6A42">
        <w:rPr>
          <w:bCs/>
          <w:color w:val="000000" w:themeColor="text1"/>
          <w:sz w:val="28"/>
          <w:szCs w:val="28"/>
          <w:lang w:val="uk-UA"/>
        </w:rPr>
        <w:t>, мінімальна винагорода від укладення договору про трансфер технологій середньої вартості для автора (авторів) технологій становитиме:</w:t>
      </w:r>
    </w:p>
    <w:p w14:paraId="51781F72" w14:textId="5F5AF24A" w:rsidR="009F1E2D" w:rsidRPr="00AF75B6" w:rsidRDefault="009F1E2D" w:rsidP="009F1E2D">
      <w:pPr>
        <w:spacing w:line="276" w:lineRule="auto"/>
        <w:ind w:firstLine="709"/>
        <w:contextualSpacing/>
        <w:jc w:val="both"/>
        <w:rPr>
          <w:bCs/>
          <w:i/>
          <w:color w:val="000000" w:themeColor="text1"/>
          <w:sz w:val="28"/>
          <w:szCs w:val="28"/>
          <w:lang w:val="uk-UA"/>
        </w:rPr>
      </w:pPr>
      <w:r w:rsidRPr="00AF75B6">
        <w:rPr>
          <w:bCs/>
          <w:i/>
          <w:color w:val="000000" w:themeColor="text1"/>
          <w:sz w:val="28"/>
          <w:szCs w:val="28"/>
          <w:lang w:val="uk-UA"/>
        </w:rPr>
        <w:t>42450 грн. *0,2 = 8490</w:t>
      </w:r>
      <w:r w:rsidR="00C44A2B" w:rsidRPr="00AF75B6">
        <w:rPr>
          <w:bCs/>
          <w:i/>
          <w:color w:val="000000" w:themeColor="text1"/>
          <w:sz w:val="28"/>
          <w:szCs w:val="28"/>
          <w:lang w:val="uk-UA"/>
        </w:rPr>
        <w:t>,00</w:t>
      </w:r>
      <w:r w:rsidRPr="00AF75B6">
        <w:rPr>
          <w:bCs/>
          <w:i/>
          <w:color w:val="000000" w:themeColor="text1"/>
          <w:sz w:val="28"/>
          <w:szCs w:val="28"/>
          <w:lang w:val="uk-UA"/>
        </w:rPr>
        <w:t xml:space="preserve"> (грн).</w:t>
      </w:r>
    </w:p>
    <w:p w14:paraId="326C1C13" w14:textId="707A6FD1" w:rsidR="00075480" w:rsidRPr="00CA6A42" w:rsidRDefault="009F1E2D" w:rsidP="00075480">
      <w:pPr>
        <w:spacing w:line="276" w:lineRule="auto"/>
        <w:ind w:firstLine="709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CA6A42">
        <w:rPr>
          <w:bCs/>
          <w:color w:val="000000" w:themeColor="text1"/>
          <w:sz w:val="28"/>
          <w:szCs w:val="28"/>
          <w:lang w:val="uk-UA"/>
        </w:rPr>
        <w:t xml:space="preserve">Суттєво зросте мінімальна винагорода від укладення договору про трансфер технологій середньої вартості </w:t>
      </w:r>
      <w:r w:rsidR="00C44A2B">
        <w:rPr>
          <w:bCs/>
          <w:color w:val="000000" w:themeColor="text1"/>
          <w:sz w:val="28"/>
          <w:szCs w:val="28"/>
          <w:lang w:val="uk-UA"/>
        </w:rPr>
        <w:t xml:space="preserve">для </w:t>
      </w:r>
      <w:r w:rsidRPr="00CA6A42">
        <w:rPr>
          <w:bCs/>
          <w:color w:val="000000" w:themeColor="text1"/>
          <w:sz w:val="28"/>
          <w:szCs w:val="28"/>
          <w:lang w:val="uk-UA"/>
        </w:rPr>
        <w:t xml:space="preserve">осіб, які здійснюють трансфер </w:t>
      </w:r>
      <w:r w:rsidRPr="00CA6A42">
        <w:rPr>
          <w:bCs/>
          <w:color w:val="000000" w:themeColor="text1"/>
          <w:sz w:val="28"/>
          <w:szCs w:val="28"/>
          <w:lang w:val="uk-UA"/>
        </w:rPr>
        <w:lastRenderedPageBreak/>
        <w:t xml:space="preserve">технологій і </w:t>
      </w:r>
      <w:r w:rsidR="00CD2112">
        <w:rPr>
          <w:bCs/>
          <w:color w:val="000000" w:themeColor="text1"/>
          <w:sz w:val="28"/>
          <w:szCs w:val="28"/>
          <w:lang w:val="uk-UA"/>
        </w:rPr>
        <w:t>вона</w:t>
      </w:r>
      <w:r w:rsidRPr="00CA6A42">
        <w:rPr>
          <w:bCs/>
          <w:color w:val="000000" w:themeColor="text1"/>
          <w:sz w:val="28"/>
          <w:szCs w:val="28"/>
          <w:lang w:val="uk-UA"/>
        </w:rPr>
        <w:t xml:space="preserve"> становити</w:t>
      </w:r>
      <w:r w:rsidR="00CD2112">
        <w:rPr>
          <w:bCs/>
          <w:color w:val="000000" w:themeColor="text1"/>
          <w:sz w:val="28"/>
          <w:szCs w:val="28"/>
          <w:lang w:val="uk-UA"/>
        </w:rPr>
        <w:t>ме</w:t>
      </w:r>
      <w:r w:rsidRPr="00CA6A42">
        <w:rPr>
          <w:bCs/>
          <w:color w:val="000000" w:themeColor="text1"/>
          <w:sz w:val="28"/>
          <w:szCs w:val="28"/>
          <w:lang w:val="uk-UA"/>
        </w:rPr>
        <w:t>:</w:t>
      </w:r>
    </w:p>
    <w:p w14:paraId="796DBA1A" w14:textId="3CE82532" w:rsidR="009F1E2D" w:rsidRPr="00AF75B6" w:rsidRDefault="009F1E2D" w:rsidP="00C0409B">
      <w:pPr>
        <w:spacing w:line="276" w:lineRule="auto"/>
        <w:ind w:firstLine="709"/>
        <w:contextualSpacing/>
        <w:jc w:val="both"/>
        <w:rPr>
          <w:bCs/>
          <w:i/>
          <w:color w:val="000000" w:themeColor="text1"/>
          <w:sz w:val="28"/>
          <w:szCs w:val="28"/>
          <w:lang w:val="uk-UA"/>
        </w:rPr>
      </w:pPr>
      <w:r w:rsidRPr="00AF75B6">
        <w:rPr>
          <w:bCs/>
          <w:i/>
          <w:color w:val="000000" w:themeColor="text1"/>
          <w:sz w:val="28"/>
          <w:szCs w:val="28"/>
          <w:lang w:val="uk-UA"/>
        </w:rPr>
        <w:t>42450 грн. *0,0</w:t>
      </w:r>
      <w:r w:rsidR="00C44A2B" w:rsidRPr="00AF75B6">
        <w:rPr>
          <w:bCs/>
          <w:i/>
          <w:color w:val="000000" w:themeColor="text1"/>
          <w:sz w:val="28"/>
          <w:szCs w:val="28"/>
          <w:lang w:val="uk-UA"/>
        </w:rPr>
        <w:t>2</w:t>
      </w:r>
      <w:r w:rsidRPr="00AF75B6">
        <w:rPr>
          <w:bCs/>
          <w:i/>
          <w:color w:val="000000" w:themeColor="text1"/>
          <w:sz w:val="28"/>
          <w:szCs w:val="28"/>
          <w:lang w:val="uk-UA"/>
        </w:rPr>
        <w:t xml:space="preserve"> = </w:t>
      </w:r>
      <w:r w:rsidR="00C44A2B" w:rsidRPr="00AF75B6">
        <w:rPr>
          <w:bCs/>
          <w:i/>
          <w:color w:val="000000" w:themeColor="text1"/>
          <w:sz w:val="28"/>
          <w:szCs w:val="28"/>
          <w:lang w:val="uk-UA"/>
        </w:rPr>
        <w:t>849,00</w:t>
      </w:r>
      <w:r w:rsidRPr="00AF75B6">
        <w:rPr>
          <w:bCs/>
          <w:i/>
          <w:color w:val="000000" w:themeColor="text1"/>
          <w:sz w:val="28"/>
          <w:szCs w:val="28"/>
          <w:lang w:val="uk-UA"/>
        </w:rPr>
        <w:t xml:space="preserve"> (грн)</w:t>
      </w:r>
      <w:r w:rsidR="00C0409B" w:rsidRPr="00AF75B6">
        <w:rPr>
          <w:bCs/>
          <w:i/>
          <w:color w:val="000000" w:themeColor="text1"/>
          <w:sz w:val="28"/>
          <w:szCs w:val="28"/>
          <w:lang w:val="uk-UA"/>
        </w:rPr>
        <w:t>.</w:t>
      </w:r>
    </w:p>
    <w:p w14:paraId="4806CFB0" w14:textId="4EAD7DED" w:rsidR="000E5130" w:rsidRDefault="00C0409B" w:rsidP="009458DA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>Таке істотне підвищення мінімальної ставки винагороди авторам технологій та особам, які здійснюють трансфер технологій, сприятиме зростанню їх мотивації до здійснення науково-технічної діяльності, створення нових технологій та забезпечення їх трансферу (передачі) в реальний сектор економіки.</w:t>
      </w:r>
    </w:p>
    <w:p w14:paraId="70C4BF24" w14:textId="77777777" w:rsidR="00A02E81" w:rsidRPr="009458DA" w:rsidRDefault="00A02E81" w:rsidP="009458DA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35445386" w14:textId="77777777" w:rsidR="00E706D5" w:rsidRPr="00CA6A42" w:rsidRDefault="00E706D5" w:rsidP="00E706D5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CA6A42">
        <w:rPr>
          <w:b/>
          <w:color w:val="000000" w:themeColor="text1"/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64"/>
        <w:gridCol w:w="3406"/>
        <w:gridCol w:w="3963"/>
      </w:tblGrid>
      <w:tr w:rsidR="00CA6A42" w:rsidRPr="00CA6A42" w14:paraId="7B1103C4" w14:textId="77777777" w:rsidTr="0010252E">
        <w:tc>
          <w:tcPr>
            <w:tcW w:w="2264" w:type="dxa"/>
            <w:vAlign w:val="center"/>
          </w:tcPr>
          <w:p w14:paraId="1944F9A6" w14:textId="77777777" w:rsidR="00E706D5" w:rsidRPr="00CA6A42" w:rsidRDefault="00E706D5" w:rsidP="008865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406" w:type="dxa"/>
            <w:vAlign w:val="center"/>
          </w:tcPr>
          <w:p w14:paraId="062A111A" w14:textId="77777777" w:rsidR="00E706D5" w:rsidRPr="00CA6A42" w:rsidRDefault="00E706D5" w:rsidP="008865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3963" w:type="dxa"/>
            <w:vAlign w:val="center"/>
          </w:tcPr>
          <w:p w14:paraId="16DEC3FA" w14:textId="77777777" w:rsidR="00E706D5" w:rsidRPr="00CA6A42" w:rsidRDefault="00E706D5" w:rsidP="008865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Коментарі щодо присвоєння відповідного балу</w:t>
            </w:r>
          </w:p>
        </w:tc>
      </w:tr>
      <w:tr w:rsidR="00CA6A42" w:rsidRPr="00374405" w14:paraId="293E1ED0" w14:textId="77777777" w:rsidTr="0010252E">
        <w:tc>
          <w:tcPr>
            <w:tcW w:w="2264" w:type="dxa"/>
          </w:tcPr>
          <w:p w14:paraId="56CA6E03" w14:textId="77777777" w:rsidR="00E706D5" w:rsidRPr="00CA6A42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3406" w:type="dxa"/>
          </w:tcPr>
          <w:p w14:paraId="2EEB5404" w14:textId="4410D651" w:rsidR="00E706D5" w:rsidRPr="00CA6A42" w:rsidRDefault="00FF37BB" w:rsidP="00516B87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3" w:type="dxa"/>
          </w:tcPr>
          <w:p w14:paraId="1502D8A6" w14:textId="0D583656" w:rsidR="00E706D5" w:rsidRPr="00CA6A42" w:rsidRDefault="00E706D5" w:rsidP="0026040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Проблема існуватиме і надалі.</w:t>
            </w:r>
            <w:r w:rsidR="00FF37BB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Залишення мінімальних ставок винагороди авторам технологій та особам, які здійснюють трансфер технологій на існуючому нині рівні не мотивуватиме цих осіб до більш активного здійснення своєї діяльності і не стимулюватиме </w:t>
            </w:r>
            <w:r w:rsidR="002604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підвищення</w:t>
            </w:r>
            <w:r w:rsidR="00FF37BB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її результативності.</w:t>
            </w:r>
          </w:p>
        </w:tc>
      </w:tr>
      <w:tr w:rsidR="00CA6A42" w:rsidRPr="00374405" w14:paraId="734F14B3" w14:textId="77777777" w:rsidTr="0010252E">
        <w:trPr>
          <w:trHeight w:val="1645"/>
        </w:trPr>
        <w:tc>
          <w:tcPr>
            <w:tcW w:w="2264" w:type="dxa"/>
            <w:tcBorders>
              <w:bottom w:val="single" w:sz="4" w:space="0" w:color="auto"/>
            </w:tcBorders>
          </w:tcPr>
          <w:p w14:paraId="4F30E87B" w14:textId="77777777" w:rsidR="00E706D5" w:rsidRPr="00CA6A42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14:paraId="22538523" w14:textId="008F2D59" w:rsidR="00E706D5" w:rsidRPr="00CA6A42" w:rsidRDefault="00FF37BB" w:rsidP="00516B87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79274A02" w14:textId="375E7032" w:rsidR="00FF37BB" w:rsidRPr="00CA6A42" w:rsidRDefault="00E706D5" w:rsidP="00AE19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Прийняття регуляторного акта </w:t>
            </w:r>
            <w:r w:rsidR="00FF37BB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сприятиме більш ефективному здійсненню наукової</w:t>
            </w:r>
            <w:r w:rsidR="00AE1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F37BB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науково-технічної</w:t>
            </w:r>
            <w:r w:rsidR="00AE1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інноваційної</w:t>
            </w:r>
            <w:r w:rsidR="00FF37BB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діяльності у закладах вищої освіти і наукових установах та комерціалізації результатів цієї діяльності шляхом трансферу технологій і їх впровадження у реальному секторі економіки.</w:t>
            </w:r>
          </w:p>
        </w:tc>
      </w:tr>
    </w:tbl>
    <w:p w14:paraId="30BC3E40" w14:textId="2EB272C1" w:rsidR="000E5130" w:rsidRDefault="000E5130">
      <w:pPr>
        <w:widowControl/>
        <w:autoSpaceDE/>
        <w:autoSpaceDN/>
        <w:adjustRightInd/>
        <w:spacing w:after="160" w:line="259" w:lineRule="auto"/>
        <w:rPr>
          <w:color w:val="000000" w:themeColor="text1"/>
          <w:sz w:val="28"/>
          <w:szCs w:val="28"/>
          <w:lang w:val="uk-UA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2044"/>
        <w:gridCol w:w="2042"/>
        <w:gridCol w:w="3280"/>
      </w:tblGrid>
      <w:tr w:rsidR="00CE32F6" w:rsidRPr="00CA6A42" w14:paraId="77F710E7" w14:textId="77777777" w:rsidTr="0010252E">
        <w:trPr>
          <w:trHeight w:val="112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580B90B" w14:textId="77777777" w:rsidR="00E706D5" w:rsidRPr="00CA6A42" w:rsidRDefault="00E706D5" w:rsidP="00AE19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647A7F3" w14:textId="77777777" w:rsidR="00E706D5" w:rsidRPr="00CA6A42" w:rsidRDefault="00E706D5" w:rsidP="00AE19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Вигоди (підсумок)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14:paraId="2602DDA9" w14:textId="77777777" w:rsidR="00E706D5" w:rsidRPr="00CA6A42" w:rsidRDefault="00E706D5" w:rsidP="00AE19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Витрати (підсумок)</w:t>
            </w:r>
          </w:p>
        </w:tc>
        <w:tc>
          <w:tcPr>
            <w:tcW w:w="3410" w:type="dxa"/>
            <w:tcBorders>
              <w:top w:val="single" w:sz="4" w:space="0" w:color="auto"/>
            </w:tcBorders>
            <w:vAlign w:val="center"/>
          </w:tcPr>
          <w:p w14:paraId="56FE61B4" w14:textId="77777777" w:rsidR="00E706D5" w:rsidRPr="00CA6A42" w:rsidRDefault="00E706D5" w:rsidP="00AE19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Обґрунтування відповідного місця альтернативи у рейтингу</w:t>
            </w:r>
          </w:p>
        </w:tc>
      </w:tr>
      <w:tr w:rsidR="00CE32F6" w:rsidRPr="00374405" w14:paraId="6EFFFA0F" w14:textId="77777777" w:rsidTr="0010252E">
        <w:tc>
          <w:tcPr>
            <w:tcW w:w="2268" w:type="dxa"/>
            <w:tcBorders>
              <w:bottom w:val="single" w:sz="4" w:space="0" w:color="auto"/>
            </w:tcBorders>
          </w:tcPr>
          <w:p w14:paraId="5C5057F1" w14:textId="77777777" w:rsidR="00E706D5" w:rsidRPr="00CA6A42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4A934B" w14:textId="77777777" w:rsidR="00E706D5" w:rsidRPr="00CA6A42" w:rsidRDefault="00E706D5" w:rsidP="00516B87">
            <w:pPr>
              <w:jc w:val="both"/>
              <w:rPr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</w:rPr>
              <w:t>Відсутні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75015672" w14:textId="378F6F37" w:rsidR="00E706D5" w:rsidRPr="00CA6A42" w:rsidRDefault="00010305" w:rsidP="0053671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Відсутні.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4F5E4814" w14:textId="41CF91B6" w:rsidR="00010305" w:rsidRPr="00CA6A42" w:rsidRDefault="00010305" w:rsidP="0032354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Затверджені низькі ставки винагороди </w:t>
            </w: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авторам технологій та особам, які здійснюють трансфер технологій, стримують діяльність </w:t>
            </w:r>
            <w:r w:rsidR="0032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сфері</w:t>
            </w: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трансферу технологій через відсутність в </w:t>
            </w:r>
            <w:r w:rsidR="00CA6A42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зазначених осіб</w:t>
            </w: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мотивації </w:t>
            </w:r>
            <w:r w:rsidR="00CA6A42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32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покращення</w:t>
            </w: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A6A42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  <w:r w:rsidR="0032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A6A42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32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ності</w:t>
            </w: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своєї діяльності. </w:t>
            </w:r>
          </w:p>
        </w:tc>
      </w:tr>
      <w:tr w:rsidR="00CE32F6" w:rsidRPr="00374405" w14:paraId="1540A7D7" w14:textId="77777777" w:rsidTr="0010252E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6A2" w14:textId="77777777" w:rsidR="00E706D5" w:rsidRPr="00CA6A42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Альтернатива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859" w14:textId="11ACD096" w:rsidR="00E706D5" w:rsidRPr="00CA6A42" w:rsidRDefault="00170954" w:rsidP="00CE32F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E706D5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рийняття</w:t>
            </w:r>
            <w:r w:rsidR="00536711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акта</w:t>
            </w:r>
            <w:r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82DDD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забезпечить </w:t>
            </w:r>
            <w:r w:rsidR="00CE32F6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підвищення</w:t>
            </w:r>
            <w:r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82DDD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авто</w:t>
            </w:r>
            <w:r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 технологій та їх складових </w:t>
            </w:r>
            <w:r w:rsidR="00F82DDD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мотиваці</w:t>
            </w:r>
            <w:r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ї</w:t>
            </w:r>
            <w:r w:rsidR="00F82DDD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пошуку можливостей комерціалізації</w:t>
            </w:r>
            <w:r w:rsidR="00CE32F6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результатів своєї діяльності</w:t>
            </w:r>
            <w:r w:rsidR="00F82DDD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що сприятиме </w:t>
            </w:r>
            <w:r w:rsidR="00CE32F6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налагодженню </w:t>
            </w:r>
            <w:r w:rsidR="00F82DDD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взаємодії між академічним середовищем та реальним сектором економіки</w:t>
            </w:r>
            <w:r w:rsidR="00CE32F6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ефективного впровадження результатів наукових досліджень та розробок</w:t>
            </w:r>
            <w:r w:rsidR="00F82DDD" w:rsidRPr="00CE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624" w14:textId="40B519DC" w:rsidR="00E706D5" w:rsidRPr="00CA6A42" w:rsidRDefault="00323544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DDEE" w14:textId="4EDB000B" w:rsidR="00E706D5" w:rsidRPr="00CA6A42" w:rsidRDefault="00E706D5" w:rsidP="0032354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Прийняття акта </w:t>
            </w:r>
            <w:r w:rsidR="00CA6A42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забезпечить підвищення ставок винагороди для</w:t>
            </w: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A6A42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авторів технологій та осіб, які здійснюють трансфер технологій, що мотивуватиме їх до пошуку взаємодії з бізнесом та ефективного здійснення діяльності </w:t>
            </w:r>
            <w:r w:rsidR="0032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сфері</w:t>
            </w:r>
            <w:r w:rsidR="00CA6A42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трансферу технологій</w:t>
            </w:r>
            <w:r w:rsidR="0032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комерціалізації результатів науково-дослідної та інноваційної діяльності</w:t>
            </w:r>
            <w:r w:rsidR="00CA6A42"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CE32F6" w:rsidRPr="00374405" w14:paraId="3F004DF6" w14:textId="77777777" w:rsidTr="0010252E">
        <w:trPr>
          <w:trHeight w:val="546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3954E" w14:textId="77777777" w:rsidR="00E706D5" w:rsidRPr="00CA6A42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3C600" w14:textId="77777777" w:rsidR="00E706D5" w:rsidRPr="00CA6A42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FC0CC" w14:textId="77777777" w:rsidR="00E706D5" w:rsidRPr="00CA6A42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420F0" w14:textId="77777777" w:rsidR="00E706D5" w:rsidRPr="00CA6A42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6A42" w:rsidRPr="00CA6A42" w14:paraId="6B80ADB8" w14:textId="77777777" w:rsidTr="001025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A7BE" w14:textId="77777777" w:rsidR="00E706D5" w:rsidRPr="00CA6A42" w:rsidRDefault="00E706D5" w:rsidP="00FA460E">
            <w:pPr>
              <w:jc w:val="center"/>
              <w:rPr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E189" w14:textId="77777777" w:rsidR="00E706D5" w:rsidRPr="00CA6A42" w:rsidRDefault="00E706D5" w:rsidP="00FA460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49D7" w14:textId="77777777" w:rsidR="00E706D5" w:rsidRPr="00CA6A42" w:rsidRDefault="00E706D5" w:rsidP="00FA460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CA6A42" w:rsidRPr="00CA6A42" w14:paraId="63D77C5F" w14:textId="77777777" w:rsidTr="0010252E">
        <w:tc>
          <w:tcPr>
            <w:tcW w:w="2268" w:type="dxa"/>
            <w:tcBorders>
              <w:top w:val="single" w:sz="4" w:space="0" w:color="auto"/>
            </w:tcBorders>
          </w:tcPr>
          <w:p w14:paraId="42956C45" w14:textId="77777777" w:rsidR="00E706D5" w:rsidRPr="00CA6A42" w:rsidRDefault="00E706D5" w:rsidP="00516B8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Залишення існуючої на даний момент ситуації без змін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</w:tcBorders>
          </w:tcPr>
          <w:p w14:paraId="796779CA" w14:textId="5DB301F5" w:rsidR="00E706D5" w:rsidRPr="00CA6A42" w:rsidRDefault="00E706D5" w:rsidP="00C76BA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Альтернатива є неприйнятною, оскільки </w:t>
            </w:r>
            <w:r w:rsidR="00C82BAD" w:rsidRPr="00CA6A42">
              <w:rPr>
                <w:color w:val="000000" w:themeColor="text1"/>
                <w:sz w:val="28"/>
                <w:szCs w:val="28"/>
                <w:lang w:val="uk-UA"/>
              </w:rPr>
              <w:t>існує потреба в стимулюванні</w:t>
            </w:r>
            <w:r w:rsidR="001A4442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українських вчених до </w:t>
            </w:r>
            <w:r w:rsidR="00C76BAC">
              <w:rPr>
                <w:color w:val="000000" w:themeColor="text1"/>
                <w:sz w:val="28"/>
                <w:szCs w:val="28"/>
                <w:lang w:val="uk-UA"/>
              </w:rPr>
              <w:t xml:space="preserve">комерціалізації технологій, </w:t>
            </w:r>
            <w:r w:rsidR="001A4442" w:rsidRPr="00CA6A42">
              <w:rPr>
                <w:color w:val="000000" w:themeColor="text1"/>
                <w:sz w:val="28"/>
                <w:szCs w:val="28"/>
                <w:lang w:val="uk-UA"/>
              </w:rPr>
              <w:t>створен</w:t>
            </w:r>
            <w:r w:rsidR="00C76BAC">
              <w:rPr>
                <w:color w:val="000000" w:themeColor="text1"/>
                <w:sz w:val="28"/>
                <w:szCs w:val="28"/>
                <w:lang w:val="uk-UA"/>
              </w:rPr>
              <w:t>их за бюджетні кошти</w:t>
            </w:r>
            <w:r w:rsidR="001A4442" w:rsidRPr="00CA6A42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</w:tcBorders>
          </w:tcPr>
          <w:p w14:paraId="11B83BB6" w14:textId="77777777" w:rsidR="00E706D5" w:rsidRPr="00CA6A42" w:rsidRDefault="00E706D5" w:rsidP="00516B8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Вплив зовнішніх факторів на дію регуляторного акта не очікується.</w:t>
            </w:r>
          </w:p>
        </w:tc>
      </w:tr>
      <w:tr w:rsidR="00CA6A42" w:rsidRPr="00CA6A42" w14:paraId="4323F435" w14:textId="77777777" w:rsidTr="0010252E">
        <w:trPr>
          <w:trHeight w:val="1645"/>
        </w:trPr>
        <w:tc>
          <w:tcPr>
            <w:tcW w:w="2268" w:type="dxa"/>
          </w:tcPr>
          <w:p w14:paraId="5CCB3EBF" w14:textId="227B7616" w:rsidR="00E706D5" w:rsidRPr="00CA6A42" w:rsidRDefault="00170954" w:rsidP="00516B8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Прийняття проє</w:t>
            </w:r>
            <w:r w:rsidR="00E706D5" w:rsidRPr="00CA6A42">
              <w:rPr>
                <w:color w:val="000000" w:themeColor="text1"/>
                <w:sz w:val="28"/>
                <w:szCs w:val="28"/>
                <w:lang w:val="uk-UA"/>
              </w:rPr>
              <w:t>кту акта</w:t>
            </w:r>
          </w:p>
        </w:tc>
        <w:tc>
          <w:tcPr>
            <w:tcW w:w="3955" w:type="dxa"/>
            <w:gridSpan w:val="2"/>
          </w:tcPr>
          <w:p w14:paraId="34DC898B" w14:textId="2050B14E" w:rsidR="001A4442" w:rsidRPr="00CA6A42" w:rsidRDefault="00E706D5" w:rsidP="00516B8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Забезпечить </w:t>
            </w:r>
            <w:r w:rsidR="001A4442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підвищення мотивації авторів технологій та осіб, які здійснюють трансфер технологій до ефективного </w:t>
            </w:r>
            <w:r w:rsidR="00D5620C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здійснення діяльності </w:t>
            </w:r>
            <w:r w:rsidR="00C76BAC">
              <w:rPr>
                <w:color w:val="000000" w:themeColor="text1"/>
                <w:sz w:val="28"/>
                <w:szCs w:val="28"/>
                <w:lang w:val="uk-UA"/>
              </w:rPr>
              <w:t>в сфері</w:t>
            </w:r>
            <w:r w:rsidR="001A4442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трансфер</w:t>
            </w:r>
            <w:r w:rsidR="00D5620C" w:rsidRPr="00CA6A42"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="001A4442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технологій</w:t>
            </w:r>
            <w:r w:rsidR="00D5620C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та налагодження активних контактів осіб, які здійснюють наукову</w:t>
            </w:r>
            <w:r w:rsidR="00C76BAC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D5620C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науково-технічну</w:t>
            </w:r>
            <w:r w:rsidR="00C76BAC">
              <w:rPr>
                <w:color w:val="000000" w:themeColor="text1"/>
                <w:sz w:val="28"/>
                <w:szCs w:val="28"/>
                <w:lang w:val="uk-UA"/>
              </w:rPr>
              <w:t xml:space="preserve"> та інноваційну</w:t>
            </w:r>
            <w:r w:rsidR="00D5620C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діяльність у закладах вищої освіти та наукових установах, з потенційними інвесторами та представниками бізнесу, які готові впроваджувати вітчизняні технології у виробництво.</w:t>
            </w:r>
          </w:p>
          <w:p w14:paraId="7C331759" w14:textId="776F165D" w:rsidR="00E706D5" w:rsidRPr="00CA6A42" w:rsidRDefault="00D5620C" w:rsidP="00516B8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Прийняття акта п</w:t>
            </w:r>
            <w:r w:rsidR="00E706D5" w:rsidRPr="00CA6A42">
              <w:rPr>
                <w:color w:val="000000" w:themeColor="text1"/>
                <w:sz w:val="28"/>
                <w:szCs w:val="28"/>
                <w:lang w:val="uk-UA"/>
              </w:rPr>
              <w:t>овністю відпові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дає потребам у вирішенні наявної</w:t>
            </w:r>
            <w:r w:rsidR="00E706D5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 проблем</w:t>
            </w: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и</w:t>
            </w:r>
            <w:r w:rsidR="00E706D5" w:rsidRPr="00CA6A42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410" w:type="dxa"/>
          </w:tcPr>
          <w:p w14:paraId="4F13BC19" w14:textId="77777777" w:rsidR="00E706D5" w:rsidRPr="00CA6A42" w:rsidRDefault="00E706D5" w:rsidP="00516B8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Вплив зовнішніх факторів на дію регуляторного акта не очікується.</w:t>
            </w:r>
          </w:p>
        </w:tc>
      </w:tr>
      <w:tr w:rsidR="00CA6A42" w:rsidRPr="00CA6A42" w14:paraId="5D68C6A5" w14:textId="77777777" w:rsidTr="0010252E">
        <w:trPr>
          <w:trHeight w:val="1645"/>
        </w:trPr>
        <w:tc>
          <w:tcPr>
            <w:tcW w:w="2268" w:type="dxa"/>
          </w:tcPr>
          <w:p w14:paraId="555C6906" w14:textId="77777777" w:rsidR="00E706D5" w:rsidRPr="00CA6A42" w:rsidRDefault="00E706D5" w:rsidP="00516B8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Використання ринкових механізмів</w:t>
            </w:r>
          </w:p>
        </w:tc>
        <w:tc>
          <w:tcPr>
            <w:tcW w:w="3955" w:type="dxa"/>
            <w:gridSpan w:val="2"/>
          </w:tcPr>
          <w:p w14:paraId="5535E7DD" w14:textId="5AAD1C88" w:rsidR="00E706D5" w:rsidRPr="00CA6A42" w:rsidRDefault="00E706D5" w:rsidP="00C82BA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Проблема не може бути розв’язана з</w:t>
            </w:r>
            <w:r w:rsidR="00FF37BB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а допомогою ринкових механізмів, але її вирішення враховує існуючі ринкові механізми і матиме позитивний вплив на ринкове середовище через збільшення </w:t>
            </w:r>
            <w:r w:rsidR="00C82BAD" w:rsidRPr="00CA6A42">
              <w:rPr>
                <w:color w:val="000000" w:themeColor="text1"/>
                <w:sz w:val="28"/>
                <w:szCs w:val="28"/>
                <w:lang w:val="uk-UA"/>
              </w:rPr>
              <w:t xml:space="preserve">на ринку продукції, створеної із застосуванням </w:t>
            </w:r>
            <w:r w:rsidR="00FF37BB" w:rsidRPr="00CA6A42">
              <w:rPr>
                <w:color w:val="000000" w:themeColor="text1"/>
                <w:sz w:val="28"/>
                <w:szCs w:val="28"/>
                <w:lang w:val="uk-UA"/>
              </w:rPr>
              <w:t>вітчи</w:t>
            </w:r>
            <w:r w:rsidR="00C82BAD" w:rsidRPr="00CA6A42">
              <w:rPr>
                <w:color w:val="000000" w:themeColor="text1"/>
                <w:sz w:val="28"/>
                <w:szCs w:val="28"/>
                <w:lang w:val="uk-UA"/>
              </w:rPr>
              <w:t>зняних технологій, підвищення технологічності і конкурентоспроможності вітчизняного виробництва.</w:t>
            </w:r>
          </w:p>
        </w:tc>
        <w:tc>
          <w:tcPr>
            <w:tcW w:w="3410" w:type="dxa"/>
          </w:tcPr>
          <w:p w14:paraId="100CFD94" w14:textId="77777777" w:rsidR="00E706D5" w:rsidRPr="00CA6A42" w:rsidRDefault="00E706D5" w:rsidP="00516B8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A6A42">
              <w:rPr>
                <w:color w:val="000000" w:themeColor="text1"/>
                <w:sz w:val="28"/>
                <w:szCs w:val="28"/>
                <w:lang w:val="uk-UA"/>
              </w:rPr>
              <w:t>Зовнішні чинники відсутні.</w:t>
            </w:r>
          </w:p>
        </w:tc>
      </w:tr>
    </w:tbl>
    <w:p w14:paraId="17998468" w14:textId="77777777" w:rsidR="00E706D5" w:rsidRPr="00CA6A42" w:rsidRDefault="00E706D5" w:rsidP="00A02E81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77942CC" w14:textId="77777777" w:rsidR="00E706D5" w:rsidRPr="00CA6A42" w:rsidRDefault="00E706D5" w:rsidP="00E706D5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CA6A42">
        <w:rPr>
          <w:b/>
          <w:color w:val="000000" w:themeColor="text1"/>
          <w:sz w:val="28"/>
          <w:szCs w:val="28"/>
        </w:rPr>
        <w:t xml:space="preserve">V. </w:t>
      </w:r>
      <w:r w:rsidRPr="00CA6A42">
        <w:rPr>
          <w:b/>
          <w:color w:val="000000" w:themeColor="text1"/>
          <w:sz w:val="28"/>
          <w:szCs w:val="28"/>
          <w:lang w:val="uk-UA"/>
        </w:rPr>
        <w:t>Механізми та заходи, які забезпечать розв’язання визначеної проблеми</w:t>
      </w:r>
    </w:p>
    <w:p w14:paraId="02049515" w14:textId="77777777" w:rsidR="00E706D5" w:rsidRPr="00CA6A42" w:rsidRDefault="00E706D5" w:rsidP="00E706D5">
      <w:pPr>
        <w:shd w:val="clear" w:color="auto" w:fill="FFFFFF"/>
        <w:ind w:firstLine="709"/>
        <w:jc w:val="both"/>
        <w:rPr>
          <w:i/>
          <w:color w:val="000000" w:themeColor="text1"/>
          <w:sz w:val="28"/>
          <w:szCs w:val="28"/>
          <w:lang w:val="uk-UA"/>
        </w:rPr>
      </w:pPr>
      <w:r w:rsidRPr="00CA6A42">
        <w:rPr>
          <w:i/>
          <w:color w:val="000000" w:themeColor="text1"/>
          <w:sz w:val="28"/>
          <w:szCs w:val="28"/>
          <w:lang w:val="uk-UA"/>
        </w:rPr>
        <w:t>1. Механізми дії регуляторного акта.</w:t>
      </w:r>
    </w:p>
    <w:p w14:paraId="04D7FB9B" w14:textId="557C2FA1" w:rsidR="001A08F7" w:rsidRPr="00CA6A42" w:rsidRDefault="00E706D5" w:rsidP="001A08F7">
      <w:pPr>
        <w:pStyle w:val="3"/>
        <w:spacing w:before="0" w:beforeAutospacing="0" w:after="0" w:afterAutospacing="0"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A6A42">
        <w:rPr>
          <w:b w:val="0"/>
          <w:color w:val="000000" w:themeColor="text1"/>
          <w:sz w:val="28"/>
          <w:szCs w:val="28"/>
        </w:rPr>
        <w:lastRenderedPageBreak/>
        <w:t>Основним механізмом для розв’язання визн</w:t>
      </w:r>
      <w:r w:rsidR="00170954">
        <w:rPr>
          <w:b w:val="0"/>
          <w:color w:val="000000" w:themeColor="text1"/>
          <w:sz w:val="28"/>
          <w:szCs w:val="28"/>
        </w:rPr>
        <w:t>аченої проблеми є прийняття проє</w:t>
      </w:r>
      <w:r w:rsidRPr="00CA6A42">
        <w:rPr>
          <w:b w:val="0"/>
          <w:color w:val="000000" w:themeColor="text1"/>
          <w:sz w:val="28"/>
          <w:szCs w:val="28"/>
        </w:rPr>
        <w:t xml:space="preserve">кту постанови Кабінету Міністрів України, якою </w:t>
      </w:r>
      <w:r w:rsidR="001A08F7" w:rsidRPr="00CA6A42">
        <w:rPr>
          <w:b w:val="0"/>
          <w:color w:val="000000" w:themeColor="text1"/>
          <w:sz w:val="28"/>
          <w:szCs w:val="28"/>
        </w:rPr>
        <w:t>передбачено:</w:t>
      </w:r>
    </w:p>
    <w:p w14:paraId="6CDC2CE5" w14:textId="77777777" w:rsidR="00095EC0" w:rsidRPr="00CA6A42" w:rsidRDefault="001A08F7" w:rsidP="00095EC0">
      <w:pPr>
        <w:pStyle w:val="3"/>
        <w:spacing w:before="0" w:beforeAutospacing="0" w:after="0" w:afterAutospacing="0" w:line="276" w:lineRule="auto"/>
        <w:ind w:firstLine="567"/>
        <w:jc w:val="both"/>
        <w:rPr>
          <w:rFonts w:eastAsia="Times New Roman"/>
          <w:b w:val="0"/>
          <w:color w:val="000000" w:themeColor="text1"/>
          <w:sz w:val="28"/>
          <w:szCs w:val="28"/>
          <w:lang w:eastAsia="ru-RU"/>
        </w:rPr>
      </w:pPr>
      <w:r w:rsidRPr="00CA6A42">
        <w:rPr>
          <w:b w:val="0"/>
          <w:color w:val="000000" w:themeColor="text1"/>
          <w:sz w:val="28"/>
          <w:szCs w:val="28"/>
        </w:rPr>
        <w:t>збільшення мінімальних ставок винагороди авторам технологій і особам, які здійснюють їх трансфер, відносно</w:t>
      </w:r>
      <w:r w:rsidRPr="00C76BAC">
        <w:rPr>
          <w:b w:val="0"/>
          <w:color w:val="000000" w:themeColor="text1"/>
          <w:sz w:val="28"/>
          <w:szCs w:val="28"/>
        </w:rPr>
        <w:t xml:space="preserve"> </w:t>
      </w:r>
      <w:r w:rsidRPr="00CA6A42">
        <w:rPr>
          <w:b w:val="0"/>
          <w:color w:val="000000" w:themeColor="text1"/>
          <w:sz w:val="28"/>
          <w:szCs w:val="28"/>
        </w:rPr>
        <w:t>нині існуючих</w:t>
      </w:r>
      <w:r w:rsidR="00095EC0" w:rsidRPr="00CA6A42">
        <w:rPr>
          <w:rFonts w:eastAsia="Times New Roman"/>
          <w:b w:val="0"/>
          <w:color w:val="000000" w:themeColor="text1"/>
          <w:sz w:val="28"/>
          <w:szCs w:val="28"/>
          <w:lang w:eastAsia="ru-RU"/>
        </w:rPr>
        <w:t>;</w:t>
      </w:r>
      <w:r w:rsidR="009712CF" w:rsidRPr="00CA6A42">
        <w:rPr>
          <w:rFonts w:eastAsia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</w:p>
    <w:p w14:paraId="55B337E1" w14:textId="2EE5C1B2" w:rsidR="009712CF" w:rsidRPr="00CA6A42" w:rsidRDefault="000D0036" w:rsidP="00095EC0">
      <w:pPr>
        <w:pStyle w:val="3"/>
        <w:spacing w:before="0" w:beforeAutospacing="0" w:after="0" w:afterAutospacing="0"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скасування постанови</w:t>
      </w:r>
      <w:r w:rsidR="001A08F7" w:rsidRPr="00CA6A42">
        <w:rPr>
          <w:b w:val="0"/>
          <w:color w:val="000000" w:themeColor="text1"/>
          <w:sz w:val="28"/>
          <w:szCs w:val="28"/>
        </w:rPr>
        <w:t xml:space="preserve"> Кабінету Міністрів України від 4 червня 2008 р. №</w:t>
      </w:r>
      <w:r w:rsidR="00170954">
        <w:rPr>
          <w:b w:val="0"/>
          <w:color w:val="000000" w:themeColor="text1"/>
          <w:sz w:val="28"/>
          <w:szCs w:val="28"/>
        </w:rPr>
        <w:t> </w:t>
      </w:r>
      <w:r w:rsidR="001A08F7" w:rsidRPr="00CA6A42">
        <w:rPr>
          <w:b w:val="0"/>
          <w:color w:val="000000" w:themeColor="text1"/>
          <w:sz w:val="28"/>
          <w:szCs w:val="28"/>
        </w:rPr>
        <w:t>520 «Про затвердження мінімальних ставок винагороди авторам технологій і особам, які здійснюють їх трансфер»</w:t>
      </w:r>
      <w:r w:rsidR="00095EC0" w:rsidRPr="00CA6A42">
        <w:rPr>
          <w:b w:val="0"/>
          <w:color w:val="000000" w:themeColor="text1"/>
          <w:sz w:val="28"/>
          <w:szCs w:val="28"/>
        </w:rPr>
        <w:t>.</w:t>
      </w:r>
    </w:p>
    <w:p w14:paraId="5773969E" w14:textId="77777777" w:rsidR="00E706D5" w:rsidRPr="00CA6A42" w:rsidRDefault="00E706D5" w:rsidP="00E706D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6A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Організаційні заходи впровадження регуляторного акта в дію. </w:t>
      </w:r>
    </w:p>
    <w:p w14:paraId="593095A9" w14:textId="77777777" w:rsidR="00E706D5" w:rsidRPr="00CA6A42" w:rsidRDefault="00E706D5" w:rsidP="00E706D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Ризику пливу зовнішніх факторів на дію регуляторного акта немає. </w:t>
      </w:r>
    </w:p>
    <w:p w14:paraId="37EA5AF9" w14:textId="6CAB5552" w:rsidR="00E706D5" w:rsidRPr="00CA6A42" w:rsidRDefault="00E706D5" w:rsidP="00E706D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досягнення цілей передбачаються додаткові організаційні заходи, пов’язані з </w:t>
      </w:r>
      <w:r w:rsidR="002A1454"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>інформуванням наукової спільноти про положення проєкту акта</w:t>
      </w: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4B0CF7C" w14:textId="77777777" w:rsidR="00E706D5" w:rsidRPr="00CA6A42" w:rsidRDefault="00E706D5" w:rsidP="00E706D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>Можлива шкода у разі очікуваних наслідків дії акта не прогнозується.</w:t>
      </w:r>
    </w:p>
    <w:p w14:paraId="7E149764" w14:textId="77777777" w:rsidR="00E706D5" w:rsidRPr="00CA6A42" w:rsidRDefault="00E706D5" w:rsidP="00E706D5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700E53D" w14:textId="77777777" w:rsidR="00E706D5" w:rsidRPr="00CA6A42" w:rsidRDefault="00E706D5" w:rsidP="00E706D5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CA6A42">
        <w:rPr>
          <w:b/>
          <w:color w:val="000000" w:themeColor="text1"/>
          <w:sz w:val="28"/>
          <w:szCs w:val="28"/>
        </w:rPr>
        <w:t>VI</w:t>
      </w:r>
      <w:r w:rsidRPr="00CA6A42">
        <w:rPr>
          <w:b/>
          <w:color w:val="000000" w:themeColor="text1"/>
          <w:sz w:val="28"/>
          <w:szCs w:val="28"/>
          <w:lang w:val="uk-UA"/>
        </w:rPr>
        <w:t>. Оцінка виконання вимог регуляторного акту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7867568F" w14:textId="7FCFE86E" w:rsidR="00E706D5" w:rsidRPr="00CA6A42" w:rsidRDefault="00170954" w:rsidP="00095EC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Реалізація проє</w:t>
      </w:r>
      <w:r w:rsidR="00E706D5" w:rsidRPr="00CA6A42">
        <w:rPr>
          <w:color w:val="000000" w:themeColor="text1"/>
          <w:sz w:val="28"/>
          <w:szCs w:val="28"/>
          <w:lang w:val="uk-UA"/>
        </w:rPr>
        <w:t>кту акта не передбачає додаткових фінансових витрат</w:t>
      </w:r>
      <w:r w:rsidR="00095EC0" w:rsidRPr="00CA6A42">
        <w:rPr>
          <w:color w:val="000000" w:themeColor="text1"/>
          <w:sz w:val="28"/>
          <w:szCs w:val="28"/>
          <w:lang w:val="uk-UA"/>
        </w:rPr>
        <w:t xml:space="preserve"> з коштів державного бюджету</w:t>
      </w:r>
      <w:r w:rsidR="00E706D5" w:rsidRPr="00CA6A42">
        <w:rPr>
          <w:color w:val="000000" w:themeColor="text1"/>
          <w:sz w:val="28"/>
          <w:szCs w:val="28"/>
          <w:lang w:val="uk-UA"/>
        </w:rPr>
        <w:t xml:space="preserve">. </w:t>
      </w:r>
    </w:p>
    <w:p w14:paraId="2F70A077" w14:textId="7DD8A77A" w:rsidR="00E706D5" w:rsidRPr="00CA6A42" w:rsidRDefault="00E706D5" w:rsidP="00E706D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>Прийняття постанови надасть можливість забезпечити всі сфери інтересів, зокрема таких груп, як громадяни України, іноземці</w:t>
      </w:r>
      <w:r w:rsidR="0042666F">
        <w:rPr>
          <w:color w:val="000000" w:themeColor="text1"/>
          <w:sz w:val="28"/>
          <w:szCs w:val="28"/>
          <w:lang w:val="uk-UA"/>
        </w:rPr>
        <w:t>,</w:t>
      </w:r>
      <w:r w:rsidRPr="00CA6A42">
        <w:rPr>
          <w:color w:val="000000" w:themeColor="text1"/>
          <w:sz w:val="28"/>
          <w:szCs w:val="28"/>
          <w:lang w:val="uk-UA"/>
        </w:rPr>
        <w:t xml:space="preserve"> суб’єкти господарювання, інтереси держави.</w:t>
      </w:r>
    </w:p>
    <w:p w14:paraId="0EC8BA18" w14:textId="77777777" w:rsidR="00E706D5" w:rsidRPr="00CA6A42" w:rsidRDefault="00E706D5" w:rsidP="00E706D5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4597DB6C" w14:textId="77777777" w:rsidR="00E706D5" w:rsidRPr="00CA6A42" w:rsidRDefault="00E706D5" w:rsidP="00E706D5">
      <w:pPr>
        <w:ind w:firstLine="709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CA6A42">
        <w:rPr>
          <w:b/>
          <w:color w:val="000000" w:themeColor="text1"/>
          <w:sz w:val="28"/>
          <w:szCs w:val="28"/>
          <w:lang w:val="uk-UA"/>
        </w:rPr>
        <w:t>VII. Обґрунтування запропонованого строку дії регуляторного акта</w:t>
      </w:r>
    </w:p>
    <w:p w14:paraId="6DC99A9E" w14:textId="5B1981B7" w:rsidR="00E706D5" w:rsidRPr="00CA6A42" w:rsidRDefault="00E706D5" w:rsidP="00E706D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 xml:space="preserve">Термін дії є необмеженим, оскільки Закон України </w:t>
      </w:r>
      <w:r w:rsidRPr="00CA6A42">
        <w:rPr>
          <w:color w:val="000000" w:themeColor="text1"/>
          <w:sz w:val="28"/>
          <w:szCs w:val="28"/>
          <w:shd w:val="clear" w:color="auto" w:fill="FFFFFF"/>
          <w:lang w:val="uk-UA"/>
        </w:rPr>
        <w:t>«Про державне регулювання діяльності у сфері трансферу технологій»</w:t>
      </w:r>
      <w:r w:rsidRPr="00CA6A42">
        <w:rPr>
          <w:color w:val="000000" w:themeColor="text1"/>
          <w:sz w:val="28"/>
          <w:szCs w:val="28"/>
          <w:lang w:val="uk-UA"/>
        </w:rPr>
        <w:t>, від</w:t>
      </w:r>
      <w:r w:rsidR="00170954">
        <w:rPr>
          <w:color w:val="000000" w:themeColor="text1"/>
          <w:sz w:val="28"/>
          <w:szCs w:val="28"/>
          <w:lang w:val="uk-UA"/>
        </w:rPr>
        <w:t>повідно до якого розроблено проє</w:t>
      </w:r>
      <w:r w:rsidRPr="00CA6A42">
        <w:rPr>
          <w:color w:val="000000" w:themeColor="text1"/>
          <w:sz w:val="28"/>
          <w:szCs w:val="28"/>
          <w:lang w:val="uk-UA"/>
        </w:rPr>
        <w:t xml:space="preserve">кт постанови, має необмежений термін дії. </w:t>
      </w:r>
    </w:p>
    <w:p w14:paraId="6A3D9E2D" w14:textId="77777777" w:rsidR="00E706D5" w:rsidRPr="00CA6A42" w:rsidRDefault="00E706D5" w:rsidP="00E706D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 xml:space="preserve">Зміна терміну дії акта можлива у разі зміни правових актів, на виконання вимог яких розроблено чинний акт. </w:t>
      </w:r>
    </w:p>
    <w:p w14:paraId="58EA0B13" w14:textId="77777777" w:rsidR="00E706D5" w:rsidRPr="00CA6A42" w:rsidRDefault="00E706D5" w:rsidP="00E706D5">
      <w:pPr>
        <w:ind w:firstLine="709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>Термін набрання чинності регуляторним актом – відповідно до законодавства – з дня його офіційного опублікування.</w:t>
      </w:r>
    </w:p>
    <w:p w14:paraId="25B7B2DE" w14:textId="77777777" w:rsidR="00E706D5" w:rsidRPr="00CA6A42" w:rsidRDefault="00E706D5" w:rsidP="00E706D5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1355B5C2" w14:textId="77777777" w:rsidR="00E706D5" w:rsidRPr="00CA6A42" w:rsidRDefault="00E706D5" w:rsidP="00E706D5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CA6A42">
        <w:rPr>
          <w:b/>
          <w:color w:val="000000" w:themeColor="text1"/>
          <w:sz w:val="28"/>
          <w:szCs w:val="28"/>
          <w:lang w:val="uk-UA"/>
        </w:rPr>
        <w:t>VIII. Визначення показників результативності дії регуляторного акта</w:t>
      </w:r>
    </w:p>
    <w:p w14:paraId="5A2A956A" w14:textId="77777777" w:rsidR="00E706D5" w:rsidRPr="00CA6A42" w:rsidRDefault="00E706D5" w:rsidP="00E706D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 xml:space="preserve">Результативність акта буде відслідковуватись шляхом аналізу таких показників: </w:t>
      </w:r>
    </w:p>
    <w:p w14:paraId="1DFC7B5A" w14:textId="77777777" w:rsidR="00E706D5" w:rsidRPr="00CA6A42" w:rsidRDefault="00E706D5" w:rsidP="00E706D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 суб’єктів господарювання та/або фізичних осіб, на яких поширюватиметься дія акта;</w:t>
      </w:r>
    </w:p>
    <w:p w14:paraId="111B061F" w14:textId="77777777" w:rsidR="00E706D5" w:rsidRPr="00CA6A42" w:rsidRDefault="00E706D5" w:rsidP="00E706D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>рівень поінформованості суб’єктів господарювання та/або фізичних осіб з основних положень акта;</w:t>
      </w:r>
    </w:p>
    <w:p w14:paraId="563CD946" w14:textId="1E3A3C8F" w:rsidR="006A73E7" w:rsidRPr="00CA6A42" w:rsidRDefault="006A73E7" w:rsidP="006A73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>ількість технологій, створених у закладах вищ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ої освіти та наукових установах;</w:t>
      </w:r>
    </w:p>
    <w:p w14:paraId="5F0953E2" w14:textId="3D572C33" w:rsidR="00E706D5" w:rsidRDefault="00E706D5" w:rsidP="00E706D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кількість </w:t>
      </w:r>
      <w:r w:rsidR="006A73E7">
        <w:rPr>
          <w:rFonts w:ascii="Times New Roman" w:hAnsi="Times New Roman" w:cs="Times New Roman"/>
          <w:color w:val="000000" w:themeColor="text1"/>
          <w:sz w:val="28"/>
          <w:szCs w:val="28"/>
        </w:rPr>
        <w:t>укладених договорів про трансфер технологій та/або їх складових, створених за бюджетні кошти</w:t>
      </w: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44780BC" w14:textId="2C48995A" w:rsidR="006A73E7" w:rsidRPr="00CA6A42" w:rsidRDefault="006A73E7" w:rsidP="00E706D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кількість коштів, отриманих за договорами про трансфер технологій та/або їх складових, створених за бюджетні кошти;</w:t>
      </w:r>
    </w:p>
    <w:p w14:paraId="03E3E996" w14:textId="0A7BC614" w:rsidR="00E706D5" w:rsidRPr="006A73E7" w:rsidRDefault="006A73E7" w:rsidP="00E706D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частка</w:t>
      </w:r>
      <w:r w:rsidR="00E706D5" w:rsidRPr="006A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коштів, використаних на виплату винагороди авторам технологій та/або їх складових за договорами про трансфер технологій.</w:t>
      </w:r>
    </w:p>
    <w:p w14:paraId="50C45B19" w14:textId="714D676A" w:rsidR="00E706D5" w:rsidRPr="00CA6A42" w:rsidRDefault="00E706D5" w:rsidP="00363E3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Реалізація </w:t>
      </w:r>
      <w:r w:rsidR="00363E3C"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r w:rsidRPr="00CA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потребує додаткових матеріальних та інших витрат з боку розробників та/або власників технологій та їх складових. </w:t>
      </w:r>
    </w:p>
    <w:p w14:paraId="17E7BEDA" w14:textId="77777777" w:rsidR="00E706D5" w:rsidRPr="00CA6A42" w:rsidRDefault="00E706D5" w:rsidP="00E706D5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>З метою забезпечення високого рівня поінформованості суб’єктів господарювання та/або фізичних осіб щодо основних положень цього акта Міністерством освіти і науки України забезпечено оприлюднення його у встановленому законодавством порядку на офіційному сайті МОН.</w:t>
      </w:r>
    </w:p>
    <w:p w14:paraId="56EF33B6" w14:textId="77777777" w:rsidR="00E706D5" w:rsidRPr="00CA6A42" w:rsidRDefault="00E706D5" w:rsidP="00E706D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36052C1C" w14:textId="77777777" w:rsidR="006C647C" w:rsidRPr="00CA6A42" w:rsidRDefault="00E706D5" w:rsidP="006C647C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CA6A42">
        <w:rPr>
          <w:b/>
          <w:color w:val="000000" w:themeColor="text1"/>
          <w:sz w:val="28"/>
          <w:szCs w:val="28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акта </w:t>
      </w:r>
    </w:p>
    <w:p w14:paraId="49983B14" w14:textId="7F7A0024" w:rsidR="006C647C" w:rsidRPr="00CA6A42" w:rsidRDefault="006C647C" w:rsidP="006C647C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>Відстеження результативності дії регуляторного акта буде проводиться за допомогою заходів, спрямованих на оцінку стану впровадження регуляторного акта, шляхом аналізу статистичних показників</w:t>
      </w:r>
      <w:bookmarkStart w:id="1" w:name="n171"/>
      <w:bookmarkStart w:id="2" w:name="n172"/>
      <w:bookmarkEnd w:id="1"/>
      <w:bookmarkEnd w:id="2"/>
      <w:r w:rsidRPr="00CA6A42">
        <w:rPr>
          <w:color w:val="000000" w:themeColor="text1"/>
          <w:sz w:val="28"/>
          <w:szCs w:val="28"/>
          <w:lang w:val="uk-UA"/>
        </w:rPr>
        <w:t>.</w:t>
      </w:r>
    </w:p>
    <w:p w14:paraId="701F410F" w14:textId="4AAEA1EF" w:rsidR="006C647C" w:rsidRPr="00CA6A42" w:rsidRDefault="006C647C" w:rsidP="006C647C">
      <w:pPr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CA6A42">
        <w:rPr>
          <w:color w:val="000000" w:themeColor="text1"/>
          <w:sz w:val="28"/>
          <w:szCs w:val="28"/>
          <w:lang w:val="uk-UA" w:eastAsia="uk-UA"/>
        </w:rPr>
        <w:t>Базове відстеження результативності регуляторного акта буде здійснюватися до кінця календарного року з моменту набрання ним чинності.</w:t>
      </w:r>
    </w:p>
    <w:p w14:paraId="7A0FD1A2" w14:textId="366588CF" w:rsidR="006C647C" w:rsidRPr="00CA6A42" w:rsidRDefault="006C647C" w:rsidP="006C647C">
      <w:pPr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AF75B6">
        <w:rPr>
          <w:color w:val="000000" w:themeColor="text1"/>
          <w:sz w:val="28"/>
          <w:szCs w:val="28"/>
          <w:lang w:val="uk-UA" w:eastAsia="uk-UA"/>
        </w:rPr>
        <w:t>Через рік після набрання чинності регуляторним актом планується здійснити повторне відстеження його результативності, в результаті якого відбудеться порівняння показників базового та повторного відстеження.</w:t>
      </w:r>
      <w:r w:rsidRPr="00CA6A42"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14:paraId="4BEA375A" w14:textId="5312D415" w:rsidR="006C647C" w:rsidRDefault="006C647C" w:rsidP="006C647C">
      <w:pPr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CA6A42">
        <w:rPr>
          <w:color w:val="000000" w:themeColor="text1"/>
          <w:sz w:val="28"/>
          <w:szCs w:val="28"/>
          <w:lang w:val="uk-UA" w:eastAsia="uk-UA"/>
        </w:rPr>
        <w:t xml:space="preserve">Періодичне відстеження результативності регуляторного акта здійснюватиметься раз на три роки, починаючи з дня виконання заходів з повторного відстеження, з метою оцінки ступеня досягнення актом визначених цілей.  </w:t>
      </w:r>
    </w:p>
    <w:p w14:paraId="3D7D1E8A" w14:textId="70AFCB3B" w:rsidR="00AF75B6" w:rsidRPr="00AF75B6" w:rsidRDefault="00170954" w:rsidP="00AF75B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70954">
        <w:rPr>
          <w:color w:val="000000" w:themeColor="text1"/>
          <w:sz w:val="28"/>
          <w:szCs w:val="28"/>
          <w:lang w:val="uk-UA" w:eastAsia="uk-UA"/>
        </w:rPr>
        <w:t xml:space="preserve">Окрім того, </w:t>
      </w:r>
      <w:proofErr w:type="spellStart"/>
      <w:r w:rsidRPr="00170954">
        <w:rPr>
          <w:color w:val="000000" w:themeColor="text1"/>
          <w:sz w:val="28"/>
          <w:szCs w:val="28"/>
          <w:lang w:val="uk-UA" w:eastAsia="uk-UA"/>
        </w:rPr>
        <w:t>проє</w:t>
      </w:r>
      <w:r w:rsidR="00AF75B6" w:rsidRPr="00170954">
        <w:rPr>
          <w:color w:val="000000" w:themeColor="text1"/>
          <w:sz w:val="28"/>
          <w:szCs w:val="28"/>
          <w:lang w:val="uk-UA" w:eastAsia="uk-UA"/>
        </w:rPr>
        <w:t>ктом</w:t>
      </w:r>
      <w:proofErr w:type="spellEnd"/>
      <w:r w:rsidR="00AF75B6" w:rsidRPr="00170954">
        <w:rPr>
          <w:color w:val="000000" w:themeColor="text1"/>
          <w:sz w:val="28"/>
          <w:szCs w:val="28"/>
          <w:lang w:val="uk-UA" w:eastAsia="uk-UA"/>
        </w:rPr>
        <w:t xml:space="preserve"> акта передбачається </w:t>
      </w:r>
      <w:r w:rsidR="00AF75B6" w:rsidRPr="00170954">
        <w:rPr>
          <w:color w:val="000000"/>
          <w:sz w:val="28"/>
          <w:szCs w:val="28"/>
          <w:lang w:val="uk-UA"/>
        </w:rPr>
        <w:t>проведення протягом 2019-2024 рр. Міністерствами та іншими органами виконавчої влади, національними академіями наук, які беруть участь у створенні, закупівлі, трансфері та використанні технологій, моніторингу впливу виплати мінімальних ставок винагороди авторам технологій і особам, які здійснюють їх трансфер, на фінансовий стан підприємств, установ та організацій, що належать до сфери управління органів виконавчої влади та перебувають у віданні національних академій наук.</w:t>
      </w:r>
    </w:p>
    <w:p w14:paraId="735A4924" w14:textId="77777777" w:rsidR="006C647C" w:rsidRPr="00CA6A42" w:rsidRDefault="006C647C" w:rsidP="006C647C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bookmarkStart w:id="3" w:name="n175"/>
      <w:bookmarkEnd w:id="3"/>
      <w:r w:rsidRPr="00CA6A42">
        <w:rPr>
          <w:color w:val="000000" w:themeColor="text1"/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14:paraId="69B4D4EC" w14:textId="1A15690B" w:rsidR="006C647C" w:rsidRPr="00CA6A42" w:rsidRDefault="006C647C" w:rsidP="006C647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 xml:space="preserve">Вид даних, за допомогою яких здійснюватиметься відстеження результативності – статистичні. </w:t>
      </w:r>
    </w:p>
    <w:p w14:paraId="42136D69" w14:textId="4CBAD0EF" w:rsidR="006C647C" w:rsidRDefault="006C647C" w:rsidP="0065119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CA6A42">
        <w:rPr>
          <w:color w:val="000000" w:themeColor="text1"/>
          <w:sz w:val="28"/>
          <w:szCs w:val="28"/>
          <w:shd w:val="clear" w:color="auto" w:fill="FFFFFF"/>
          <w:lang w:val="uk-UA"/>
        </w:rPr>
        <w:t>Відповідні відстеження будуть проводитися МОН шляхом аналізу статистичних даних,</w:t>
      </w:r>
      <w:r w:rsidRPr="00CA6A42">
        <w:rPr>
          <w:color w:val="000000" w:themeColor="text1"/>
          <w:sz w:val="28"/>
          <w:szCs w:val="28"/>
          <w:lang w:val="uk-UA"/>
        </w:rPr>
        <w:t xml:space="preserve"> наданих Державною службою статистики та головними розпорядниками бюджетних коштів.</w:t>
      </w:r>
    </w:p>
    <w:p w14:paraId="0865E7AE" w14:textId="77777777" w:rsidR="00A02E81" w:rsidRPr="00CA6A42" w:rsidRDefault="00A02E81" w:rsidP="00A02E81">
      <w:pPr>
        <w:jc w:val="both"/>
        <w:rPr>
          <w:color w:val="000000" w:themeColor="text1"/>
          <w:sz w:val="28"/>
          <w:szCs w:val="28"/>
          <w:lang w:val="uk-UA"/>
        </w:rPr>
      </w:pPr>
    </w:p>
    <w:p w14:paraId="3ACA8BB7" w14:textId="77777777" w:rsidR="0010252E" w:rsidRDefault="0010252E" w:rsidP="00E706D5">
      <w:pPr>
        <w:jc w:val="both"/>
        <w:rPr>
          <w:color w:val="000000" w:themeColor="text1"/>
          <w:sz w:val="28"/>
          <w:szCs w:val="28"/>
          <w:lang w:val="uk-UA"/>
        </w:rPr>
      </w:pPr>
    </w:p>
    <w:p w14:paraId="08179292" w14:textId="6689428A" w:rsidR="00A02E81" w:rsidRDefault="00651195" w:rsidP="00E706D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Т.в.о. </w:t>
      </w:r>
      <w:r w:rsidR="00E706D5" w:rsidRPr="00CA6A42">
        <w:rPr>
          <w:color w:val="000000" w:themeColor="text1"/>
          <w:sz w:val="28"/>
          <w:szCs w:val="28"/>
          <w:lang w:val="uk-UA"/>
        </w:rPr>
        <w:t>Міністр</w:t>
      </w:r>
      <w:r>
        <w:rPr>
          <w:color w:val="000000" w:themeColor="text1"/>
          <w:sz w:val="28"/>
          <w:szCs w:val="28"/>
          <w:lang w:val="uk-UA"/>
        </w:rPr>
        <w:t>а</w:t>
      </w:r>
      <w:r w:rsidR="00E706D5" w:rsidRPr="00CA6A42">
        <w:rPr>
          <w:color w:val="000000" w:themeColor="text1"/>
          <w:sz w:val="28"/>
          <w:szCs w:val="28"/>
          <w:lang w:val="uk-UA"/>
        </w:rPr>
        <w:t xml:space="preserve"> освіти і науки України </w:t>
      </w:r>
      <w:r w:rsidR="00E706D5" w:rsidRPr="00CA6A42">
        <w:rPr>
          <w:color w:val="000000" w:themeColor="text1"/>
          <w:sz w:val="28"/>
          <w:szCs w:val="28"/>
          <w:lang w:val="uk-UA"/>
        </w:rPr>
        <w:tab/>
      </w:r>
      <w:r w:rsidR="00E706D5" w:rsidRPr="00CA6A42">
        <w:rPr>
          <w:color w:val="000000" w:themeColor="text1"/>
          <w:sz w:val="28"/>
          <w:szCs w:val="28"/>
          <w:lang w:val="uk-UA"/>
        </w:rPr>
        <w:tab/>
      </w:r>
      <w:r w:rsidR="00E706D5" w:rsidRPr="00CA6A42">
        <w:rPr>
          <w:color w:val="000000" w:themeColor="text1"/>
          <w:sz w:val="28"/>
          <w:szCs w:val="28"/>
          <w:lang w:val="uk-UA"/>
        </w:rPr>
        <w:tab/>
      </w:r>
      <w:r w:rsidR="00E706D5" w:rsidRPr="00CA6A42">
        <w:rPr>
          <w:color w:val="000000" w:themeColor="text1"/>
          <w:sz w:val="28"/>
          <w:szCs w:val="28"/>
          <w:lang w:val="uk-UA"/>
        </w:rPr>
        <w:tab/>
      </w:r>
      <w:r w:rsidR="00E706D5" w:rsidRPr="00CA6A42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Павло Хобзей</w:t>
      </w:r>
    </w:p>
    <w:p w14:paraId="476A05D5" w14:textId="090D9205" w:rsidR="00A02E81" w:rsidRDefault="00A02E81" w:rsidP="00E706D5">
      <w:pPr>
        <w:jc w:val="both"/>
        <w:rPr>
          <w:color w:val="000000" w:themeColor="text1"/>
          <w:sz w:val="28"/>
          <w:szCs w:val="28"/>
          <w:lang w:val="uk-UA"/>
        </w:rPr>
      </w:pPr>
    </w:p>
    <w:p w14:paraId="06EDA96C" w14:textId="075EAE52" w:rsidR="0010252E" w:rsidRPr="00CA6A42" w:rsidRDefault="0010252E" w:rsidP="00E706D5">
      <w:pPr>
        <w:jc w:val="both"/>
        <w:rPr>
          <w:color w:val="000000" w:themeColor="text1"/>
          <w:sz w:val="28"/>
          <w:szCs w:val="28"/>
          <w:lang w:val="uk-UA"/>
        </w:rPr>
      </w:pPr>
    </w:p>
    <w:p w14:paraId="12861CC9" w14:textId="4C5C224B" w:rsidR="00394229" w:rsidRPr="00CA6A42" w:rsidRDefault="00E706D5" w:rsidP="00363E3C">
      <w:pPr>
        <w:jc w:val="both"/>
        <w:rPr>
          <w:color w:val="000000" w:themeColor="text1"/>
          <w:sz w:val="28"/>
          <w:szCs w:val="28"/>
          <w:lang w:val="uk-UA"/>
        </w:rPr>
      </w:pPr>
      <w:r w:rsidRPr="00CA6A42">
        <w:rPr>
          <w:color w:val="000000" w:themeColor="text1"/>
          <w:sz w:val="28"/>
          <w:szCs w:val="28"/>
          <w:lang w:val="uk-UA"/>
        </w:rPr>
        <w:t xml:space="preserve">«__» ___________ </w:t>
      </w:r>
      <w:r w:rsidR="006C647C" w:rsidRPr="00CA6A42">
        <w:rPr>
          <w:color w:val="000000" w:themeColor="text1"/>
          <w:sz w:val="28"/>
          <w:szCs w:val="28"/>
          <w:lang w:val="uk-UA"/>
        </w:rPr>
        <w:t>2019</w:t>
      </w:r>
      <w:r w:rsidRPr="00CA6A42">
        <w:rPr>
          <w:color w:val="000000" w:themeColor="text1"/>
          <w:sz w:val="28"/>
          <w:szCs w:val="28"/>
          <w:lang w:val="uk-UA"/>
        </w:rPr>
        <w:t xml:space="preserve"> року</w:t>
      </w:r>
    </w:p>
    <w:sectPr w:rsidR="00394229" w:rsidRPr="00CA6A42" w:rsidSect="006511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7AD"/>
    <w:multiLevelType w:val="hybridMultilevel"/>
    <w:tmpl w:val="FFDE6C60"/>
    <w:lvl w:ilvl="0" w:tplc="470AAC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F6047"/>
    <w:multiLevelType w:val="hybridMultilevel"/>
    <w:tmpl w:val="132243DC"/>
    <w:lvl w:ilvl="0" w:tplc="508216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2603D"/>
    <w:multiLevelType w:val="hybridMultilevel"/>
    <w:tmpl w:val="6D827C1E"/>
    <w:lvl w:ilvl="0" w:tplc="9ABC9772">
      <w:start w:val="2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444B5"/>
    <w:multiLevelType w:val="hybridMultilevel"/>
    <w:tmpl w:val="B25C1F46"/>
    <w:lvl w:ilvl="0" w:tplc="CB1EF28E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 w15:restartNumberingAfterBreak="0">
    <w:nsid w:val="7F4F4DA4"/>
    <w:multiLevelType w:val="hybridMultilevel"/>
    <w:tmpl w:val="1C485D04"/>
    <w:lvl w:ilvl="0" w:tplc="34D89008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74"/>
    <w:rsid w:val="00010305"/>
    <w:rsid w:val="0003053B"/>
    <w:rsid w:val="00075480"/>
    <w:rsid w:val="00095493"/>
    <w:rsid w:val="00095EC0"/>
    <w:rsid w:val="000C0769"/>
    <w:rsid w:val="000D0036"/>
    <w:rsid w:val="000E5130"/>
    <w:rsid w:val="000F59F9"/>
    <w:rsid w:val="0010252E"/>
    <w:rsid w:val="0016368C"/>
    <w:rsid w:val="00170954"/>
    <w:rsid w:val="001A0597"/>
    <w:rsid w:val="001A08F7"/>
    <w:rsid w:val="001A4442"/>
    <w:rsid w:val="001A58B3"/>
    <w:rsid w:val="001F50BA"/>
    <w:rsid w:val="0025487D"/>
    <w:rsid w:val="00260401"/>
    <w:rsid w:val="002A1454"/>
    <w:rsid w:val="00323544"/>
    <w:rsid w:val="00343F19"/>
    <w:rsid w:val="00363E3C"/>
    <w:rsid w:val="00374405"/>
    <w:rsid w:val="003909D3"/>
    <w:rsid w:val="00394229"/>
    <w:rsid w:val="003C4F9B"/>
    <w:rsid w:val="004123CC"/>
    <w:rsid w:val="0042666F"/>
    <w:rsid w:val="004C3291"/>
    <w:rsid w:val="00536711"/>
    <w:rsid w:val="0054392E"/>
    <w:rsid w:val="00543F79"/>
    <w:rsid w:val="005626B8"/>
    <w:rsid w:val="00591155"/>
    <w:rsid w:val="00651195"/>
    <w:rsid w:val="00651A4E"/>
    <w:rsid w:val="00685BB7"/>
    <w:rsid w:val="006A73E7"/>
    <w:rsid w:val="006B6B5B"/>
    <w:rsid w:val="006C647C"/>
    <w:rsid w:val="007725C8"/>
    <w:rsid w:val="007B053D"/>
    <w:rsid w:val="0088651C"/>
    <w:rsid w:val="00917CBE"/>
    <w:rsid w:val="009331BC"/>
    <w:rsid w:val="009458DA"/>
    <w:rsid w:val="00946B3D"/>
    <w:rsid w:val="009712CF"/>
    <w:rsid w:val="009A6B81"/>
    <w:rsid w:val="009F1E2D"/>
    <w:rsid w:val="00A02E81"/>
    <w:rsid w:val="00A26E40"/>
    <w:rsid w:val="00AC4474"/>
    <w:rsid w:val="00AE19FF"/>
    <w:rsid w:val="00AF2746"/>
    <w:rsid w:val="00AF75B6"/>
    <w:rsid w:val="00B2581D"/>
    <w:rsid w:val="00B56949"/>
    <w:rsid w:val="00B863D8"/>
    <w:rsid w:val="00B865F3"/>
    <w:rsid w:val="00C0409B"/>
    <w:rsid w:val="00C21F6E"/>
    <w:rsid w:val="00C44A2B"/>
    <w:rsid w:val="00C76BAC"/>
    <w:rsid w:val="00C82BAD"/>
    <w:rsid w:val="00C95F5E"/>
    <w:rsid w:val="00CA6A42"/>
    <w:rsid w:val="00CC3853"/>
    <w:rsid w:val="00CD2112"/>
    <w:rsid w:val="00CE32F6"/>
    <w:rsid w:val="00CE4EA3"/>
    <w:rsid w:val="00D33EF6"/>
    <w:rsid w:val="00D5620C"/>
    <w:rsid w:val="00D62527"/>
    <w:rsid w:val="00DA490B"/>
    <w:rsid w:val="00E37263"/>
    <w:rsid w:val="00E706D5"/>
    <w:rsid w:val="00EB3A88"/>
    <w:rsid w:val="00F35F71"/>
    <w:rsid w:val="00F82DDD"/>
    <w:rsid w:val="00FA460E"/>
    <w:rsid w:val="00FB5521"/>
    <w:rsid w:val="00FE3CBE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41BD"/>
  <w15:docId w15:val="{7D2D96A9-7071-4977-BCC3-ED41F598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qFormat/>
    <w:rsid w:val="009712C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6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06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706D5"/>
    <w:rPr>
      <w:b/>
      <w:bCs/>
    </w:rPr>
  </w:style>
  <w:style w:type="paragraph" w:styleId="a6">
    <w:name w:val="List Paragraph"/>
    <w:basedOn w:val="a"/>
    <w:uiPriority w:val="34"/>
    <w:qFormat/>
    <w:rsid w:val="00E706D5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7">
    <w:name w:val="Table Grid"/>
    <w:basedOn w:val="a1"/>
    <w:uiPriority w:val="59"/>
    <w:rsid w:val="00E706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nhideWhenUsed/>
    <w:rsid w:val="00E706D5"/>
    <w:rPr>
      <w:sz w:val="16"/>
      <w:szCs w:val="16"/>
    </w:rPr>
  </w:style>
  <w:style w:type="paragraph" w:styleId="a9">
    <w:name w:val="annotation text"/>
    <w:basedOn w:val="a"/>
    <w:link w:val="aa"/>
    <w:unhideWhenUsed/>
    <w:rsid w:val="00E706D5"/>
  </w:style>
  <w:style w:type="character" w:customStyle="1" w:styleId="aa">
    <w:name w:val="Текст примітки Знак"/>
    <w:basedOn w:val="a0"/>
    <w:link w:val="a9"/>
    <w:rsid w:val="00E706D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706D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706D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331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331BC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46B3D"/>
    <w:rPr>
      <w:b/>
      <w:bCs/>
    </w:rPr>
  </w:style>
  <w:style w:type="character" w:customStyle="1" w:styleId="ae">
    <w:name w:val="Тема примітки Знак"/>
    <w:basedOn w:val="aa"/>
    <w:link w:val="ad"/>
    <w:uiPriority w:val="99"/>
    <w:semiHidden/>
    <w:rsid w:val="00946B3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9712CF"/>
    <w:rPr>
      <w:rFonts w:ascii="Times New Roman" w:eastAsia="Calibri" w:hAnsi="Times New Roman" w:cs="Times New Roman"/>
      <w:b/>
      <w:bCs/>
      <w:sz w:val="27"/>
      <w:szCs w:val="27"/>
      <w:lang w:eastAsia="uk-UA"/>
    </w:rPr>
  </w:style>
  <w:style w:type="paragraph" w:styleId="af">
    <w:name w:val="header"/>
    <w:basedOn w:val="a"/>
    <w:link w:val="af0"/>
    <w:uiPriority w:val="99"/>
    <w:semiHidden/>
    <w:unhideWhenUsed/>
    <w:rsid w:val="006C647C"/>
    <w:pPr>
      <w:widowControl/>
      <w:tabs>
        <w:tab w:val="center" w:pos="4819"/>
        <w:tab w:val="right" w:pos="9639"/>
      </w:tabs>
      <w:autoSpaceDE/>
      <w:autoSpaceDN/>
      <w:adjustRightInd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0">
    <w:name w:val="Верхній колонтитул Знак"/>
    <w:basedOn w:val="a0"/>
    <w:link w:val="af"/>
    <w:uiPriority w:val="99"/>
    <w:semiHidden/>
    <w:rsid w:val="006C64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EE5D-D30B-45CB-9E6C-4E441CC5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11225</Words>
  <Characters>6399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Petrovskiy A.I.</dc:creator>
  <cp:keywords/>
  <dc:description/>
  <cp:lastModifiedBy>Petrovskiy A.I.</cp:lastModifiedBy>
  <cp:revision>12</cp:revision>
  <cp:lastPrinted>2019-07-12T08:05:00Z</cp:lastPrinted>
  <dcterms:created xsi:type="dcterms:W3CDTF">2019-06-10T14:11:00Z</dcterms:created>
  <dcterms:modified xsi:type="dcterms:W3CDTF">2019-07-19T11:38:00Z</dcterms:modified>
</cp:coreProperties>
</file>