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3" w:rsidRPr="002F4822" w:rsidRDefault="00477723" w:rsidP="00D735C8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0"/>
      </w:pPr>
      <w:bookmarkStart w:id="0" w:name="bookmark0"/>
      <w:r w:rsidRPr="002F4822">
        <w:t>Аналіз</w:t>
      </w:r>
      <w:bookmarkEnd w:id="0"/>
    </w:p>
    <w:p w:rsidR="00A87904" w:rsidRPr="002F4822" w:rsidRDefault="002F4822" w:rsidP="006B3AE2">
      <w:pPr>
        <w:pStyle w:val="a3"/>
        <w:ind w:right="-1" w:firstLine="709"/>
        <w:jc w:val="center"/>
        <w:rPr>
          <w:b/>
          <w:sz w:val="28"/>
          <w:szCs w:val="28"/>
        </w:rPr>
      </w:pPr>
      <w:r w:rsidRPr="002F4822">
        <w:rPr>
          <w:b/>
          <w:sz w:val="28"/>
          <w:szCs w:val="28"/>
        </w:rPr>
        <w:t>регуляторного впливу проє</w:t>
      </w:r>
      <w:r w:rsidR="00477723" w:rsidRPr="002F4822">
        <w:rPr>
          <w:b/>
          <w:sz w:val="28"/>
          <w:szCs w:val="28"/>
        </w:rPr>
        <w:t xml:space="preserve">кту наказу Міністерства освіти і науки України </w:t>
      </w:r>
      <w:r w:rsidR="00A87904" w:rsidRPr="002F4822">
        <w:rPr>
          <w:b/>
          <w:sz w:val="28"/>
          <w:szCs w:val="28"/>
        </w:rPr>
        <w:t>«</w:t>
      </w:r>
      <w:r w:rsidR="00A87904" w:rsidRPr="002F4822">
        <w:rPr>
          <w:rFonts w:eastAsia="Times New Roman"/>
          <w:b/>
          <w:bCs/>
          <w:sz w:val="28"/>
          <w:szCs w:val="28"/>
          <w:lang w:eastAsia="ru-RU"/>
        </w:rPr>
        <w:t xml:space="preserve">Про </w:t>
      </w:r>
      <w:r w:rsidR="00A87904" w:rsidRPr="002F4822">
        <w:rPr>
          <w:b/>
          <w:sz w:val="28"/>
          <w:szCs w:val="28"/>
        </w:rPr>
        <w:t xml:space="preserve">затвердження Порядку </w:t>
      </w:r>
      <w:r w:rsidR="006B3AE2" w:rsidRPr="002F4822">
        <w:rPr>
          <w:b/>
          <w:sz w:val="28"/>
          <w:szCs w:val="28"/>
        </w:rPr>
        <w:t>конкурсного відбору 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</w:t>
      </w:r>
      <w:r w:rsidR="00A87904" w:rsidRPr="002F4822">
        <w:rPr>
          <w:b/>
          <w:sz w:val="28"/>
          <w:szCs w:val="28"/>
        </w:rPr>
        <w:t>»</w:t>
      </w:r>
    </w:p>
    <w:p w:rsidR="00CA56E6" w:rsidRPr="002F4822" w:rsidRDefault="00CA56E6" w:rsidP="006B3AE2">
      <w:pPr>
        <w:pStyle w:val="30"/>
        <w:shd w:val="clear" w:color="auto" w:fill="auto"/>
        <w:tabs>
          <w:tab w:val="left" w:pos="851"/>
        </w:tabs>
        <w:spacing w:after="0" w:line="240" w:lineRule="auto"/>
        <w:ind w:firstLine="0"/>
      </w:pPr>
    </w:p>
    <w:p w:rsidR="00F32CA3" w:rsidRPr="002F4822" w:rsidRDefault="00477723" w:rsidP="00D93BE2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40" w:lineRule="auto"/>
        <w:ind w:left="3380" w:firstLine="0"/>
        <w:jc w:val="both"/>
      </w:pPr>
      <w:bookmarkStart w:id="1" w:name="bookmark1"/>
      <w:r w:rsidRPr="002F4822">
        <w:t>І.</w:t>
      </w:r>
      <w:r w:rsidRPr="002F4822">
        <w:tab/>
        <w:t>Визначення проблеми</w:t>
      </w:r>
      <w:bookmarkEnd w:id="1"/>
    </w:p>
    <w:p w:rsidR="00B83622" w:rsidRPr="002F4822" w:rsidRDefault="00815C91" w:rsidP="00B83622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Style w:val="rvts23"/>
          <w:b w:val="0"/>
          <w:bCs w:val="0"/>
          <w:color w:val="000000"/>
        </w:rPr>
      </w:pPr>
      <w:r>
        <w:rPr>
          <w:rStyle w:val="rvts23"/>
          <w:b w:val="0"/>
          <w:bCs w:val="0"/>
          <w:color w:val="000000"/>
        </w:rPr>
        <w:t>Постановою Кабінету</w:t>
      </w:r>
      <w:r w:rsidR="00B83622" w:rsidRPr="002F4822">
        <w:rPr>
          <w:rStyle w:val="rvts23"/>
          <w:b w:val="0"/>
          <w:bCs w:val="0"/>
          <w:color w:val="000000"/>
        </w:rPr>
        <w:t xml:space="preserve"> Міністрів України </w:t>
      </w:r>
      <w:r w:rsidRPr="00815C91">
        <w:rPr>
          <w:rStyle w:val="rvts23"/>
          <w:b w:val="0"/>
          <w:bCs w:val="0"/>
          <w:color w:val="000000"/>
        </w:rPr>
        <w:t>від 23 січня 2019 року № 41</w:t>
      </w:r>
      <w:r>
        <w:rPr>
          <w:rStyle w:val="rvts23"/>
          <w:b w:val="0"/>
          <w:bCs w:val="0"/>
          <w:color w:val="000000"/>
        </w:rPr>
        <w:t xml:space="preserve"> було </w:t>
      </w:r>
      <w:r w:rsidRPr="00815C91">
        <w:rPr>
          <w:rStyle w:val="rvts23"/>
          <w:b w:val="0"/>
          <w:bCs w:val="0"/>
          <w:color w:val="000000"/>
        </w:rPr>
        <w:t>затверджено Порядок забезпечення підручниками та посібниками здобувачів повної загальної середньої освіти і педагогічних працівників</w:t>
      </w:r>
      <w:r>
        <w:rPr>
          <w:rStyle w:val="rvts23"/>
          <w:b w:val="0"/>
          <w:bCs w:val="0"/>
          <w:color w:val="000000"/>
        </w:rPr>
        <w:t xml:space="preserve"> Порядком  передбачено, що </w:t>
      </w:r>
      <w:r w:rsidR="00B83622" w:rsidRPr="002F4822">
        <w:rPr>
          <w:rStyle w:val="rvts23"/>
          <w:b w:val="0"/>
          <w:bCs w:val="0"/>
          <w:color w:val="000000"/>
        </w:rPr>
        <w:t xml:space="preserve">забезпечення </w:t>
      </w:r>
      <w:r>
        <w:rPr>
          <w:rStyle w:val="rvts23"/>
          <w:b w:val="0"/>
          <w:bCs w:val="0"/>
          <w:color w:val="000000"/>
        </w:rPr>
        <w:t xml:space="preserve">державою </w:t>
      </w:r>
      <w:r w:rsidR="00B83622" w:rsidRPr="002F4822">
        <w:rPr>
          <w:rStyle w:val="rvts23"/>
          <w:b w:val="0"/>
          <w:bCs w:val="0"/>
          <w:color w:val="000000"/>
        </w:rPr>
        <w:t>здобувачів повної загальної середньої освіти і педагогічних працівників</w:t>
      </w:r>
      <w:r w:rsidR="00F32CA3" w:rsidRPr="002F4822">
        <w:rPr>
          <w:rStyle w:val="rvts23"/>
          <w:b w:val="0"/>
          <w:bCs w:val="0"/>
          <w:color w:val="000000"/>
        </w:rPr>
        <w:t xml:space="preserve"> підручниками та посібниками здійснюється </w:t>
      </w:r>
      <w:r w:rsidR="00FA1E79" w:rsidRPr="002F4822">
        <w:rPr>
          <w:rStyle w:val="rvts23"/>
          <w:b w:val="0"/>
          <w:bCs w:val="0"/>
          <w:color w:val="000000"/>
        </w:rPr>
        <w:t>за результатами</w:t>
      </w:r>
      <w:r w:rsidR="00F32CA3" w:rsidRPr="002F4822">
        <w:rPr>
          <w:rStyle w:val="rvts23"/>
          <w:b w:val="0"/>
          <w:bCs w:val="0"/>
          <w:color w:val="000000"/>
        </w:rPr>
        <w:t xml:space="preserve"> конкурсного відбору, за організацію та проведення якого відповідає Міністерство освіти і науки України.</w:t>
      </w:r>
      <w:r w:rsidR="0098645F" w:rsidRPr="002F4822">
        <w:rPr>
          <w:rStyle w:val="rvts23"/>
          <w:b w:val="0"/>
          <w:bCs w:val="0"/>
          <w:color w:val="000000"/>
        </w:rPr>
        <w:t xml:space="preserve"> </w:t>
      </w:r>
    </w:p>
    <w:p w:rsidR="0098645F" w:rsidRPr="002F4822" w:rsidRDefault="00C56EBF" w:rsidP="00B83622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Style w:val="rvts23"/>
          <w:b w:val="0"/>
          <w:bCs w:val="0"/>
          <w:color w:val="000000"/>
        </w:rPr>
      </w:pPr>
      <w:r w:rsidRPr="0025558A">
        <w:rPr>
          <w:rStyle w:val="rvts23"/>
          <w:b w:val="0"/>
          <w:bCs w:val="0"/>
          <w:color w:val="000000"/>
        </w:rPr>
        <w:t xml:space="preserve">За </w:t>
      </w:r>
      <w:r w:rsidR="00815C91" w:rsidRPr="0025558A">
        <w:rPr>
          <w:rStyle w:val="rvts23"/>
          <w:b w:val="0"/>
          <w:bCs w:val="0"/>
          <w:color w:val="000000"/>
        </w:rPr>
        <w:t>семантичним значенням</w:t>
      </w:r>
      <w:r w:rsidR="0025558A" w:rsidRPr="0025558A">
        <w:rPr>
          <w:rStyle w:val="rvts23"/>
          <w:b w:val="0"/>
          <w:bCs w:val="0"/>
          <w:color w:val="000000"/>
        </w:rPr>
        <w:t xml:space="preserve"> </w:t>
      </w:r>
      <w:r w:rsidRPr="0025558A">
        <w:rPr>
          <w:rStyle w:val="rvts23"/>
          <w:b w:val="0"/>
          <w:bCs w:val="0"/>
          <w:color w:val="000000"/>
        </w:rPr>
        <w:t xml:space="preserve">«конкурсний відбір» </w:t>
      </w:r>
      <w:r w:rsidR="003071CE" w:rsidRPr="0025558A">
        <w:rPr>
          <w:rStyle w:val="rvts23"/>
          <w:b w:val="0"/>
          <w:bCs w:val="0"/>
          <w:color w:val="000000"/>
        </w:rPr>
        <w:t>є</w:t>
      </w:r>
      <w:r w:rsidR="00BF2B3C" w:rsidRPr="0025558A">
        <w:rPr>
          <w:rStyle w:val="rvts23"/>
          <w:b w:val="0"/>
          <w:bCs w:val="0"/>
          <w:color w:val="000000"/>
        </w:rPr>
        <w:t xml:space="preserve"> </w:t>
      </w:r>
      <w:r w:rsidR="00F00AB9" w:rsidRPr="0025558A">
        <w:rPr>
          <w:rStyle w:val="rvts23"/>
          <w:b w:val="0"/>
          <w:bCs w:val="0"/>
          <w:color w:val="000000"/>
        </w:rPr>
        <w:t>ді</w:t>
      </w:r>
      <w:r w:rsidR="005F1F72" w:rsidRPr="0025558A">
        <w:rPr>
          <w:rStyle w:val="rvts23"/>
          <w:b w:val="0"/>
          <w:bCs w:val="0"/>
          <w:color w:val="000000"/>
        </w:rPr>
        <w:t>єю</w:t>
      </w:r>
      <w:r w:rsidR="00F00AB9" w:rsidRPr="0025558A">
        <w:rPr>
          <w:rStyle w:val="rvts23"/>
          <w:b w:val="0"/>
          <w:bCs w:val="0"/>
          <w:color w:val="000000"/>
        </w:rPr>
        <w:t xml:space="preserve"> </w:t>
      </w:r>
      <w:r w:rsidR="00BF2B3C" w:rsidRPr="0025558A">
        <w:rPr>
          <w:rStyle w:val="rvts23"/>
          <w:b w:val="0"/>
          <w:bCs w:val="0"/>
          <w:color w:val="000000"/>
        </w:rPr>
        <w:t>певних</w:t>
      </w:r>
      <w:r w:rsidR="005F1F72" w:rsidRPr="0025558A">
        <w:rPr>
          <w:rStyle w:val="rvts23"/>
          <w:b w:val="0"/>
          <w:bCs w:val="0"/>
          <w:color w:val="000000"/>
        </w:rPr>
        <w:t xml:space="preserve"> осіб, направленою</w:t>
      </w:r>
      <w:r w:rsidR="00815C91" w:rsidRPr="0025558A">
        <w:rPr>
          <w:rStyle w:val="rvts23"/>
          <w:b w:val="0"/>
          <w:bCs w:val="0"/>
          <w:color w:val="000000"/>
        </w:rPr>
        <w:t xml:space="preserve"> на обрання з-</w:t>
      </w:r>
      <w:r w:rsidR="00BF2B3C" w:rsidRPr="0025558A">
        <w:rPr>
          <w:rStyle w:val="rvts23"/>
          <w:b w:val="0"/>
          <w:bCs w:val="0"/>
          <w:color w:val="000000"/>
        </w:rPr>
        <w:t>поміж його учасників</w:t>
      </w:r>
      <w:r w:rsidR="008C5874" w:rsidRPr="0025558A">
        <w:rPr>
          <w:rStyle w:val="rvts23"/>
          <w:b w:val="0"/>
          <w:bCs w:val="0"/>
          <w:color w:val="000000"/>
        </w:rPr>
        <w:t xml:space="preserve"> або певних об’</w:t>
      </w:r>
      <w:r w:rsidR="005F1F72" w:rsidRPr="0025558A">
        <w:rPr>
          <w:rStyle w:val="rvts23"/>
          <w:b w:val="0"/>
          <w:bCs w:val="0"/>
          <w:color w:val="000000"/>
        </w:rPr>
        <w:t>єктів, що подані для проведення відбору</w:t>
      </w:r>
      <w:r w:rsidR="003071CE" w:rsidRPr="0025558A">
        <w:rPr>
          <w:rStyle w:val="rvts23"/>
          <w:b w:val="0"/>
          <w:bCs w:val="0"/>
          <w:color w:val="000000"/>
        </w:rPr>
        <w:t xml:space="preserve">, найкращого (найкращих). </w:t>
      </w:r>
      <w:r w:rsidR="005F1F72" w:rsidRPr="0025558A">
        <w:rPr>
          <w:rStyle w:val="rvts23"/>
          <w:b w:val="0"/>
          <w:bCs w:val="0"/>
          <w:color w:val="000000"/>
        </w:rPr>
        <w:t>Конкурсний відбір передбачає змагальність.</w:t>
      </w:r>
    </w:p>
    <w:p w:rsidR="00AE5216" w:rsidRPr="0025558A" w:rsidRDefault="00EB2627" w:rsidP="005F1F72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Style w:val="rvts23"/>
          <w:b w:val="0"/>
          <w:bCs w:val="0"/>
          <w:color w:val="000000"/>
        </w:rPr>
      </w:pPr>
      <w:r w:rsidRPr="002F4822">
        <w:rPr>
          <w:rStyle w:val="rvts23"/>
          <w:b w:val="0"/>
          <w:bCs w:val="0"/>
          <w:color w:val="000000"/>
        </w:rPr>
        <w:t xml:space="preserve">Прозорість, об’єктивність і неупередженість </w:t>
      </w:r>
      <w:r w:rsidR="005F1F72" w:rsidRPr="002F4822">
        <w:rPr>
          <w:rStyle w:val="rvts23"/>
          <w:b w:val="0"/>
          <w:bCs w:val="0"/>
          <w:color w:val="000000"/>
        </w:rPr>
        <w:t xml:space="preserve">конкурсного відбору </w:t>
      </w:r>
      <w:r w:rsidR="005E40A2" w:rsidRPr="002F4822">
        <w:rPr>
          <w:rStyle w:val="rvts23"/>
          <w:b w:val="0"/>
          <w:bCs w:val="0"/>
          <w:color w:val="000000"/>
        </w:rPr>
        <w:t>важко</w:t>
      </w:r>
      <w:r w:rsidRPr="002F4822">
        <w:rPr>
          <w:rStyle w:val="rvts23"/>
          <w:b w:val="0"/>
          <w:bCs w:val="0"/>
          <w:color w:val="000000"/>
        </w:rPr>
        <w:t xml:space="preserve"> забе</w:t>
      </w:r>
      <w:r w:rsidR="00A97679">
        <w:rPr>
          <w:rStyle w:val="rvts23"/>
          <w:b w:val="0"/>
          <w:bCs w:val="0"/>
          <w:color w:val="000000"/>
        </w:rPr>
        <w:t>з</w:t>
      </w:r>
      <w:r w:rsidR="00936E6F">
        <w:rPr>
          <w:rStyle w:val="rvts23"/>
          <w:b w:val="0"/>
          <w:bCs w:val="0"/>
          <w:color w:val="000000"/>
        </w:rPr>
        <w:t xml:space="preserve">печити без встановлення </w:t>
      </w:r>
      <w:r w:rsidR="00936E6F" w:rsidRPr="0025558A">
        <w:rPr>
          <w:rStyle w:val="rvts23"/>
          <w:b w:val="0"/>
          <w:bCs w:val="0"/>
          <w:color w:val="000000"/>
        </w:rPr>
        <w:t xml:space="preserve">чітких та </w:t>
      </w:r>
      <w:r w:rsidR="00391661" w:rsidRPr="0025558A">
        <w:rPr>
          <w:rStyle w:val="rvts23"/>
          <w:b w:val="0"/>
          <w:bCs w:val="0"/>
          <w:color w:val="000000"/>
        </w:rPr>
        <w:t xml:space="preserve">зрозумілих </w:t>
      </w:r>
      <w:r w:rsidRPr="0025558A">
        <w:rPr>
          <w:rStyle w:val="rvts23"/>
          <w:b w:val="0"/>
          <w:bCs w:val="0"/>
          <w:color w:val="000000"/>
        </w:rPr>
        <w:t>процедур</w:t>
      </w:r>
      <w:r w:rsidR="00AA5F8A" w:rsidRPr="0025558A">
        <w:rPr>
          <w:rStyle w:val="rvts23"/>
          <w:b w:val="0"/>
          <w:bCs w:val="0"/>
          <w:color w:val="000000"/>
        </w:rPr>
        <w:t>. Наслідком неналежного відбору</w:t>
      </w:r>
      <w:r w:rsidR="005E40A2" w:rsidRPr="0025558A">
        <w:rPr>
          <w:rStyle w:val="rvts23"/>
          <w:b w:val="0"/>
          <w:bCs w:val="0"/>
          <w:color w:val="000000"/>
        </w:rPr>
        <w:t xml:space="preserve"> підручників та посібників</w:t>
      </w:r>
      <w:r w:rsidR="00AA5F8A" w:rsidRPr="0025558A">
        <w:rPr>
          <w:rStyle w:val="rvts23"/>
          <w:b w:val="0"/>
          <w:bCs w:val="0"/>
          <w:color w:val="000000"/>
        </w:rPr>
        <w:t xml:space="preserve"> може стати завд</w:t>
      </w:r>
      <w:r w:rsidR="0008182F" w:rsidRPr="0025558A">
        <w:rPr>
          <w:rStyle w:val="rvts23"/>
          <w:b w:val="0"/>
          <w:bCs w:val="0"/>
          <w:color w:val="000000"/>
        </w:rPr>
        <w:t>ання шкоди правам здобувачів освіти і педагогічних працівників, а також нераціональне та неефективне використання коштів державного бюджету.</w:t>
      </w:r>
    </w:p>
    <w:p w:rsidR="00AE5216" w:rsidRPr="0025558A" w:rsidRDefault="00AE5216" w:rsidP="00405112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Style w:val="rvts23"/>
          <w:b w:val="0"/>
          <w:bCs w:val="0"/>
        </w:rPr>
      </w:pPr>
      <w:r w:rsidRPr="0025558A">
        <w:rPr>
          <w:rStyle w:val="rvts23"/>
          <w:b w:val="0"/>
          <w:bCs w:val="0"/>
          <w:color w:val="000000"/>
        </w:rPr>
        <w:t>З огляду на це,</w:t>
      </w:r>
      <w:r w:rsidR="00875F3F" w:rsidRPr="0025558A">
        <w:rPr>
          <w:rStyle w:val="rvts23"/>
          <w:b w:val="0"/>
          <w:bCs w:val="0"/>
          <w:color w:val="000000"/>
        </w:rPr>
        <w:t xml:space="preserve"> виникла необхідність </w:t>
      </w:r>
      <w:r w:rsidRPr="0025558A">
        <w:rPr>
          <w:rStyle w:val="rvts23"/>
          <w:b w:val="0"/>
          <w:bCs w:val="0"/>
          <w:color w:val="000000"/>
        </w:rPr>
        <w:t>за</w:t>
      </w:r>
      <w:r w:rsidR="006635E0" w:rsidRPr="0025558A">
        <w:rPr>
          <w:rStyle w:val="rvts23"/>
          <w:b w:val="0"/>
          <w:bCs w:val="0"/>
          <w:color w:val="000000"/>
        </w:rPr>
        <w:t>кріпити</w:t>
      </w:r>
      <w:r w:rsidR="00875F3F" w:rsidRPr="0025558A">
        <w:rPr>
          <w:rStyle w:val="rvts23"/>
          <w:b w:val="0"/>
          <w:bCs w:val="0"/>
          <w:color w:val="000000"/>
        </w:rPr>
        <w:t xml:space="preserve"> </w:t>
      </w:r>
      <w:r w:rsidRPr="0025558A">
        <w:rPr>
          <w:rStyle w:val="rvts23"/>
          <w:b w:val="0"/>
          <w:bCs w:val="0"/>
          <w:color w:val="000000"/>
        </w:rPr>
        <w:t xml:space="preserve">на рівні відомчого нормативно-правового акта </w:t>
      </w:r>
      <w:r w:rsidR="006635E0" w:rsidRPr="0025558A">
        <w:rPr>
          <w:rStyle w:val="rvts23"/>
          <w:b w:val="0"/>
          <w:bCs w:val="0"/>
          <w:color w:val="000000"/>
        </w:rPr>
        <w:t>механізм</w:t>
      </w:r>
      <w:r w:rsidRPr="0025558A">
        <w:rPr>
          <w:rStyle w:val="rvts23"/>
          <w:b w:val="0"/>
          <w:bCs w:val="0"/>
          <w:color w:val="000000"/>
        </w:rPr>
        <w:t xml:space="preserve"> проведення конкурсного відбору і правил, якими мають кер</w:t>
      </w:r>
      <w:r w:rsidR="00875F3F" w:rsidRPr="0025558A">
        <w:rPr>
          <w:rStyle w:val="rvts23"/>
          <w:b w:val="0"/>
          <w:bCs w:val="0"/>
          <w:color w:val="000000"/>
        </w:rPr>
        <w:t>ув</w:t>
      </w:r>
      <w:r w:rsidR="001F3D0E" w:rsidRPr="0025558A">
        <w:rPr>
          <w:rStyle w:val="rvts23"/>
          <w:b w:val="0"/>
          <w:bCs w:val="0"/>
          <w:color w:val="000000"/>
        </w:rPr>
        <w:t xml:space="preserve">атися задіянні в ньому особи, зокрема для </w:t>
      </w:r>
      <w:r w:rsidR="000279FB" w:rsidRPr="0025558A">
        <w:rPr>
          <w:rStyle w:val="rvts23"/>
          <w:b w:val="0"/>
          <w:bCs w:val="0"/>
          <w:color w:val="000000"/>
        </w:rPr>
        <w:t xml:space="preserve">забезпечення </w:t>
      </w:r>
      <w:r w:rsidR="00405112" w:rsidRPr="0025558A">
        <w:rPr>
          <w:rStyle w:val="rvts23"/>
          <w:b w:val="0"/>
          <w:bCs w:val="0"/>
          <w:color w:val="000000"/>
        </w:rPr>
        <w:t>прозорості</w:t>
      </w:r>
      <w:r w:rsidR="000279FB" w:rsidRPr="0025558A">
        <w:rPr>
          <w:rStyle w:val="rvts23"/>
          <w:b w:val="0"/>
          <w:bCs w:val="0"/>
          <w:color w:val="000000"/>
        </w:rPr>
        <w:t xml:space="preserve"> закупівлі підручників та посібників для </w:t>
      </w:r>
      <w:r w:rsidR="000279FB" w:rsidRPr="0025558A">
        <w:rPr>
          <w:rStyle w:val="rvts23"/>
          <w:b w:val="0"/>
          <w:bCs w:val="0"/>
        </w:rPr>
        <w:t xml:space="preserve">здобувачів </w:t>
      </w:r>
      <w:r w:rsidR="001F3D0E" w:rsidRPr="0025558A">
        <w:rPr>
          <w:rStyle w:val="rvts23"/>
          <w:b w:val="0"/>
          <w:bCs w:val="0"/>
        </w:rPr>
        <w:t xml:space="preserve">і педагогічних працівників </w:t>
      </w:r>
      <w:r w:rsidR="000279FB" w:rsidRPr="0025558A">
        <w:rPr>
          <w:b w:val="0"/>
        </w:rPr>
        <w:t>професійної (професійно-технічної)</w:t>
      </w:r>
      <w:r w:rsidR="0046274A" w:rsidRPr="0025558A">
        <w:rPr>
          <w:b w:val="0"/>
        </w:rPr>
        <w:t xml:space="preserve"> освіти</w:t>
      </w:r>
      <w:r w:rsidR="00405112" w:rsidRPr="0025558A">
        <w:rPr>
          <w:rStyle w:val="rvts23"/>
          <w:b w:val="0"/>
          <w:bCs w:val="0"/>
        </w:rPr>
        <w:t>.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Основні групи,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2"/>
        <w:gridCol w:w="2867"/>
        <w:gridCol w:w="2596"/>
      </w:tblGrid>
      <w:tr w:rsidR="00477723" w:rsidRPr="002F4822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Ні</w:t>
            </w:r>
          </w:p>
        </w:tc>
      </w:tr>
      <w:tr w:rsidR="00DA71D3" w:rsidRPr="002F4822" w:rsidTr="00DA71D3">
        <w:trPr>
          <w:trHeight w:val="258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F482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F482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–</w:t>
            </w:r>
          </w:p>
        </w:tc>
      </w:tr>
      <w:tr w:rsidR="00DA71D3" w:rsidRPr="002F4822" w:rsidTr="00DA71D3">
        <w:trPr>
          <w:trHeight w:val="223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F48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F482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  <w:tr w:rsidR="00DA71D3" w:rsidRPr="002F4822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Суб'єкти господарюванн</w:t>
            </w:r>
            <w:r w:rsidR="001F3D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я</w:t>
            </w:r>
            <w:r w:rsidR="00462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F48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F482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  <w:tr w:rsidR="00DA71D3" w:rsidRPr="002F4822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46274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62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 тому числі суб'єкти малого підприємництва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F48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2F4822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F482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</w:tbl>
    <w:p w:rsidR="006B3AE2" w:rsidRPr="0025558A" w:rsidRDefault="00477723" w:rsidP="009A3AE8">
      <w:pPr>
        <w:pStyle w:val="a3"/>
        <w:ind w:right="-1" w:firstLine="708"/>
        <w:jc w:val="both"/>
        <w:rPr>
          <w:color w:val="auto"/>
          <w:sz w:val="28"/>
          <w:szCs w:val="28"/>
        </w:rPr>
      </w:pPr>
      <w:r w:rsidRPr="0025558A">
        <w:rPr>
          <w:color w:val="auto"/>
          <w:sz w:val="28"/>
          <w:szCs w:val="28"/>
        </w:rPr>
        <w:t xml:space="preserve">Метою </w:t>
      </w:r>
      <w:r w:rsidR="0022217D" w:rsidRPr="0025558A">
        <w:rPr>
          <w:color w:val="auto"/>
          <w:sz w:val="28"/>
          <w:szCs w:val="28"/>
        </w:rPr>
        <w:t>прийняття наказу</w:t>
      </w:r>
      <w:r w:rsidR="008B1611" w:rsidRPr="0025558A">
        <w:rPr>
          <w:color w:val="auto"/>
          <w:sz w:val="28"/>
          <w:szCs w:val="28"/>
        </w:rPr>
        <w:t xml:space="preserve"> та відповідного Порядку</w:t>
      </w:r>
      <w:r w:rsidRPr="0025558A">
        <w:rPr>
          <w:color w:val="auto"/>
          <w:sz w:val="28"/>
          <w:szCs w:val="28"/>
        </w:rPr>
        <w:t xml:space="preserve"> є </w:t>
      </w:r>
      <w:r w:rsidR="006B3AE2" w:rsidRPr="0025558A">
        <w:rPr>
          <w:color w:val="auto"/>
          <w:sz w:val="28"/>
          <w:szCs w:val="28"/>
          <w:shd w:val="clear" w:color="auto" w:fill="FFFFFF"/>
        </w:rPr>
        <w:t xml:space="preserve">визначення механізму проведення конкурсного відбору підручників та посібників </w:t>
      </w:r>
      <w:r w:rsidR="006B3AE2" w:rsidRPr="0025558A">
        <w:rPr>
          <w:color w:val="auto"/>
          <w:sz w:val="28"/>
          <w:szCs w:val="28"/>
        </w:rPr>
        <w:t>для осіб з особливими освітніми потребами, здобувачів професійної (профе</w:t>
      </w:r>
      <w:r w:rsidR="001F3D0E" w:rsidRPr="0025558A">
        <w:rPr>
          <w:color w:val="auto"/>
          <w:sz w:val="28"/>
          <w:szCs w:val="28"/>
        </w:rPr>
        <w:t xml:space="preserve">сійно-технічної) освіти, а також </w:t>
      </w:r>
      <w:r w:rsidR="006B3AE2" w:rsidRPr="0025558A">
        <w:rPr>
          <w:color w:val="auto"/>
          <w:sz w:val="28"/>
          <w:szCs w:val="28"/>
        </w:rPr>
        <w:t xml:space="preserve">посібників для здобувачів </w:t>
      </w:r>
      <w:r w:rsidR="001F3D0E" w:rsidRPr="0025558A">
        <w:rPr>
          <w:color w:val="auto"/>
          <w:sz w:val="28"/>
          <w:szCs w:val="28"/>
        </w:rPr>
        <w:t xml:space="preserve">та педагогічних працівників </w:t>
      </w:r>
      <w:r w:rsidR="006B3AE2" w:rsidRPr="0025558A">
        <w:rPr>
          <w:color w:val="auto"/>
          <w:sz w:val="28"/>
          <w:szCs w:val="28"/>
        </w:rPr>
        <w:t>повної загальної середньої осві</w:t>
      </w:r>
      <w:r w:rsidR="009A3AE8" w:rsidRPr="0025558A">
        <w:rPr>
          <w:color w:val="auto"/>
          <w:sz w:val="28"/>
          <w:szCs w:val="28"/>
        </w:rPr>
        <w:t>ти.</w:t>
      </w:r>
    </w:p>
    <w:p w:rsidR="004C491B" w:rsidRPr="0025558A" w:rsidRDefault="007F63F1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Окреслена проблема не може бути розв’язана за допомогою ринкових механізмів</w:t>
      </w:r>
      <w:r w:rsidR="00F3528F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, оскільки саме держава взяла на себе обов’язок безоплатного</w:t>
      </w: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</w:t>
      </w:r>
      <w:r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підручниками</w:t>
      </w:r>
      <w:r w:rsidR="009A3AE8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посібниками</w:t>
      </w:r>
      <w:r w:rsidR="00197173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16575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добувачів </w:t>
      </w:r>
      <w:r w:rsidR="001F3D0E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повної загальної середньої </w:t>
      </w:r>
      <w:r w:rsidR="003071CE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 професійної (професійно-технічної) </w:t>
      </w:r>
      <w:r w:rsidR="003213F1" w:rsidRPr="002725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освіти </w:t>
      </w:r>
      <w:r w:rsidR="004C491B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виділення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28F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державного 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бюджету бюджетних коштів, ефективність та раціональність використання яких</w:t>
      </w:r>
      <w:r w:rsidR="001F3D0E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пов’</w:t>
      </w:r>
      <w:r w:rsidR="00C22433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язана із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r w:rsidR="00380BBF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рівні нормативно-правового акта)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прозорої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чіткої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4C491B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="003071CE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відбору</w:t>
      </w:r>
      <w:r w:rsidR="002D08FD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3F1" w:rsidRPr="002F4822" w:rsidRDefault="001F3D0E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Водночас</w:t>
      </w:r>
      <w:r w:rsidR="00C22433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окреслена </w:t>
      </w:r>
      <w:r w:rsidR="007F63F1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 може бути розв’язана за допомогою діючих регуляторних актів</w:t>
      </w:r>
      <w:r w:rsidR="00C22433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огляду на </w:t>
      </w:r>
      <w:r w:rsidR="00721445" w:rsidRPr="0025558A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відсутність відповідного порядку (порядків) проведення конкурсного відбору цієї навчальної літератури.</w:t>
      </w:r>
    </w:p>
    <w:p w:rsidR="00477723" w:rsidRPr="002F4822" w:rsidRDefault="00477723" w:rsidP="00D735C8">
      <w:pPr>
        <w:tabs>
          <w:tab w:val="left" w:pos="851"/>
        </w:tabs>
        <w:autoSpaceDE w:val="0"/>
        <w:autoSpaceDN w:val="0"/>
        <w:adjustRightInd w:val="0"/>
        <w:ind w:left="851"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813AAA" w:rsidRDefault="00477723" w:rsidP="00D8241B">
      <w:pPr>
        <w:tabs>
          <w:tab w:val="left" w:pos="851"/>
        </w:tabs>
        <w:autoSpaceDE w:val="0"/>
        <w:autoSpaceDN w:val="0"/>
        <w:adjustRightInd w:val="0"/>
        <w:ind w:left="851"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13A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ІІ. Цілі державного регулювання</w:t>
      </w:r>
    </w:p>
    <w:p w:rsidR="00D8241B" w:rsidRPr="00813AAA" w:rsidRDefault="0046274A" w:rsidP="00D9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передбачає проведення </w:t>
      </w:r>
      <w:r w:rsidR="00477723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конкурсного</w:t>
      </w:r>
      <w:r w:rsidR="0091656D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відбору</w:t>
      </w:r>
      <w:r w:rsidR="002F4822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2F4822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проє</w:t>
      </w:r>
      <w:r w:rsidR="00477723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ктів</w:t>
      </w:r>
      <w:proofErr w:type="spellEnd"/>
      <w:r w:rsidR="00477723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підручників</w:t>
      </w:r>
      <w:r w:rsidR="0091656D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 посібників</w:t>
      </w:r>
      <w:r w:rsidR="00477723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для осі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б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з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особливими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тн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ми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потребами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профес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ї (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профес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йно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техн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чно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ї)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ти</w:t>
      </w:r>
      <w:r w:rsidR="00936E6F" w:rsidRPr="00813AAA">
        <w:rPr>
          <w:rFonts w:ascii="Times New Roman" w:hAnsi="Times New Roman" w:cs="Times New Roman"/>
          <w:color w:val="auto"/>
          <w:sz w:val="28"/>
          <w:szCs w:val="28"/>
        </w:rPr>
        <w:t>, а також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пос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бник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для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здобувач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E6F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та педагогічних працівників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повно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загально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середньо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ї </w:t>
      </w:r>
      <w:r w:rsidR="003822CB" w:rsidRPr="00813AAA">
        <w:rPr>
          <w:rFonts w:ascii="Times New Roman" w:eastAsia="Malgun Gothic Semilight" w:hAnsi="Times New Roman" w:cs="Times New Roman"/>
          <w:color w:val="auto"/>
          <w:sz w:val="28"/>
          <w:szCs w:val="28"/>
        </w:rPr>
        <w:t>осв</w:t>
      </w:r>
      <w:r w:rsidR="003822CB" w:rsidRPr="00813AAA">
        <w:rPr>
          <w:rFonts w:ascii="Times New Roman" w:hAnsi="Times New Roman" w:cs="Times New Roman"/>
          <w:color w:val="auto"/>
          <w:sz w:val="28"/>
          <w:szCs w:val="28"/>
        </w:rPr>
        <w:t xml:space="preserve">іти </w:t>
      </w:r>
      <w:r w:rsidR="00477723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 метою</w:t>
      </w:r>
      <w:r w:rsidR="00D8241B" w:rsidRPr="00813A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C64C7" w:rsidRPr="002F4822" w:rsidRDefault="003822CB" w:rsidP="00D93BE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13AAA">
        <w:rPr>
          <w:rFonts w:ascii="Times New Roman" w:eastAsia="Times New Roman" w:hAnsi="Times New Roman"/>
          <w:sz w:val="28"/>
          <w:szCs w:val="28"/>
        </w:rPr>
        <w:t>р</w:t>
      </w:r>
      <w:r w:rsidR="0091656D" w:rsidRPr="00813AAA">
        <w:rPr>
          <w:rFonts w:ascii="Times New Roman" w:eastAsia="Times New Roman" w:hAnsi="Times New Roman"/>
          <w:sz w:val="28"/>
          <w:szCs w:val="28"/>
        </w:rPr>
        <w:t>еалізації статті 53 Конституції України</w:t>
      </w:r>
      <w:r w:rsidRPr="00813AAA">
        <w:rPr>
          <w:rFonts w:ascii="Times New Roman" w:eastAsia="Times New Roman" w:hAnsi="Times New Roman"/>
          <w:sz w:val="28"/>
          <w:szCs w:val="28"/>
        </w:rPr>
        <w:t xml:space="preserve"> у частині забезпечення </w:t>
      </w:r>
      <w:r w:rsidRPr="002F4822">
        <w:rPr>
          <w:rFonts w:ascii="Times New Roman" w:eastAsia="Times New Roman" w:hAnsi="Times New Roman"/>
          <w:sz w:val="28"/>
          <w:szCs w:val="28"/>
        </w:rPr>
        <w:t xml:space="preserve">державою 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доступності і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безоплатн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сті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повно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загально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середньо</w:t>
      </w:r>
      <w:r w:rsidR="00D8241B"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та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профес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йно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техн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чно</w:t>
      </w:r>
      <w:r w:rsidR="00D8241B"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осв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ти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в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державних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комунальних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навчальних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закладах</w:t>
      </w:r>
      <w:r w:rsidR="00D8241B"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та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розвит</w:t>
      </w:r>
      <w:r w:rsidR="00D8241B"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 xml:space="preserve">ку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повно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загально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ї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середньо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D8241B"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профес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>ійно-техні</w:t>
      </w:r>
      <w:r w:rsidRPr="002F4822">
        <w:rPr>
          <w:rFonts w:ascii="Times New Roman" w:eastAsia="Malgun Gothic Semilight" w:hAnsi="Times New Roman"/>
          <w:sz w:val="28"/>
          <w:szCs w:val="28"/>
          <w:shd w:val="clear" w:color="auto" w:fill="FFFFFF"/>
        </w:rPr>
        <w:t>чно</w:t>
      </w:r>
      <w:r w:rsidR="00D8241B" w:rsidRPr="002F4822">
        <w:rPr>
          <w:rFonts w:ascii="Times New Roman" w:hAnsi="Times New Roman"/>
          <w:sz w:val="28"/>
          <w:szCs w:val="28"/>
          <w:shd w:val="clear" w:color="auto" w:fill="FFFFFF"/>
        </w:rPr>
        <w:t>ї освіти</w:t>
      </w:r>
      <w:r w:rsidR="00344658" w:rsidRPr="002F4822">
        <w:rPr>
          <w:rFonts w:ascii="Times New Roman" w:eastAsia="Times New Roman" w:hAnsi="Times New Roman"/>
          <w:sz w:val="28"/>
          <w:szCs w:val="28"/>
        </w:rPr>
        <w:t>;</w:t>
      </w:r>
    </w:p>
    <w:p w:rsidR="00477723" w:rsidRPr="00813AAA" w:rsidRDefault="00CC64C7" w:rsidP="00D93BE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13AAA">
        <w:rPr>
          <w:rFonts w:ascii="Times New Roman" w:eastAsia="Times New Roman" w:hAnsi="Times New Roman"/>
          <w:sz w:val="28"/>
          <w:szCs w:val="28"/>
        </w:rPr>
        <w:t>визначення процедури проведення конкурсного відбору затребувано</w:t>
      </w:r>
      <w:r w:rsidR="0046274A" w:rsidRPr="00813AAA">
        <w:rPr>
          <w:rFonts w:ascii="Times New Roman" w:eastAsia="Times New Roman" w:hAnsi="Times New Roman"/>
          <w:sz w:val="28"/>
          <w:szCs w:val="28"/>
        </w:rPr>
        <w:t>ї</w:t>
      </w:r>
      <w:r w:rsidRPr="00813AAA">
        <w:rPr>
          <w:rFonts w:ascii="Times New Roman" w:eastAsia="Times New Roman" w:hAnsi="Times New Roman"/>
          <w:sz w:val="28"/>
          <w:szCs w:val="28"/>
        </w:rPr>
        <w:t xml:space="preserve"> </w:t>
      </w:r>
      <w:r w:rsidR="00EB49E2" w:rsidRPr="00813AAA">
        <w:rPr>
          <w:rFonts w:ascii="Times New Roman" w:eastAsia="Times New Roman" w:hAnsi="Times New Roman"/>
          <w:sz w:val="28"/>
          <w:szCs w:val="28"/>
        </w:rPr>
        <w:t>навчально</w:t>
      </w:r>
      <w:r w:rsidR="0046274A" w:rsidRPr="00813AAA">
        <w:rPr>
          <w:rFonts w:ascii="Times New Roman" w:eastAsia="Times New Roman" w:hAnsi="Times New Roman"/>
          <w:sz w:val="28"/>
          <w:szCs w:val="28"/>
        </w:rPr>
        <w:t>ї</w:t>
      </w:r>
      <w:r w:rsidR="00EB49E2" w:rsidRPr="00813AAA">
        <w:rPr>
          <w:rFonts w:ascii="Times New Roman" w:eastAsia="Times New Roman" w:hAnsi="Times New Roman"/>
          <w:sz w:val="28"/>
          <w:szCs w:val="28"/>
        </w:rPr>
        <w:t xml:space="preserve"> літератур</w:t>
      </w:r>
      <w:r w:rsidR="00D10A75" w:rsidRPr="00813AAA">
        <w:rPr>
          <w:rFonts w:ascii="Times New Roman" w:eastAsia="Times New Roman" w:hAnsi="Times New Roman"/>
          <w:sz w:val="28"/>
          <w:szCs w:val="28"/>
        </w:rPr>
        <w:t>и</w:t>
      </w:r>
      <w:r w:rsidRPr="00813AAA">
        <w:rPr>
          <w:rFonts w:ascii="Times New Roman" w:eastAsia="Times New Roman" w:hAnsi="Times New Roman"/>
          <w:sz w:val="28"/>
          <w:szCs w:val="28"/>
        </w:rPr>
        <w:t>, якою забезпечуватимуться здобувачі</w:t>
      </w:r>
      <w:r w:rsidR="00EB49E2" w:rsidRPr="00813AAA">
        <w:rPr>
          <w:rFonts w:ascii="Times New Roman" w:eastAsia="Times New Roman" w:hAnsi="Times New Roman"/>
          <w:sz w:val="28"/>
          <w:szCs w:val="28"/>
        </w:rPr>
        <w:t xml:space="preserve"> </w:t>
      </w:r>
      <w:r w:rsidR="00D10A75" w:rsidRPr="00813AAA">
        <w:rPr>
          <w:rFonts w:ascii="Times New Roman" w:eastAsia="Times New Roman" w:hAnsi="Times New Roman"/>
          <w:sz w:val="28"/>
          <w:szCs w:val="28"/>
        </w:rPr>
        <w:t xml:space="preserve">повної </w:t>
      </w:r>
      <w:r w:rsidR="000E6A09" w:rsidRPr="00813AAA">
        <w:rPr>
          <w:rFonts w:ascii="Times New Roman" w:eastAsia="Times New Roman" w:hAnsi="Times New Roman"/>
          <w:sz w:val="28"/>
          <w:szCs w:val="28"/>
        </w:rPr>
        <w:t>загальної</w:t>
      </w:r>
      <w:r w:rsidR="00D10A75" w:rsidRPr="00813AAA">
        <w:rPr>
          <w:rFonts w:ascii="Times New Roman" w:eastAsia="Times New Roman" w:hAnsi="Times New Roman"/>
          <w:sz w:val="28"/>
          <w:szCs w:val="28"/>
        </w:rPr>
        <w:t xml:space="preserve"> середньої </w:t>
      </w:r>
      <w:r w:rsidR="00EB49E2" w:rsidRPr="00813AAA">
        <w:rPr>
          <w:rFonts w:ascii="Times New Roman" w:eastAsia="Times New Roman" w:hAnsi="Times New Roman"/>
          <w:sz w:val="28"/>
          <w:szCs w:val="28"/>
        </w:rPr>
        <w:t xml:space="preserve"> та </w:t>
      </w:r>
      <w:r w:rsidR="000E6A09" w:rsidRPr="00813AAA">
        <w:rPr>
          <w:rFonts w:ascii="Times New Roman" w:eastAsia="Times New Roman" w:hAnsi="Times New Roman"/>
          <w:sz w:val="28"/>
          <w:szCs w:val="28"/>
        </w:rPr>
        <w:t>професійної (професійно-технічної)</w:t>
      </w:r>
      <w:r w:rsidRPr="00813AAA">
        <w:rPr>
          <w:rFonts w:ascii="Times New Roman" w:eastAsia="Times New Roman" w:hAnsi="Times New Roman"/>
          <w:sz w:val="28"/>
          <w:szCs w:val="28"/>
        </w:rPr>
        <w:t xml:space="preserve"> освіти</w:t>
      </w:r>
      <w:r w:rsidR="000E6A09" w:rsidRPr="00813AAA">
        <w:rPr>
          <w:rFonts w:ascii="Times New Roman" w:eastAsia="Times New Roman" w:hAnsi="Times New Roman"/>
          <w:sz w:val="28"/>
          <w:szCs w:val="28"/>
        </w:rPr>
        <w:t xml:space="preserve"> і</w:t>
      </w:r>
      <w:r w:rsidR="00EB49E2" w:rsidRPr="00813AAA">
        <w:rPr>
          <w:rFonts w:ascii="Times New Roman" w:eastAsia="Times New Roman" w:hAnsi="Times New Roman"/>
          <w:sz w:val="28"/>
          <w:szCs w:val="28"/>
        </w:rPr>
        <w:t xml:space="preserve"> педагогічні працівники</w:t>
      </w:r>
      <w:r w:rsidRPr="00813AAA">
        <w:rPr>
          <w:rFonts w:ascii="Times New Roman" w:eastAsia="Times New Roman" w:hAnsi="Times New Roman"/>
          <w:sz w:val="28"/>
          <w:szCs w:val="28"/>
        </w:rPr>
        <w:t>.</w:t>
      </w:r>
    </w:p>
    <w:p w:rsidR="00380BBF" w:rsidRPr="002F4822" w:rsidRDefault="00380BBF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BBF" w:rsidRPr="002F4822" w:rsidRDefault="00477723" w:rsidP="00380BBF">
      <w:pPr>
        <w:tabs>
          <w:tab w:val="left" w:pos="142"/>
          <w:tab w:val="left" w:pos="851"/>
        </w:tabs>
        <w:autoSpaceDE w:val="0"/>
        <w:autoSpaceDN w:val="0"/>
        <w:adjustRightInd w:val="0"/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ІІІ. Визначення та оцінка альтернативних способів досягнення встановлених цілей</w:t>
      </w:r>
    </w:p>
    <w:p w:rsidR="00380BBF" w:rsidRPr="002F4822" w:rsidRDefault="00477723" w:rsidP="00380BBF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0"/>
        <w:gridCol w:w="7005"/>
      </w:tblGrid>
      <w:tr w:rsidR="00477723" w:rsidRPr="002F4822" w:rsidTr="0022217D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Опис альтернативи</w:t>
            </w:r>
          </w:p>
        </w:tc>
      </w:tr>
      <w:tr w:rsidR="00477723" w:rsidRPr="002F4822" w:rsidTr="0022217D">
        <w:trPr>
          <w:trHeight w:val="228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EB49E2" w:rsidP="00D735C8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hAnsi="Times New Roman"/>
                <w:color w:val="auto"/>
                <w:sz w:val="28"/>
                <w:szCs w:val="28"/>
              </w:rPr>
              <w:t>Відсутність правового регулювання проведення к</w:t>
            </w:r>
            <w:r w:rsidR="008B1611" w:rsidRPr="002F4822">
              <w:rPr>
                <w:rFonts w:ascii="Times New Roman" w:hAnsi="Times New Roman"/>
                <w:color w:val="auto"/>
                <w:sz w:val="28"/>
                <w:szCs w:val="28"/>
              </w:rPr>
              <w:t>онкурсного відбору підручників та посібників</w:t>
            </w:r>
          </w:p>
        </w:tc>
      </w:tr>
      <w:tr w:rsidR="00477723" w:rsidRPr="002F4822" w:rsidTr="0022217D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658" w:rsidRPr="002F4822" w:rsidRDefault="00EB49E2" w:rsidP="00EB49E2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Затвердити наказ та Порядок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Оцінка вибраних альтернативних способів досягнення цілей</w:t>
      </w:r>
    </w:p>
    <w:p w:rsidR="007C11B8" w:rsidRPr="002F4822" w:rsidRDefault="007C11B8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4"/>
        <w:gridCol w:w="3904"/>
        <w:gridCol w:w="3907"/>
      </w:tblGrid>
      <w:tr w:rsidR="00477723" w:rsidRPr="002F4822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2F4822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  <w:tr w:rsidR="00477723" w:rsidRPr="002F4822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EB49E2" w:rsidP="00221E3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Забезпечення здобувач</w:t>
            </w:r>
            <w:r w:rsidRPr="002F4822">
              <w:rPr>
                <w:rFonts w:ascii="Times New Roman" w:hAnsi="Times New Roman" w:cs="Calibri"/>
                <w:color w:val="auto"/>
                <w:sz w:val="28"/>
                <w:szCs w:val="26"/>
              </w:rPr>
              <w:t>і</w:t>
            </w:r>
            <w:r w:rsidRPr="002F4822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r w:rsidRPr="002F4822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="000E6A09" w:rsidRPr="002F4822">
              <w:rPr>
                <w:rFonts w:ascii="Times New Roman" w:eastAsia="Times New Roman" w:hAnsi="Times New Roman"/>
                <w:sz w:val="28"/>
                <w:szCs w:val="28"/>
              </w:rPr>
              <w:t xml:space="preserve"> загальної та професійної (професійно</w:t>
            </w:r>
            <w:r w:rsidR="00221E30" w:rsidRPr="002F4822">
              <w:rPr>
                <w:rFonts w:ascii="Times New Roman" w:eastAsia="Times New Roman" w:hAnsi="Times New Roman"/>
                <w:sz w:val="28"/>
                <w:szCs w:val="28"/>
              </w:rPr>
              <w:t>-технічної) освіти і педагогічних працівників</w:t>
            </w:r>
            <w:r w:rsidR="000E6A09" w:rsidRPr="002F4822">
              <w:rPr>
                <w:rFonts w:ascii="Times New Roman" w:eastAsia="Times New Roman" w:hAnsi="Times New Roman"/>
                <w:sz w:val="28"/>
                <w:szCs w:val="28"/>
              </w:rPr>
              <w:t xml:space="preserve"> затребуваними підручниками та посібниками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</w:tbl>
    <w:p w:rsidR="002725D7" w:rsidRDefault="002725D7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25D7" w:rsidRDefault="002725D7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25D7" w:rsidRDefault="002725D7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25D7" w:rsidRDefault="002725D7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9"/>
        <w:gridCol w:w="3371"/>
        <w:gridCol w:w="3915"/>
      </w:tblGrid>
      <w:tr w:rsidR="00477723" w:rsidRPr="002F4822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2F4822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0E6A09" w:rsidP="00221E3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Відсутність у </w:t>
            </w:r>
            <w:r w:rsidR="00D269F6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здобувачів 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загальної середньої та професійної (професійно-технічної) освіти та педагогічних працівників</w:t>
            </w:r>
            <w:r w:rsidR="00D269F6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підручників/посібників</w:t>
            </w:r>
          </w:p>
        </w:tc>
      </w:tr>
      <w:tr w:rsidR="00477723" w:rsidRPr="002F4822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D269F6" w:rsidP="00D269F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Забезпечення здобувачі</w:t>
            </w:r>
            <w:r w:rsidRPr="002725D7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Pr="002725D7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 загальної та професійної (професійно</w:t>
            </w:r>
            <w:r w:rsidR="00221E30" w:rsidRPr="002725D7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-технічної) освіти і педагогічних працівників</w:t>
            </w:r>
            <w:r w:rsidRPr="00272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затребуваними підручниками та посібниками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22217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</w:tr>
    </w:tbl>
    <w:p w:rsidR="00335EEE" w:rsidRPr="002F4822" w:rsidRDefault="00335EE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Оцінка впливу на сферу інтересів суб'єктів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1485"/>
        <w:gridCol w:w="1580"/>
        <w:gridCol w:w="1777"/>
        <w:gridCol w:w="1186"/>
        <w:gridCol w:w="1410"/>
      </w:tblGrid>
      <w:tr w:rsidR="00477723" w:rsidRPr="002F4822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Великі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Середні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Малі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Мікро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477723" w:rsidRPr="002F48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50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Питома вага групи у загальній кількості, відсотків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741445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100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3"/>
        <w:gridCol w:w="4718"/>
        <w:gridCol w:w="3094"/>
      </w:tblGrid>
      <w:tr w:rsidR="00477723" w:rsidRPr="002F4822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21E30" w:rsidP="00D735C8">
            <w:pPr>
              <w:widowControl/>
              <w:tabs>
                <w:tab w:val="left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D269F6" w:rsidP="00D735C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Забезпечення здобувачі</w:t>
            </w:r>
            <w:r w:rsidRPr="002725D7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повної загальної та професійної (професійно-технічної) освіти і</w:t>
            </w:r>
            <w:r w:rsidR="00730487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педагогічних працівників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затребуваними підручниками та посібниками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477723" w:rsidRPr="002F4822" w:rsidRDefault="002E1AD0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43 865 </w:t>
            </w:r>
            <w:r w:rsidR="0093093D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  <w:p w:rsidR="00477723" w:rsidRPr="002F4822" w:rsidRDefault="00477723" w:rsidP="00D735C8">
            <w:pPr>
              <w:widowControl/>
              <w:tabs>
                <w:tab w:val="left" w:pos="851"/>
              </w:tabs>
              <w:ind w:right="-142" w:hanging="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мікросуб’єк-тів</w:t>
            </w:r>
            <w:proofErr w:type="spellEnd"/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господарювання за 1 рік становитимуть </w:t>
            </w:r>
          </w:p>
          <w:p w:rsidR="00477723" w:rsidRPr="002F4822" w:rsidRDefault="002E1AD0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394 785 </w:t>
            </w:r>
            <w:r w:rsidR="00380BBF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</w:tr>
    </w:tbl>
    <w:p w:rsidR="000406D0" w:rsidRPr="002F4822" w:rsidRDefault="000406D0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22">
        <w:rPr>
          <w:rFonts w:ascii="Times New Roman" w:hAnsi="Times New Roman" w:cs="Times New Roman"/>
          <w:color w:val="auto"/>
          <w:sz w:val="28"/>
          <w:szCs w:val="28"/>
        </w:rPr>
        <w:t>Витрати середніх суб’єктів гос</w:t>
      </w:r>
      <w:r w:rsidR="001E306A" w:rsidRPr="002F4822">
        <w:rPr>
          <w:rFonts w:ascii="Times New Roman" w:hAnsi="Times New Roman" w:cs="Times New Roman"/>
          <w:color w:val="auto"/>
          <w:sz w:val="28"/>
          <w:szCs w:val="28"/>
        </w:rPr>
        <w:t>подарювання наведені у Додатку 1</w:t>
      </w:r>
      <w:r w:rsidRPr="002F4822">
        <w:rPr>
          <w:rFonts w:ascii="Times New Roman" w:hAnsi="Times New Roman" w:cs="Times New Roman"/>
          <w:color w:val="auto"/>
          <w:sz w:val="28"/>
          <w:szCs w:val="28"/>
        </w:rPr>
        <w:t xml:space="preserve"> до цього </w:t>
      </w:r>
      <w:r w:rsidR="001E306A" w:rsidRPr="002F48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4822">
        <w:rPr>
          <w:rFonts w:ascii="Times New Roman" w:hAnsi="Times New Roman" w:cs="Times New Roman"/>
          <w:color w:val="auto"/>
          <w:sz w:val="28"/>
          <w:szCs w:val="28"/>
        </w:rPr>
        <w:t>налізу.</w:t>
      </w:r>
    </w:p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9"/>
        <w:gridCol w:w="3096"/>
      </w:tblGrid>
      <w:tr w:rsidR="00477723" w:rsidRPr="002F4822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Сумарні витрати за альтернативами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 витрат, гривень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Альтернатива 1. Сумарні витрати для суб'єктів господарювання великого і середнього підприємництва </w:t>
            </w:r>
            <w:r w:rsidR="001E306A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згідно з додатком 1</w:t>
            </w:r>
            <w:r w:rsidR="009E16BC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21E30" w:rsidP="00D735C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відсутні 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</w:t>
            </w:r>
            <w:r w:rsidR="009E16BC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натива 2</w:t>
            </w: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Сумарні витрати для суб'єктів господарювання великого і середнього пі</w:t>
            </w:r>
            <w:r w:rsidR="001E306A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дприємництва згідно з додатком 1</w:t>
            </w: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9E16BC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0" w:rsidRPr="002F4822" w:rsidRDefault="002E1AD0" w:rsidP="002E1AD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477723" w:rsidRPr="002F4822" w:rsidRDefault="002E1AD0" w:rsidP="002E1AD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43 865 </w:t>
            </w: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2F4822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IV. Вибір найбільш оптимального альтернативного способу </w:t>
      </w:r>
    </w:p>
    <w:p w:rsidR="00477723" w:rsidRPr="002F4822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</w:pPr>
      <w:r w:rsidRPr="002F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9"/>
        <w:gridCol w:w="2860"/>
        <w:gridCol w:w="3666"/>
      </w:tblGrid>
      <w:tr w:rsidR="00477723" w:rsidRPr="002F4822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Бал результативності (за чотирибальною системою оцінки)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Коментарі щодо присвоєння відповідного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бала</w:t>
            </w:r>
            <w:proofErr w:type="spellEnd"/>
          </w:p>
        </w:tc>
      </w:tr>
      <w:tr w:rsidR="00477723" w:rsidRPr="002F4822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221E30" w:rsidP="00D735C8">
            <w:pPr>
              <w:tabs>
                <w:tab w:val="left" w:pos="851"/>
              </w:tabs>
              <w:jc w:val="center"/>
              <w:rPr>
                <w:color w:val="auto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Відсутність підручників т</w:t>
            </w:r>
            <w:r w:rsidR="00D269F6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 посібників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9E16BC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D269F6" w:rsidP="0073048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Забезпечення здобувачі</w:t>
            </w:r>
            <w:r w:rsidRPr="002725D7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r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повної загальної та професійної (професійно-технічної) освіти і</w:t>
            </w:r>
            <w:r w:rsidR="00730487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педагогічних працівників 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підручниками та посібниками</w:t>
            </w:r>
          </w:p>
        </w:tc>
      </w:tr>
    </w:tbl>
    <w:p w:rsidR="006918B4" w:rsidRPr="002F4822" w:rsidRDefault="006918B4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1835"/>
        <w:gridCol w:w="2796"/>
        <w:gridCol w:w="2799"/>
      </w:tblGrid>
      <w:tr w:rsidR="00477723" w:rsidRPr="002F4822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 (підсумок)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Витрати, грн </w:t>
            </w:r>
            <w:r w:rsidR="00477723"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(підсумок)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Обґрунтування відповідного місця альтернативи у рейтингу</w:t>
            </w:r>
          </w:p>
        </w:tc>
      </w:tr>
      <w:tr w:rsidR="004F15E3" w:rsidRPr="002F4822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4F15E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730487" w:rsidP="00D735C8">
            <w:pPr>
              <w:widowControl/>
              <w:tabs>
                <w:tab w:val="left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936E6F" w:rsidP="002725D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 вирішення </w:t>
            </w:r>
            <w:r w:rsidR="00111B78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ситуації, </w:t>
            </w: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якої існує проблема</w:t>
            </w:r>
            <w:r w:rsidR="00111B78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щодо забезпечення </w:t>
            </w:r>
            <w:r w:rsidR="00730487"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здобувачі</w:t>
            </w:r>
            <w:r w:rsidR="00730487" w:rsidRPr="002725D7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r w:rsidR="00730487" w:rsidRPr="002725D7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="00730487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повної загальної та професійної (професійно-технічної) освіти і педагогічних працівників підручниками та посібниками</w:t>
            </w:r>
          </w:p>
        </w:tc>
      </w:tr>
      <w:tr w:rsidR="004F15E3" w:rsidRPr="002F4822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3" w:rsidRPr="002F4822" w:rsidRDefault="004F15E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3" w:rsidRPr="002F4822" w:rsidRDefault="00730487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F4822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Забезпеченняздобувачі</w:t>
            </w:r>
            <w:r w:rsidRPr="002F4822">
              <w:rPr>
                <w:rFonts w:ascii="Times New Roman" w:eastAsia="Malgun Gothic Semilight" w:hAnsi="Times New Roman" w:cs="Times New Roman"/>
                <w:color w:val="auto"/>
                <w:sz w:val="28"/>
                <w:szCs w:val="26"/>
              </w:rPr>
              <w:t>в</w:t>
            </w:r>
            <w:proofErr w:type="spellEnd"/>
            <w:r w:rsidRPr="002F4822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r w:rsidRPr="002F4822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 загальної та професійної (професійно-технічної) освіти і педагогічних працівників затребуваними підручниками та посібниками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0" w:rsidRPr="002F4822" w:rsidRDefault="002E1AD0" w:rsidP="002E1AD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2E1AD0" w:rsidRPr="002F4822" w:rsidRDefault="002E1AD0" w:rsidP="002E1AD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43 865 </w:t>
            </w: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  <w:p w:rsidR="002E1AD0" w:rsidRPr="002F4822" w:rsidRDefault="002E1AD0" w:rsidP="002E1AD0">
            <w:pPr>
              <w:widowControl/>
              <w:tabs>
                <w:tab w:val="left" w:pos="851"/>
              </w:tabs>
              <w:ind w:right="-142" w:hanging="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мікросуб’єктів</w:t>
            </w:r>
            <w:proofErr w:type="spellEnd"/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господарювання за 1 рік становитимуть </w:t>
            </w:r>
          </w:p>
          <w:p w:rsidR="004F15E3" w:rsidRPr="002F4822" w:rsidRDefault="002E1AD0" w:rsidP="002E1AD0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394 785 грн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2F4822" w:rsidRDefault="00111B78" w:rsidP="0073048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22">
              <w:rPr>
                <w:rFonts w:ascii="Times New Roman" w:eastAsia="Times New Roman" w:hAnsi="Times New Roman"/>
                <w:sz w:val="28"/>
                <w:szCs w:val="28"/>
              </w:rPr>
              <w:t xml:space="preserve">Повністю вирішує проблему. Цей спосіб </w:t>
            </w:r>
            <w:r w:rsidR="00730487" w:rsidRPr="002F4822">
              <w:rPr>
                <w:rFonts w:ascii="Times New Roman" w:eastAsia="Times New Roman" w:hAnsi="Times New Roman"/>
                <w:sz w:val="28"/>
                <w:szCs w:val="28"/>
              </w:rPr>
              <w:t>встановить чіткий механізм проведення конкурсного відбору підручників та посібників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9"/>
        <w:gridCol w:w="4229"/>
        <w:gridCol w:w="3277"/>
      </w:tblGrid>
      <w:tr w:rsidR="00477723" w:rsidRPr="002F4822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221E30" w:rsidP="00D735C8">
            <w:pPr>
              <w:tabs>
                <w:tab w:val="left" w:pos="851"/>
              </w:tabs>
              <w:jc w:val="center"/>
              <w:rPr>
                <w:color w:val="auto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відсутність підручників та посібників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A94424" w:rsidP="00D735C8">
            <w:pPr>
              <w:tabs>
                <w:tab w:val="left" w:pos="851"/>
              </w:tabs>
              <w:jc w:val="center"/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  <w:tr w:rsidR="00477723" w:rsidRPr="002F4822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725D7" w:rsidRDefault="00344658" w:rsidP="002725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="00477723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абезпечення здобувачів загальної середньої освіти </w:t>
            </w:r>
            <w:r w:rsidR="008F5EE9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та педагогічних працівників </w:t>
            </w:r>
            <w:r w:rsidR="00477723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підручниками</w:t>
            </w:r>
            <w:r w:rsidR="00A333AC" w:rsidRPr="00272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посібниками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A94424" w:rsidP="00D735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</w:tbl>
    <w:p w:rsidR="004F15E3" w:rsidRPr="002F4822" w:rsidRDefault="004F15E3" w:rsidP="007153D0">
      <w:pPr>
        <w:tabs>
          <w:tab w:val="left" w:pos="142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2F4822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F4822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V. Механізми та заходи, які забезпечать розв’язання </w:t>
      </w:r>
    </w:p>
    <w:p w:rsidR="00477723" w:rsidRPr="002F4822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F4822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визначеної проблеми</w:t>
      </w:r>
    </w:p>
    <w:p w:rsidR="00477723" w:rsidRPr="002725D7" w:rsidRDefault="00E15EEB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</w:t>
      </w:r>
      <w:r w:rsidR="00477723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изначення </w:t>
      </w:r>
      <w:r w:rsidR="00D71B31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Перелік</w:t>
      </w:r>
      <w:r w:rsidR="00936E6F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у</w:t>
      </w:r>
      <w:r w:rsidR="00D71B31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Pr="002725D7">
        <w:rPr>
          <w:rFonts w:ascii="Times New Roman" w:hAnsi="Times New Roman" w:cs="Times New Roman"/>
          <w:sz w:val="28"/>
          <w:szCs w:val="28"/>
        </w:rPr>
        <w:t>пі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Pr="002725D7">
        <w:rPr>
          <w:rFonts w:ascii="Times New Roman" w:hAnsi="Times New Roman" w:cs="Times New Roman"/>
          <w:sz w:val="28"/>
          <w:szCs w:val="28"/>
        </w:rPr>
        <w:t>і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725D7">
        <w:rPr>
          <w:rFonts w:ascii="Times New Roman" w:hAnsi="Times New Roman" w:cs="Times New Roman"/>
          <w:sz w:val="28"/>
          <w:szCs w:val="28"/>
        </w:rPr>
        <w:t xml:space="preserve"> 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2725D7">
        <w:rPr>
          <w:rFonts w:ascii="Times New Roman" w:hAnsi="Times New Roman" w:cs="Times New Roman"/>
          <w:sz w:val="28"/>
          <w:szCs w:val="28"/>
        </w:rPr>
        <w:t xml:space="preserve"> 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Pr="002725D7">
        <w:rPr>
          <w:rFonts w:ascii="Times New Roman" w:hAnsi="Times New Roman" w:cs="Times New Roman"/>
          <w:sz w:val="28"/>
          <w:szCs w:val="28"/>
        </w:rPr>
        <w:t>і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Pr="002725D7">
        <w:rPr>
          <w:rFonts w:ascii="Times New Roman" w:hAnsi="Times New Roman" w:cs="Times New Roman"/>
          <w:sz w:val="28"/>
          <w:szCs w:val="28"/>
        </w:rPr>
        <w:t>і</w:t>
      </w:r>
      <w:r w:rsidRPr="002725D7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477723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, що будуть видават</w:t>
      </w:r>
      <w:r w:rsidR="008F5EE9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ись за кошти державного бюджету, </w:t>
      </w:r>
      <w:r w:rsidR="00936E6F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відбуватиметься</w:t>
      </w:r>
      <w:r w:rsidR="00D71B31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="008F5EE9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через процедуру конкурсного відбору</w:t>
      </w:r>
      <w:r w:rsidR="009176D2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(далі – Конкурс)</w:t>
      </w:r>
      <w:r w:rsidR="00477723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</w:p>
    <w:p w:rsidR="00477723" w:rsidRPr="002725D7" w:rsidRDefault="00477723" w:rsidP="00D735C8">
      <w:pPr>
        <w:widowControl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 проводит</w:t>
      </w:r>
      <w:r w:rsidR="00D71B31" w:rsidRPr="002725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иметься 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два етапи:</w:t>
      </w:r>
    </w:p>
    <w:p w:rsidR="00B84616" w:rsidRPr="002F4822" w:rsidRDefault="00B84616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25D7">
        <w:rPr>
          <w:rFonts w:ascii="Times New Roman" w:hAnsi="Times New Roman"/>
          <w:sz w:val="28"/>
          <w:szCs w:val="28"/>
        </w:rPr>
        <w:t xml:space="preserve">І етап – </w:t>
      </w:r>
      <w:r w:rsidR="00E15EEB" w:rsidRPr="002725D7">
        <w:rPr>
          <w:rFonts w:ascii="Times New Roman" w:hAnsi="Times New Roman"/>
          <w:sz w:val="28"/>
          <w:szCs w:val="28"/>
        </w:rPr>
        <w:t xml:space="preserve">подання </w:t>
      </w:r>
      <w:r w:rsidR="00B954D4" w:rsidRPr="002725D7">
        <w:rPr>
          <w:rFonts w:ascii="Times New Roman" w:hAnsi="Times New Roman"/>
          <w:sz w:val="28"/>
          <w:szCs w:val="28"/>
        </w:rPr>
        <w:t xml:space="preserve">на розгляд до Конкурсної установи </w:t>
      </w:r>
      <w:r w:rsidR="009C1F10" w:rsidRPr="002725D7">
        <w:rPr>
          <w:rFonts w:ascii="Times New Roman" w:hAnsi="Times New Roman"/>
          <w:sz w:val="28"/>
          <w:szCs w:val="28"/>
        </w:rPr>
        <w:t>комплектів конкурсних матеріалів</w:t>
      </w:r>
      <w:r w:rsidR="00936E6F" w:rsidRPr="002725D7">
        <w:rPr>
          <w:rFonts w:ascii="Times New Roman" w:hAnsi="Times New Roman"/>
          <w:sz w:val="28"/>
          <w:szCs w:val="28"/>
        </w:rPr>
        <w:t xml:space="preserve"> підручників та посібників</w:t>
      </w:r>
      <w:r w:rsidR="00B954D4" w:rsidRPr="002725D7">
        <w:rPr>
          <w:rFonts w:ascii="Times New Roman" w:hAnsi="Times New Roman"/>
          <w:sz w:val="28"/>
          <w:szCs w:val="28"/>
        </w:rPr>
        <w:t>, передбачених Порядком</w:t>
      </w:r>
      <w:r w:rsidR="009C1F10" w:rsidRPr="002725D7">
        <w:rPr>
          <w:rFonts w:ascii="Times New Roman" w:hAnsi="Times New Roman"/>
          <w:sz w:val="28"/>
          <w:szCs w:val="28"/>
        </w:rPr>
        <w:t>, їх розгляд та допущення до безпосереднього відбору</w:t>
      </w:r>
      <w:r w:rsidR="009744D8" w:rsidRPr="002725D7">
        <w:rPr>
          <w:rFonts w:ascii="Times New Roman" w:hAnsi="Times New Roman"/>
          <w:sz w:val="28"/>
          <w:szCs w:val="28"/>
        </w:rPr>
        <w:t xml:space="preserve"> конкурсними</w:t>
      </w:r>
      <w:r w:rsidR="009744D8" w:rsidRPr="002F4822">
        <w:rPr>
          <w:rFonts w:ascii="Times New Roman" w:hAnsi="Times New Roman"/>
          <w:sz w:val="28"/>
          <w:szCs w:val="28"/>
        </w:rPr>
        <w:t xml:space="preserve"> комісіями</w:t>
      </w:r>
      <w:r w:rsidRPr="002F4822">
        <w:rPr>
          <w:rFonts w:ascii="Times New Roman" w:hAnsi="Times New Roman"/>
          <w:sz w:val="28"/>
          <w:szCs w:val="28"/>
        </w:rPr>
        <w:t>;</w:t>
      </w:r>
    </w:p>
    <w:p w:rsidR="00B84616" w:rsidRPr="002F4822" w:rsidRDefault="00B84616" w:rsidP="00D73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822">
        <w:rPr>
          <w:rFonts w:ascii="Times New Roman" w:hAnsi="Times New Roman"/>
          <w:sz w:val="28"/>
          <w:szCs w:val="28"/>
        </w:rPr>
        <w:t xml:space="preserve">ІІ етап – </w:t>
      </w:r>
      <w:r w:rsidR="00B954D4" w:rsidRPr="002F4822">
        <w:rPr>
          <w:rFonts w:ascii="Times New Roman" w:hAnsi="Times New Roman"/>
          <w:sz w:val="28"/>
          <w:szCs w:val="28"/>
        </w:rPr>
        <w:t>відбір підручників та посібників конкурсними комісіями, утвореними Міністерством освіти і науки України</w:t>
      </w:r>
      <w:r w:rsidRPr="002F4822">
        <w:rPr>
          <w:rFonts w:ascii="Times New Roman" w:hAnsi="Times New Roman"/>
          <w:sz w:val="28"/>
          <w:szCs w:val="28"/>
        </w:rPr>
        <w:t>.</w:t>
      </w:r>
    </w:p>
    <w:p w:rsidR="008E7ED5" w:rsidRPr="002F4822" w:rsidRDefault="009176D2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Конкурсу допускаються підручники та посібники, що отримали гриф Міністерства освіти і науки України.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4822">
        <w:rPr>
          <w:rFonts w:ascii="Times New Roman" w:hAnsi="Times New Roman"/>
          <w:bCs/>
          <w:sz w:val="28"/>
          <w:szCs w:val="28"/>
        </w:rPr>
        <w:t>Конкурсні комісії створюються відповідно до: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4822">
        <w:rPr>
          <w:rFonts w:ascii="Times New Roman" w:hAnsi="Times New Roman"/>
          <w:bCs/>
          <w:sz w:val="28"/>
          <w:szCs w:val="28"/>
        </w:rPr>
        <w:t xml:space="preserve">виду навчального видання </w:t>
      </w:r>
      <w:r w:rsidRPr="002F4822">
        <w:rPr>
          <w:rFonts w:ascii="Times New Roman" w:hAnsi="Times New Roman"/>
          <w:sz w:val="28"/>
          <w:szCs w:val="28"/>
        </w:rPr>
        <w:t>(підручник/посібник)</w:t>
      </w:r>
      <w:r w:rsidRPr="002F4822">
        <w:rPr>
          <w:rFonts w:ascii="Times New Roman" w:hAnsi="Times New Roman"/>
          <w:bCs/>
          <w:sz w:val="28"/>
          <w:szCs w:val="28"/>
        </w:rPr>
        <w:t>;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822">
        <w:rPr>
          <w:rFonts w:ascii="Times New Roman" w:hAnsi="Times New Roman"/>
          <w:sz w:val="28"/>
          <w:szCs w:val="28"/>
        </w:rPr>
        <w:t>предмета вивчення (навчального предмета);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822">
        <w:rPr>
          <w:rFonts w:ascii="Times New Roman" w:hAnsi="Times New Roman"/>
          <w:sz w:val="28"/>
          <w:szCs w:val="28"/>
        </w:rPr>
        <w:t>назви підручника (посібника);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4822">
        <w:rPr>
          <w:rFonts w:ascii="Times New Roman" w:hAnsi="Times New Roman"/>
          <w:sz w:val="28"/>
          <w:szCs w:val="28"/>
        </w:rPr>
        <w:t xml:space="preserve">призначення підручника (посібника) (наприклад, для осіб з 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порушеннями 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слуху, інтелектуальними порушеннями тощо);</w:t>
      </w:r>
    </w:p>
    <w:p w:rsidR="005C15BC" w:rsidRPr="002F4822" w:rsidRDefault="00B451F4" w:rsidP="005C15BC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4822">
        <w:rPr>
          <w:rFonts w:ascii="Times New Roman" w:hAnsi="Times New Roman"/>
          <w:sz w:val="28"/>
          <w:szCs w:val="28"/>
          <w:lang w:eastAsia="ru-RU"/>
        </w:rPr>
        <w:t>типу закладів освіти (закладів освіти, що забезпечують здобуття повної загальної середньої освіти,</w:t>
      </w:r>
      <w:r w:rsidRPr="002F4822">
        <w:rPr>
          <w:rFonts w:ascii="Times New Roman" w:hAnsi="Times New Roman"/>
          <w:sz w:val="28"/>
          <w:szCs w:val="28"/>
        </w:rPr>
        <w:t xml:space="preserve"> або закладів професійної (професійно-технічної) освіти).</w:t>
      </w:r>
    </w:p>
    <w:p w:rsidR="00B451F4" w:rsidRPr="002F4822" w:rsidRDefault="00B451F4" w:rsidP="005C15BC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 </w:t>
      </w: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розгляду </w:t>
      </w:r>
      <w:r w:rsidR="00D71B31" w:rsidRPr="002725D7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2725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оці</w:t>
      </w:r>
      <w:r w:rsidRPr="002725D7">
        <w:rPr>
          <w:rFonts w:ascii="Times New Roman" w:eastAsia="Malgun Gothic Semilight" w:hAnsi="Times New Roman" w:cs="Times New Roman"/>
          <w:bCs/>
          <w:sz w:val="28"/>
          <w:szCs w:val="28"/>
          <w:lang w:eastAsia="ru-RU"/>
        </w:rPr>
        <w:t>нювання</w:t>
      </w:r>
      <w:r w:rsidRPr="002F4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4822">
        <w:rPr>
          <w:rFonts w:ascii="Times New Roman" w:hAnsi="Times New Roman" w:cs="Times New Roman"/>
          <w:sz w:val="28"/>
          <w:szCs w:val="28"/>
        </w:rPr>
        <w:t>пі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Pr="002F4822">
        <w:rPr>
          <w:rFonts w:ascii="Times New Roman" w:hAnsi="Times New Roman" w:cs="Times New Roman"/>
          <w:sz w:val="28"/>
          <w:szCs w:val="28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</w:rPr>
        <w:t xml:space="preserve"> та 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Pr="002F4822">
        <w:rPr>
          <w:rFonts w:ascii="Times New Roman" w:hAnsi="Times New Roman" w:cs="Times New Roman"/>
          <w:sz w:val="28"/>
          <w:szCs w:val="28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Pr="002F4822">
        <w:rPr>
          <w:rFonts w:ascii="Times New Roman" w:hAnsi="Times New Roman" w:cs="Times New Roman"/>
          <w:sz w:val="28"/>
          <w:szCs w:val="28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конкурсні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ком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ії формують пропозиції щодо перелі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ку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др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учникі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пос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бник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рекомендованих ними до видання за рахунок кошті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державного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бюджету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мі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стять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нформац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ю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щодо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обраного пі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дручника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5BC"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пос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бника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і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рейтинговий список </w:t>
      </w:r>
      <w:r w:rsidR="005C15BC" w:rsidRPr="002F4822">
        <w:rPr>
          <w:rFonts w:ascii="Times New Roman" w:hAnsi="Times New Roman" w:cs="Times New Roman"/>
          <w:sz w:val="28"/>
          <w:szCs w:val="28"/>
        </w:rPr>
        <w:t>пі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</w:rPr>
        <w:t xml:space="preserve"> та 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F4822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складений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числа </w:t>
      </w:r>
      <w:r w:rsidR="005C15BC" w:rsidRPr="002F4822">
        <w:rPr>
          <w:rFonts w:ascii="Times New Roman" w:hAnsi="Times New Roman" w:cs="Times New Roman"/>
          <w:sz w:val="28"/>
          <w:szCs w:val="28"/>
        </w:rPr>
        <w:t>пі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</w:rPr>
        <w:t xml:space="preserve"> та 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поданих </w:t>
      </w:r>
      <w:r w:rsidRPr="002F4822">
        <w:rPr>
          <w:rFonts w:ascii="Times New Roman" w:hAnsi="Times New Roman" w:cs="Times New Roman"/>
          <w:bCs/>
          <w:sz w:val="28"/>
          <w:szCs w:val="28"/>
          <w:lang w:eastAsia="ru-RU"/>
        </w:rPr>
        <w:t>Учасниками.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822">
        <w:rPr>
          <w:rFonts w:ascii="Times New Roman" w:hAnsi="Times New Roman"/>
          <w:sz w:val="28"/>
          <w:szCs w:val="28"/>
          <w:lang w:eastAsia="ru-RU"/>
        </w:rPr>
        <w:t xml:space="preserve">Пропозиції Конкурсних комісій </w:t>
      </w:r>
      <w:r w:rsidRPr="002F4822">
        <w:rPr>
          <w:rFonts w:ascii="Times New Roman" w:hAnsi="Times New Roman"/>
          <w:sz w:val="28"/>
          <w:szCs w:val="28"/>
          <w:shd w:val="clear" w:color="auto" w:fill="FFFFFF"/>
        </w:rPr>
        <w:t xml:space="preserve">беруться колегією МОН за основу під час схвалення </w:t>
      </w:r>
      <w:r w:rsidRPr="002F4822">
        <w:rPr>
          <w:rFonts w:ascii="Times New Roman" w:hAnsi="Times New Roman"/>
          <w:sz w:val="28"/>
          <w:szCs w:val="28"/>
          <w:lang w:eastAsia="ru-RU"/>
        </w:rPr>
        <w:t xml:space="preserve">переліку </w:t>
      </w:r>
      <w:r w:rsidR="005C15BC" w:rsidRPr="002F4822">
        <w:rPr>
          <w:rFonts w:ascii="Times New Roman" w:hAnsi="Times New Roman" w:cs="Times New Roman"/>
          <w:sz w:val="28"/>
          <w:szCs w:val="28"/>
        </w:rPr>
        <w:t>пі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</w:rPr>
        <w:t xml:space="preserve"> та 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F4822">
        <w:rPr>
          <w:rFonts w:ascii="Times New Roman" w:hAnsi="Times New Roman"/>
          <w:sz w:val="28"/>
          <w:szCs w:val="28"/>
          <w:lang w:eastAsia="ru-RU"/>
        </w:rPr>
        <w:t>, що видаватимуться за кошти державного бюджету.</w:t>
      </w:r>
    </w:p>
    <w:p w:rsidR="00B451F4" w:rsidRPr="002F4822" w:rsidRDefault="00B451F4" w:rsidP="00B451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822">
        <w:rPr>
          <w:rFonts w:ascii="Times New Roman" w:hAnsi="Times New Roman"/>
          <w:sz w:val="28"/>
          <w:szCs w:val="28"/>
        </w:rPr>
        <w:t xml:space="preserve">До </w:t>
      </w:r>
      <w:r w:rsidRPr="002F4822">
        <w:rPr>
          <w:rFonts w:ascii="Times New Roman" w:hAnsi="Times New Roman"/>
          <w:sz w:val="28"/>
          <w:szCs w:val="28"/>
          <w:lang w:eastAsia="ru-RU"/>
        </w:rPr>
        <w:t xml:space="preserve">переліку </w:t>
      </w:r>
      <w:r w:rsidR="005C15BC" w:rsidRPr="002F4822">
        <w:rPr>
          <w:rFonts w:ascii="Times New Roman" w:hAnsi="Times New Roman" w:cs="Times New Roman"/>
          <w:sz w:val="28"/>
          <w:szCs w:val="28"/>
        </w:rPr>
        <w:t>пі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5C15BC" w:rsidRPr="002F4822">
        <w:rPr>
          <w:rFonts w:ascii="Times New Roman" w:hAnsi="Times New Roman" w:cs="Times New Roman"/>
          <w:sz w:val="28"/>
          <w:szCs w:val="28"/>
        </w:rPr>
        <w:t xml:space="preserve"> та 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="005C15BC" w:rsidRPr="002F4822">
        <w:rPr>
          <w:rFonts w:ascii="Times New Roman" w:hAnsi="Times New Roman" w:cs="Times New Roman"/>
          <w:sz w:val="28"/>
          <w:szCs w:val="28"/>
        </w:rPr>
        <w:t>і</w:t>
      </w:r>
      <w:r w:rsidR="005C15BC" w:rsidRPr="002F4822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2F4822">
        <w:rPr>
          <w:rFonts w:ascii="Times New Roman" w:hAnsi="Times New Roman"/>
          <w:sz w:val="28"/>
          <w:szCs w:val="28"/>
          <w:lang w:eastAsia="ru-RU"/>
        </w:rPr>
        <w:t>, що видаватимуться за кошти державного бюджету</w:t>
      </w:r>
      <w:r w:rsidRPr="002F4822">
        <w:rPr>
          <w:rFonts w:ascii="Times New Roman" w:hAnsi="Times New Roman"/>
          <w:sz w:val="28"/>
          <w:szCs w:val="28"/>
        </w:rPr>
        <w:t xml:space="preserve">, включається один підручник (посібник) з кожного предмета вивчення (навчального предмета) і </w:t>
      </w:r>
      <w:r w:rsidRPr="002F4822">
        <w:rPr>
          <w:rFonts w:ascii="Times New Roman" w:hAnsi="Times New Roman"/>
          <w:sz w:val="28"/>
          <w:szCs w:val="28"/>
          <w:lang w:eastAsia="ru-RU"/>
        </w:rPr>
        <w:t>типу закладів освіти</w:t>
      </w:r>
      <w:r w:rsidRPr="002F4822">
        <w:rPr>
          <w:rFonts w:ascii="Times New Roman" w:hAnsi="Times New Roman"/>
          <w:sz w:val="28"/>
          <w:szCs w:val="28"/>
        </w:rPr>
        <w:t xml:space="preserve"> та кожної  назви підручника (посібника) і його  призначення.</w:t>
      </w:r>
    </w:p>
    <w:p w:rsidR="005C15BC" w:rsidRPr="002F4822" w:rsidRDefault="00733167" w:rsidP="00733167">
      <w:pPr>
        <w:spacing w:afterLines="25" w:after="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822">
        <w:rPr>
          <w:rFonts w:ascii="Times New Roman" w:hAnsi="Times New Roman" w:cs="Times New Roman"/>
          <w:sz w:val="28"/>
          <w:szCs w:val="28"/>
        </w:rPr>
        <w:t>Пі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дручник</w:t>
      </w:r>
      <w:r w:rsidRPr="002F4822">
        <w:rPr>
          <w:rFonts w:ascii="Times New Roman" w:hAnsi="Times New Roman" w:cs="Times New Roman"/>
          <w:sz w:val="28"/>
          <w:szCs w:val="28"/>
        </w:rPr>
        <w:t xml:space="preserve">и та 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пос</w:t>
      </w:r>
      <w:r w:rsidRPr="002F4822">
        <w:rPr>
          <w:rFonts w:ascii="Times New Roman" w:hAnsi="Times New Roman" w:cs="Times New Roman"/>
          <w:sz w:val="28"/>
          <w:szCs w:val="28"/>
        </w:rPr>
        <w:t>і</w:t>
      </w:r>
      <w:r w:rsidRPr="002F4822">
        <w:rPr>
          <w:rFonts w:ascii="Times New Roman" w:eastAsia="Malgun Gothic Semilight" w:hAnsi="Times New Roman" w:cs="Times New Roman"/>
          <w:sz w:val="28"/>
          <w:szCs w:val="28"/>
        </w:rPr>
        <w:t>бник</w:t>
      </w:r>
      <w:r w:rsidRPr="002F4822">
        <w:rPr>
          <w:rFonts w:ascii="Times New Roman" w:hAnsi="Times New Roman" w:cs="Times New Roman"/>
          <w:sz w:val="28"/>
          <w:szCs w:val="28"/>
        </w:rPr>
        <w:t>и</w:t>
      </w:r>
      <w:r w:rsidR="00B451F4" w:rsidRPr="002F4822">
        <w:rPr>
          <w:rFonts w:ascii="Times New Roman" w:hAnsi="Times New Roman"/>
          <w:sz w:val="28"/>
          <w:szCs w:val="28"/>
          <w:lang w:eastAsia="ru-RU"/>
        </w:rPr>
        <w:t xml:space="preserve">, що включені до зазначеного переліку, за рішенням колегії МОН можуть також додатково адаптуватись до потреб осіб з порушеннями зору та видаватись </w:t>
      </w:r>
      <w:r w:rsidR="00B451F4" w:rsidRPr="002F4822">
        <w:rPr>
          <w:rFonts w:ascii="Times New Roman" w:hAnsi="Times New Roman"/>
          <w:sz w:val="28"/>
          <w:szCs w:val="28"/>
          <w:shd w:val="clear" w:color="auto" w:fill="FFFFFF"/>
        </w:rPr>
        <w:t>рельєфно-крапковим та/або збільшеним шрифтом.</w:t>
      </w:r>
    </w:p>
    <w:p w:rsidR="00C26140" w:rsidRPr="002F4822" w:rsidRDefault="00477723" w:rsidP="00C26140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Організаційні заходи, які необхідно здійснити для впровадження </w:t>
      </w:r>
      <w:r w:rsidR="002F4822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проє</w:t>
      </w: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кту </w:t>
      </w:r>
      <w:r w:rsidR="004D06B1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 w:rsidR="00C26140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77723" w:rsidRPr="002F4822" w:rsidRDefault="00477723" w:rsidP="00C26140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дії органів влади – надання допомоги та консультацій суб’єктам господарювання, на яких поширюється дія </w:t>
      </w:r>
      <w:r w:rsidR="001419D0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регуляторного</w:t>
      </w:r>
      <w:r w:rsidR="00733167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акта</w:t>
      </w:r>
      <w:r w:rsidR="00C26140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затвердження</w:t>
      </w:r>
      <w:r w:rsidR="006028BF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рішень</w:t>
      </w:r>
      <w:r w:rsidR="00C26140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 проведення </w:t>
      </w:r>
      <w:r w:rsidR="006028BF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Конкурсів, формування та затвердження складу конкурсних комісій.</w:t>
      </w:r>
    </w:p>
    <w:p w:rsidR="00E57D6B" w:rsidRPr="002F4822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Впливу зовнішніх факторів на дію регуляторного акта не очікується.</w:t>
      </w:r>
    </w:p>
    <w:p w:rsidR="00E57D6B" w:rsidRPr="002F4822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Оцінка можливості впровадження 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виконання вимог </w:t>
      </w:r>
      <w:r w:rsidR="00E56E38"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Порядку </w:t>
      </w: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державної влади, фізичними та юридичними особами</w:t>
      </w: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висока.</w:t>
      </w:r>
    </w:p>
    <w:p w:rsidR="00733167" w:rsidRPr="002F4822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Прийняття </w:t>
      </w:r>
      <w:r w:rsidR="00E53B41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Порядку </w:t>
      </w:r>
      <w:r w:rsidR="004562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дозволить</w:t>
      </w: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3167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видавати підручники та посібники, що обрані за результатами конкурсного відбору.</w:t>
      </w:r>
    </w:p>
    <w:p w:rsidR="00E57D6B" w:rsidRPr="002F4822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Очікувані наслідки дії запропонованого регуляторного акта не передбачають нанесення шкоди суб’єктам господарювання та фізичним особам.</w:t>
      </w:r>
    </w:p>
    <w:p w:rsidR="003F1058" w:rsidRPr="002725D7" w:rsidRDefault="00E57D6B" w:rsidP="003F10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Державний контроль та нагляд за додержанням вимог акта не здійснюється, </w:t>
      </w: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за виключення</w:t>
      </w:r>
      <w:r w:rsidR="00D71B31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випадків, передбачених актами бюджетного законодавства, щодо нагляду (контролю) з боку органів державного фінансового контролю за ефективним та цільовим використанням державних фінансових ресур</w:t>
      </w:r>
      <w:r w:rsidR="003F1058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сів.</w:t>
      </w:r>
    </w:p>
    <w:p w:rsidR="003F1058" w:rsidRPr="002725D7" w:rsidRDefault="003F1058" w:rsidP="003F10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723" w:rsidRPr="002725D7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725D7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3F1058" w:rsidRPr="002725D7" w:rsidRDefault="003F1058" w:rsidP="003F1058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725D7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або виконувати ці вимоги</w:t>
      </w:r>
    </w:p>
    <w:p w:rsidR="00E57D6B" w:rsidRPr="00D93BE2" w:rsidRDefault="001419D0" w:rsidP="00D93BE2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725D7">
        <w:rPr>
          <w:rFonts w:ascii="Times New Roman" w:eastAsia="Times New Roman" w:hAnsi="Times New Roman"/>
          <w:bCs/>
          <w:sz w:val="28"/>
          <w:szCs w:val="28"/>
        </w:rPr>
        <w:t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відсотків, здійсн</w:t>
      </w:r>
      <w:r w:rsidR="00E57D6B" w:rsidRPr="002725D7">
        <w:rPr>
          <w:rFonts w:ascii="Times New Roman" w:eastAsia="Times New Roman" w:hAnsi="Times New Roman"/>
          <w:bCs/>
          <w:sz w:val="28"/>
          <w:szCs w:val="28"/>
        </w:rPr>
        <w:t xml:space="preserve">ено </w:t>
      </w:r>
      <w:r w:rsidRPr="002725D7">
        <w:rPr>
          <w:rFonts w:ascii="Times New Roman" w:eastAsia="Times New Roman" w:hAnsi="Times New Roman"/>
          <w:bCs/>
          <w:sz w:val="28"/>
          <w:szCs w:val="28"/>
        </w:rPr>
        <w:t xml:space="preserve">розрахунок витрат </w:t>
      </w:r>
      <w:r w:rsidR="00D71B31" w:rsidRPr="002725D7">
        <w:rPr>
          <w:rFonts w:ascii="Times New Roman" w:eastAsia="Times New Roman" w:hAnsi="Times New Roman"/>
          <w:bCs/>
          <w:sz w:val="28"/>
          <w:szCs w:val="28"/>
        </w:rPr>
        <w:t>н</w:t>
      </w:r>
      <w:r w:rsidRPr="002725D7">
        <w:rPr>
          <w:rFonts w:ascii="Times New Roman" w:eastAsia="Times New Roman" w:hAnsi="Times New Roman"/>
          <w:bCs/>
          <w:sz w:val="28"/>
          <w:szCs w:val="28"/>
        </w:rPr>
        <w:t>а запровадження державного регулювання для суб’єктів малого підприємництва згідно</w:t>
      </w:r>
      <w:r w:rsidRPr="002F4822">
        <w:rPr>
          <w:rFonts w:ascii="Times New Roman" w:eastAsia="Times New Roman" w:hAnsi="Times New Roman"/>
          <w:bCs/>
          <w:sz w:val="28"/>
          <w:szCs w:val="28"/>
        </w:rPr>
        <w:t xml:space="preserve"> з додатком</w:t>
      </w:r>
      <w:r w:rsidR="001E306A" w:rsidRPr="002F4822">
        <w:rPr>
          <w:rFonts w:ascii="Times New Roman" w:eastAsia="Times New Roman" w:hAnsi="Times New Roman"/>
          <w:bCs/>
          <w:sz w:val="28"/>
          <w:szCs w:val="28"/>
        </w:rPr>
        <w:t xml:space="preserve"> 2 до цього Аналізу</w:t>
      </w:r>
      <w:r w:rsidRPr="002F4822">
        <w:rPr>
          <w:rFonts w:ascii="Times New Roman" w:eastAsia="Times New Roman" w:hAnsi="Times New Roman"/>
          <w:bCs/>
          <w:sz w:val="28"/>
          <w:szCs w:val="28"/>
        </w:rPr>
        <w:t xml:space="preserve"> (Тест малого підприємництва).</w:t>
      </w:r>
      <w:r w:rsidR="000A23F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77723" w:rsidRPr="002F4822" w:rsidRDefault="00477723" w:rsidP="00D735C8">
      <w:pPr>
        <w:widowControl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F4822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lastRenderedPageBreak/>
        <w:t>Обґрунтування запропонованого строку дії регуляторного акта</w:t>
      </w:r>
    </w:p>
    <w:p w:rsidR="00477723" w:rsidRPr="002F4822" w:rsidRDefault="00477723" w:rsidP="00D735C8">
      <w:pPr>
        <w:tabs>
          <w:tab w:val="left" w:pos="851"/>
        </w:tabs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Строк дії регуляторного акта </w:t>
      </w:r>
      <w:r w:rsidR="00AB0B3D" w:rsidRPr="002F4822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необмежений у часі.</w:t>
      </w:r>
    </w:p>
    <w:p w:rsidR="00477723" w:rsidRPr="002F4822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2F4822" w:rsidRDefault="00477723" w:rsidP="00D735C8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985" w:hanging="1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2F4822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Визначення показників результативності дії регуляторного акта</w:t>
      </w:r>
    </w:p>
    <w:p w:rsidR="00477723" w:rsidRPr="002F4822" w:rsidRDefault="00477723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F4822">
        <w:rPr>
          <w:rFonts w:ascii="Times New Roman" w:hAnsi="Times New Roman" w:cs="Times New Roman"/>
          <w:noProof/>
          <w:color w:val="auto"/>
          <w:sz w:val="28"/>
          <w:szCs w:val="28"/>
        </w:rPr>
        <w:t>Прогнозними значеннями показників результативності регуляторного акта є:</w:t>
      </w:r>
    </w:p>
    <w:p w:rsidR="00477723" w:rsidRPr="002725D7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р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озмір надходжень до державного та місцевих бюджетів і державних цільових фондів, пов’язаних із дією акта</w:t>
      </w:r>
      <w:r w:rsidR="00683D7B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7848DD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додаткових надходжень до загального фонду державного та місце</w:t>
      </w: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вих бюджетів не передбачається;</w:t>
      </w:r>
    </w:p>
    <w:p w:rsidR="00477723" w:rsidRPr="002725D7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к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ількість суб’єктів господарювання та/або фізичних осіб, на яких поширюється дія акта</w:t>
      </w:r>
      <w:r w:rsidR="00683D7B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683D7B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– </w:t>
      </w:r>
      <w:r w:rsidR="002F4822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необмежена. Дія проє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кту акта поширюватиметься на</w:t>
      </w:r>
      <w:r w:rsidR="007848DD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фізичних та юридичних осіб</w:t>
      </w:r>
      <w:r w:rsidR="001F0A00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які, </w:t>
      </w:r>
      <w:r w:rsidR="00BC3688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у разі</w:t>
      </w:r>
      <w:r w:rsidR="001F0A00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їх</w:t>
      </w:r>
      <w:r w:rsidR="00BC3688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відповідності вимогам, </w:t>
      </w:r>
      <w:r w:rsidR="001F0A00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встановленим</w:t>
      </w:r>
      <w:r w:rsidR="00BC3688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у п</w:t>
      </w:r>
      <w:r w:rsidR="002F4822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роє</w:t>
      </w:r>
      <w:r w:rsidR="001F0A00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кті</w:t>
      </w:r>
      <w:r w:rsidR="00BC3688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акта, можуть бути учасниками </w:t>
      </w:r>
      <w:r w:rsidR="001F0A00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Конкурсу</w:t>
      </w:r>
      <w:r w:rsidR="006028BF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або</w:t>
      </w: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членами комісій;</w:t>
      </w:r>
    </w:p>
    <w:p w:rsidR="00477723" w:rsidRPr="002725D7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р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івень поінформованості суб’єктів господарювання та/або фізичних осіб з основних положень регуляторного акта – </w:t>
      </w:r>
      <w:r w:rsidR="00BC3688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високий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, оскільки пов</w:t>
      </w:r>
      <w:r w:rsidR="002F4822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ідомлення про оприлюднення, проє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кт наказу та аналізу регуляторного впливу акта розміщено на </w:t>
      </w:r>
      <w:r w:rsidR="002F4822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офіційному веб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сайті Міністерства освіти і науки України (</w:t>
      </w:r>
      <w:hyperlink r:id="rId8" w:history="1">
        <w:r w:rsidR="00477723" w:rsidRPr="002725D7">
          <w:rPr>
            <w:rFonts w:ascii="Times New Roman" w:hAnsi="Times New Roman" w:cs="Times New Roman"/>
            <w:color w:val="auto"/>
            <w:sz w:val="28"/>
            <w:szCs w:val="28"/>
          </w:rPr>
          <w:t>www.mon.gov.ua</w:t>
        </w:r>
      </w:hyperlink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, розділ</w:t>
      </w:r>
      <w:r w:rsidR="00E53B41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ів «Регуляторна політика»</w:t>
      </w: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E53B41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«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Громадські обговорення</w:t>
      </w:r>
      <w:r w:rsidR="00E53B41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»</w:t>
      </w: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);</w:t>
      </w:r>
    </w:p>
    <w:p w:rsidR="006617A1" w:rsidRPr="002725D7" w:rsidRDefault="00C735CA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час</w:t>
      </w:r>
      <w:r w:rsidR="00477723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</w:t>
      </w:r>
      <w:r w:rsidR="00E57D6B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що витрачатим</w:t>
      </w:r>
      <w:r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57D6B" w:rsidRPr="002725D7">
        <w:rPr>
          <w:rFonts w:ascii="Times New Roman" w:hAnsi="Times New Roman" w:cs="Times New Roman"/>
          <w:sz w:val="28"/>
          <w:szCs w:val="28"/>
          <w:shd w:val="clear" w:color="auto" w:fill="FFFFFF"/>
        </w:rPr>
        <w:t>ться суб'єктами господарювання та/або фізичними особами, пов'язаними з виконанням вимог акта</w:t>
      </w:r>
      <w:r w:rsidR="00E57D6B" w:rsidRPr="002725D7">
        <w:rPr>
          <w:rFonts w:asciiTheme="minorHAnsi" w:hAnsiTheme="minorHAnsi"/>
          <w:shd w:val="clear" w:color="auto" w:fill="FFFFFF"/>
        </w:rPr>
        <w:t xml:space="preserve"> </w:t>
      </w:r>
      <w:r w:rsidR="006617A1" w:rsidRPr="002725D7">
        <w:rPr>
          <w:rFonts w:ascii="Times New Roman" w:hAnsi="Times New Roman" w:cs="Times New Roman"/>
          <w:noProof/>
          <w:color w:val="auto"/>
          <w:sz w:val="28"/>
          <w:szCs w:val="28"/>
        </w:rPr>
        <w:t>– фактично не змінюватиметься.</w:t>
      </w:r>
    </w:p>
    <w:p w:rsidR="003B17E5" w:rsidRPr="002725D7" w:rsidRDefault="003B17E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477723" w:rsidRPr="002725D7" w:rsidRDefault="00477723" w:rsidP="00BA3A5E">
      <w:pPr>
        <w:widowControl/>
        <w:numPr>
          <w:ilvl w:val="0"/>
          <w:numId w:val="1"/>
        </w:numPr>
        <w:ind w:left="0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2725D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Визначення</w:t>
      </w:r>
      <w:r w:rsidRPr="002725D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заходів, за допомогою яких здійснюватиметься відстеження результативності дії регуляторного акта</w:t>
      </w:r>
    </w:p>
    <w:p w:rsidR="00477723" w:rsidRPr="002725D7" w:rsidRDefault="00477723" w:rsidP="00D735C8">
      <w:pPr>
        <w:keepNext/>
        <w:widowControl/>
        <w:tabs>
          <w:tab w:val="left" w:pos="851"/>
        </w:tabs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Базове відстеження результативності вищезазначеного регул</w:t>
      </w:r>
      <w:r w:rsidR="00683D7B"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яторного акта буде здійснюватися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дати набрання чинності цьог</w:t>
      </w:r>
      <w:r w:rsidR="00E63513"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 акта шляхом збору пропозицій,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зауважень</w:t>
      </w:r>
      <w:r w:rsidR="00E63513"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статистичної інформації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їх аналізу.</w:t>
      </w:r>
    </w:p>
    <w:p w:rsidR="00477723" w:rsidRPr="002725D7" w:rsidRDefault="00477723" w:rsidP="00D735C8">
      <w:pPr>
        <w:widowControl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Повторне відстеження планується здійснити через рік після </w:t>
      </w:r>
      <w:r w:rsidR="00473A87" w:rsidRPr="00272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набрання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чинності регуляторного акта, в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змін.</w:t>
      </w:r>
    </w:p>
    <w:p w:rsidR="00477723" w:rsidRPr="002725D7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725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Періодичне відстеження здійснюватиметься раз на три роки, починаючи з дня виконання заходів з повторного відстеження</w:t>
      </w:r>
      <w:r w:rsidR="00A13BAE" w:rsidRPr="002725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2725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шляхом порівняння показників із аналогічними показниками, що встановлені під час повторного відстеження.</w:t>
      </w:r>
    </w:p>
    <w:p w:rsidR="00477723" w:rsidRPr="002725D7" w:rsidRDefault="00477723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Метод проведення відстеження результативності − статистичний.</w:t>
      </w:r>
    </w:p>
    <w:p w:rsidR="00477723" w:rsidRPr="002725D7" w:rsidRDefault="00477723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Вид даних, за допомогою яких здійснюватиметься відстеження</w:t>
      </w:r>
      <w:r w:rsidR="001F0A00"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результативності, − статистичний</w:t>
      </w:r>
      <w:r w:rsidRPr="002725D7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</w:p>
    <w:p w:rsidR="00477723" w:rsidRPr="002F4822" w:rsidRDefault="00477723" w:rsidP="00D735C8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2725D7">
        <w:rPr>
          <w:sz w:val="28"/>
          <w:szCs w:val="28"/>
          <w:lang w:val="uk-UA"/>
        </w:rPr>
        <w:t>Відстеження результативності вищезазначеного регуляторного акта проводитиметься шляхом розгляду пропозицій та зауваж</w:t>
      </w:r>
      <w:r w:rsidR="00AE151D" w:rsidRPr="002725D7">
        <w:rPr>
          <w:sz w:val="28"/>
          <w:szCs w:val="28"/>
          <w:lang w:val="uk-UA"/>
        </w:rPr>
        <w:t>ень від суб’єктів господарювання та фізичних осіб</w:t>
      </w:r>
      <w:r w:rsidRPr="002725D7">
        <w:rPr>
          <w:sz w:val="28"/>
          <w:szCs w:val="28"/>
          <w:lang w:val="uk-UA"/>
        </w:rPr>
        <w:t xml:space="preserve">, які надійшли до </w:t>
      </w:r>
      <w:r w:rsidRPr="002725D7">
        <w:rPr>
          <w:rStyle w:val="FontStyle44"/>
          <w:sz w:val="28"/>
          <w:szCs w:val="28"/>
          <w:lang w:val="uk-UA"/>
        </w:rPr>
        <w:t>МОН пр</w:t>
      </w:r>
      <w:r w:rsidR="00AE151D" w:rsidRPr="002725D7">
        <w:rPr>
          <w:rStyle w:val="FontStyle44"/>
          <w:sz w:val="28"/>
          <w:szCs w:val="28"/>
          <w:lang w:val="uk-UA"/>
        </w:rPr>
        <w:t xml:space="preserve">отягом усього терміну його дії, </w:t>
      </w:r>
      <w:r w:rsidR="00A13BAE" w:rsidRPr="002725D7">
        <w:rPr>
          <w:rStyle w:val="FontStyle44"/>
          <w:sz w:val="28"/>
          <w:szCs w:val="28"/>
          <w:lang w:val="uk-UA"/>
        </w:rPr>
        <w:t>а також</w:t>
      </w:r>
      <w:r w:rsidR="00AE151D" w:rsidRPr="002725D7">
        <w:rPr>
          <w:rStyle w:val="FontStyle44"/>
          <w:sz w:val="28"/>
          <w:szCs w:val="28"/>
          <w:lang w:val="uk-UA"/>
        </w:rPr>
        <w:t xml:space="preserve"> отримання </w:t>
      </w:r>
      <w:r w:rsidR="0061648F" w:rsidRPr="002725D7">
        <w:rPr>
          <w:rStyle w:val="FontStyle44"/>
          <w:sz w:val="28"/>
          <w:szCs w:val="28"/>
          <w:lang w:val="uk-UA"/>
        </w:rPr>
        <w:t xml:space="preserve">аналітичної </w:t>
      </w:r>
      <w:r w:rsidR="00AE151D" w:rsidRPr="002725D7">
        <w:rPr>
          <w:rStyle w:val="FontStyle44"/>
          <w:sz w:val="28"/>
          <w:szCs w:val="28"/>
          <w:lang w:val="uk-UA"/>
        </w:rPr>
        <w:t xml:space="preserve">інформації від державних установ, задіяних </w:t>
      </w:r>
      <w:r w:rsidR="002407D9" w:rsidRPr="002725D7">
        <w:rPr>
          <w:rStyle w:val="FontStyle44"/>
          <w:sz w:val="28"/>
          <w:szCs w:val="28"/>
          <w:lang w:val="uk-UA"/>
        </w:rPr>
        <w:t>в організації та</w:t>
      </w:r>
      <w:r w:rsidR="00AE151D" w:rsidRPr="002725D7">
        <w:rPr>
          <w:rStyle w:val="FontStyle44"/>
          <w:sz w:val="28"/>
          <w:szCs w:val="28"/>
          <w:lang w:val="uk-UA"/>
        </w:rPr>
        <w:t xml:space="preserve"> проведен</w:t>
      </w:r>
      <w:r w:rsidR="002407D9" w:rsidRPr="002725D7">
        <w:rPr>
          <w:rStyle w:val="FontStyle44"/>
          <w:sz w:val="28"/>
          <w:szCs w:val="28"/>
          <w:lang w:val="uk-UA"/>
        </w:rPr>
        <w:t>н</w:t>
      </w:r>
      <w:r w:rsidR="00AE151D" w:rsidRPr="002725D7">
        <w:rPr>
          <w:rStyle w:val="FontStyle44"/>
          <w:sz w:val="28"/>
          <w:szCs w:val="28"/>
          <w:lang w:val="uk-UA"/>
        </w:rPr>
        <w:t>і Конку</w:t>
      </w:r>
      <w:r w:rsidR="002407D9" w:rsidRPr="002725D7">
        <w:rPr>
          <w:rStyle w:val="FontStyle44"/>
          <w:sz w:val="28"/>
          <w:szCs w:val="28"/>
          <w:lang w:val="uk-UA"/>
        </w:rPr>
        <w:t>рсу</w:t>
      </w:r>
      <w:r w:rsidR="00AE151D" w:rsidRPr="002725D7">
        <w:rPr>
          <w:rStyle w:val="FontStyle44"/>
          <w:sz w:val="28"/>
          <w:szCs w:val="28"/>
          <w:lang w:val="uk-UA"/>
        </w:rPr>
        <w:t>.</w:t>
      </w:r>
    </w:p>
    <w:p w:rsidR="00FE1DE2" w:rsidRDefault="00FE1DE2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70C0"/>
          <w:sz w:val="28"/>
          <w:szCs w:val="26"/>
          <w:lang w:bidi="ar-SA"/>
        </w:rPr>
      </w:pPr>
    </w:p>
    <w:p w:rsidR="00BA3A5E" w:rsidRPr="002F4822" w:rsidRDefault="00BA3A5E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70C0"/>
          <w:sz w:val="28"/>
          <w:szCs w:val="26"/>
          <w:lang w:bidi="ar-SA"/>
        </w:rPr>
      </w:pPr>
    </w:p>
    <w:p w:rsidR="00477723" w:rsidRDefault="00450A97" w:rsidP="00450A97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Т.в.о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Міністра</w:t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63513"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Вадим КАРАНДІЙ</w:t>
      </w:r>
    </w:p>
    <w:p w:rsidR="00450A97" w:rsidRPr="002F4822" w:rsidRDefault="00450A97" w:rsidP="00450A97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7723" w:rsidRDefault="00477723" w:rsidP="00D735C8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E306A" w:rsidRPr="002F4822" w:rsidRDefault="001E306A" w:rsidP="00D735C8">
      <w:pPr>
        <w:widowControl/>
        <w:tabs>
          <w:tab w:val="left" w:pos="85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Додаток 1</w:t>
      </w:r>
    </w:p>
    <w:p w:rsidR="001E306A" w:rsidRPr="002F4822" w:rsidRDefault="001E306A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ВИТРАТИ</w:t>
      </w:r>
    </w:p>
    <w:p w:rsidR="001E306A" w:rsidRPr="002F4822" w:rsidRDefault="001E306A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F4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одного суб'єкта господарювання великого і середнього підприємництва, які виникають внаслідок дії регуляторного акта</w:t>
      </w:r>
    </w:p>
    <w:tbl>
      <w:tblPr>
        <w:tblW w:w="500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2"/>
        <w:gridCol w:w="5461"/>
        <w:gridCol w:w="1312"/>
        <w:gridCol w:w="1458"/>
      </w:tblGrid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 перший рік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ind w:right="19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 п’ять років</w:t>
            </w:r>
          </w:p>
        </w:tc>
      </w:tr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Витрати, пов'язані із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наймом</w:t>
            </w:r>
            <w:proofErr w:type="spellEnd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додаткового персоналу,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Інше (уточнити), гривень: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FE1DE2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авторського оригіналу підручника</w:t>
            </w:r>
            <w:r w:rsidR="00D9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(посібника)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2F4822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редагування проє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кту </w:t>
            </w:r>
            <w:r w:rsidR="00D93BE2" w:rsidRPr="002F4822">
              <w:rPr>
                <w:rFonts w:ascii="Times New Roman" w:eastAsia="Times New Roman" w:hAnsi="Times New Roman"/>
                <w:lang w:eastAsia="ru-RU"/>
              </w:rPr>
              <w:t>підручника</w:t>
            </w:r>
            <w:r w:rsidR="00D93BE2">
              <w:rPr>
                <w:rFonts w:ascii="Times New Roman" w:eastAsia="Times New Roman" w:hAnsi="Times New Roman"/>
                <w:lang w:eastAsia="ru-RU"/>
              </w:rPr>
              <w:t xml:space="preserve"> (посібника)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B1329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2F4822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художнє оформлення проє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кту підручника</w:t>
            </w:r>
            <w:r w:rsidR="00D93BE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(посібника)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2 000 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93BE2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верстка, виготовлення оригінал-макету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2 500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2 500 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підготовка конкурсних матеріалів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93BE2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доставка конкурсних матеріалів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(сума рядків: 1 + 2 + 3 + 4 + 5 + 6 + 7 + 8),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8 773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8 773 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2F482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B13294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8A53D6" w:rsidRPr="002F4822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11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43 865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3D6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43 865 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F4822">
        <w:rPr>
          <w:rFonts w:ascii="Times New Roman" w:eastAsia="Times New Roman" w:hAnsi="Times New Roman" w:cs="Times New Roman"/>
          <w:color w:val="auto"/>
          <w:lang w:bidi="ar-SA"/>
        </w:rPr>
        <w:br w:type="textWrapping" w:clear="all"/>
        <w:t>Розрахунок відповідних витрат на одного суб'єкта господарювання</w:t>
      </w:r>
    </w:p>
    <w:tbl>
      <w:tblPr>
        <w:tblW w:w="517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1"/>
        <w:gridCol w:w="1445"/>
      </w:tblGrid>
      <w:tr w:rsidR="001E306A" w:rsidRPr="002F4822" w:rsidTr="00A87904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</w:tr>
      <w:tr w:rsidR="001E306A" w:rsidRPr="002F4822" w:rsidTr="00A87904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4"/>
        <w:gridCol w:w="1422"/>
      </w:tblGrid>
      <w:tr w:rsidR="001E306A" w:rsidRPr="002F4822" w:rsidTr="00A87904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</w:tr>
      <w:tr w:rsidR="001E306A" w:rsidRPr="002F4822" w:rsidTr="00A87904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2576"/>
        <w:gridCol w:w="2576"/>
        <w:gridCol w:w="1274"/>
      </w:tblGrid>
      <w:tr w:rsidR="001E306A" w:rsidRPr="002F4822" w:rsidTr="00A87904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штрафних санкцій за рік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</w:tr>
      <w:tr w:rsidR="001E306A" w:rsidRPr="002F4822" w:rsidTr="00A87904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* </w:t>
      </w:r>
      <w:r w:rsidRPr="002F4822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6"/>
        <w:gridCol w:w="2503"/>
        <w:gridCol w:w="2503"/>
        <w:gridCol w:w="1325"/>
      </w:tblGrid>
      <w:tr w:rsidR="001E306A" w:rsidRPr="002F4822" w:rsidTr="00A87904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</w:tr>
      <w:tr w:rsidR="001E306A" w:rsidRPr="002F4822" w:rsidTr="00A87904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* </w:t>
      </w:r>
      <w:r w:rsidRPr="002F4822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8"/>
        <w:gridCol w:w="2503"/>
        <w:gridCol w:w="2503"/>
        <w:gridCol w:w="1323"/>
      </w:tblGrid>
      <w:tr w:rsidR="001E306A" w:rsidRPr="002F4822" w:rsidTr="00A87904">
        <w:trPr>
          <w:tblCellSpacing w:w="22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Разом за рік </w:t>
            </w:r>
          </w:p>
        </w:tc>
      </w:tr>
      <w:tr w:rsidR="001E306A" w:rsidRPr="002F4822" w:rsidTr="00A87904">
        <w:trPr>
          <w:tblCellSpacing w:w="22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інших послуг (проведення наукових, інших експертиз, страхування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-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49"/>
        <w:gridCol w:w="2356"/>
      </w:tblGrid>
      <w:tr w:rsidR="001E306A" w:rsidRPr="002F4822" w:rsidTr="00A87904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рік, грн</w:t>
            </w:r>
          </w:p>
        </w:tc>
      </w:tr>
      <w:tr w:rsidR="001E306A" w:rsidRPr="002F4822" w:rsidTr="00A87904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8A53D6" w:rsidP="008A53D6">
            <w:pPr>
              <w:pStyle w:val="a5"/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213 </w:t>
            </w:r>
          </w:p>
        </w:tc>
      </w:tr>
    </w:tbl>
    <w:p w:rsidR="001E306A" w:rsidRPr="002F4822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0"/>
        <w:gridCol w:w="4295"/>
      </w:tblGrid>
      <w:tr w:rsidR="001E306A" w:rsidRPr="002F4822" w:rsidTr="00A87904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праці додатково найманого персоналу (за рік)</w:t>
            </w:r>
          </w:p>
        </w:tc>
      </w:tr>
      <w:tr w:rsidR="001E306A" w:rsidRPr="002F4822" w:rsidTr="00A87904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Витрати, пов'язані із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наймом</w:t>
            </w:r>
            <w:proofErr w:type="spellEnd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додаткового персоналу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2F4822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2F4822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1E306A" w:rsidRPr="002F4822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2F4822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7140FA" w:rsidRPr="002F4822" w:rsidRDefault="007140FA" w:rsidP="00D735C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eastAsia="Times New Roman"/>
          <w:color w:val="auto"/>
          <w:lang w:eastAsia="ru-RU" w:bidi="ar-SA"/>
        </w:rPr>
        <w:br w:type="page"/>
      </w:r>
    </w:p>
    <w:p w:rsidR="00477723" w:rsidRPr="002F4822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  <w:r w:rsidRPr="002F4822">
        <w:rPr>
          <w:rFonts w:eastAsia="Times New Roman"/>
          <w:color w:val="auto"/>
          <w:lang w:eastAsia="ru-RU" w:bidi="ar-SA"/>
        </w:rPr>
        <w:lastRenderedPageBreak/>
        <w:t>Додаток 2</w:t>
      </w:r>
    </w:p>
    <w:p w:rsidR="00477723" w:rsidRPr="002F4822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</w:pPr>
      <w:r w:rsidRPr="002F4822"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  <w:t>ТЕСТ</w:t>
      </w:r>
      <w:r w:rsidRPr="002F4822"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  <w:br/>
        <w:t>малого підприємництва (М-Тест)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1. Консультації з представниками мікро- та малого підприємництва щодо оцінки впливу регулювання.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</w:t>
      </w:r>
      <w:r w:rsidR="00675F0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оведено розробником у період з </w:t>
      </w:r>
      <w:r w:rsidR="0061648F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2018 р. по 2019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451"/>
        <w:gridCol w:w="4187"/>
        <w:gridCol w:w="1596"/>
        <w:gridCol w:w="2671"/>
      </w:tblGrid>
      <w:tr w:rsidR="00477723" w:rsidRPr="002F4822" w:rsidTr="00774C5F">
        <w:trPr>
          <w:trHeight w:val="1900"/>
          <w:tblCellSpacing w:w="22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учасників консультацій, осіб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Основні результати консультацій (опис)</w:t>
            </w:r>
          </w:p>
        </w:tc>
      </w:tr>
      <w:tr w:rsidR="00774C5F" w:rsidRPr="002F4822" w:rsidTr="00774C5F">
        <w:trPr>
          <w:tblCellSpacing w:w="22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2F4822" w:rsidRDefault="00477B69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A333AC" w:rsidRDefault="008B16E6" w:rsidP="00A333AC">
            <w:pPr>
              <w:pStyle w:val="a3"/>
              <w:tabs>
                <w:tab w:val="left" w:pos="851"/>
              </w:tabs>
              <w:jc w:val="both"/>
              <w:rPr>
                <w:color w:val="auto"/>
              </w:rPr>
            </w:pPr>
            <w:r w:rsidRPr="00A333AC">
              <w:rPr>
                <w:color w:val="auto"/>
              </w:rPr>
              <w:t>Проведення робочих зустрічей</w:t>
            </w:r>
            <w:r w:rsidR="00A333AC">
              <w:rPr>
                <w:color w:val="auto"/>
              </w:rPr>
              <w:t>, телефонних</w:t>
            </w:r>
            <w:r w:rsidR="00A333AC" w:rsidRPr="00A333AC">
              <w:rPr>
                <w:color w:val="auto"/>
              </w:rPr>
              <w:t xml:space="preserve"> консульт</w:t>
            </w:r>
            <w:r w:rsidR="00A333AC">
              <w:rPr>
                <w:color w:val="auto"/>
              </w:rPr>
              <w:t>ацій</w:t>
            </w:r>
            <w:r w:rsidR="00A333AC" w:rsidRPr="00A333AC">
              <w:rPr>
                <w:color w:val="auto"/>
              </w:rPr>
              <w:t xml:space="preserve">, </w:t>
            </w:r>
            <w:r w:rsidR="00A333AC" w:rsidRPr="00A333AC">
              <w:t>узагальнення інформації щодо практичного застосування положень про конкурсний відбір підручників для закладів загальної середньої освіти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2F4822" w:rsidRDefault="00A333AC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2F4822" w:rsidRDefault="00A333AC" w:rsidP="00A333AC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Отримано консультації</w:t>
            </w:r>
            <w:r w:rsidR="00774C5F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щодо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конкурсного відбору підручників та посібників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2. Вимірювання впливу регулювання на суб'єктів малого підприємництва (мікро- та малі):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кількість суб'єктів господарювання, на яких поширюється регулювання: </w:t>
      </w:r>
      <w:r w:rsidR="008A53D6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50</w:t>
      </w:r>
      <w:r w:rsidR="00B74D6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(одиниць), у тому числі малого підприємництва </w:t>
      </w:r>
      <w:r w:rsidR="008A53D6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675F0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0</w:t>
      </w:r>
      <w:r w:rsidR="00B74D6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(одиниць) та </w:t>
      </w:r>
      <w:proofErr w:type="spellStart"/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мікропідприємництва</w:t>
      </w:r>
      <w:proofErr w:type="spellEnd"/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8A53D6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15</w:t>
      </w:r>
      <w:r w:rsidR="00B74D6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(одиниць);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8A53D6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90</w:t>
      </w:r>
      <w:r w:rsidR="00B74D6B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% (відсотків) (відповідно до таблиці «Оцінка впливу на сферу інтересів суб'єктів господарювання»).</w:t>
      </w: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конкурсних і суп</w:t>
      </w:r>
      <w:r w:rsidR="002F4822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ровідних матеріалів на один </w:t>
      </w:r>
      <w:proofErr w:type="spellStart"/>
      <w:r w:rsidR="002F4822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проє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кт</w:t>
      </w:r>
      <w:proofErr w:type="spellEnd"/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підручника</w:t>
      </w:r>
      <w:r w:rsidR="00A333A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(посібника)</w:t>
      </w: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9"/>
        <w:gridCol w:w="5916"/>
        <w:gridCol w:w="2580"/>
      </w:tblGrid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Найменування оцінки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грн</w:t>
            </w:r>
            <w:r w:rsidR="00477723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pStyle w:val="rvps14"/>
              <w:spacing w:before="150" w:after="150"/>
              <w:rPr>
                <w:lang w:eastAsia="ru-RU"/>
              </w:rPr>
            </w:pPr>
            <w:r w:rsidRPr="002F4822">
              <w:rPr>
                <w:color w:val="00000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B74D6B" w:rsidP="00D735C8">
            <w:pPr>
              <w:pStyle w:val="rvps14"/>
              <w:spacing w:before="150" w:after="150"/>
              <w:rPr>
                <w:lang w:eastAsia="ru-RU"/>
              </w:rPr>
            </w:pPr>
            <w:r w:rsidRPr="002F4822">
              <w:rPr>
                <w:color w:val="00000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A333AC">
        <w:trPr>
          <w:trHeight w:val="95"/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Інші процедури: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2E758E" w:rsidRPr="002F4822" w:rsidTr="00A333AC">
        <w:trPr>
          <w:trHeight w:val="95"/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5.1.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паперу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58E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</w:t>
            </w:r>
            <w:r w:rsidR="00675F0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5.2.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папки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5.3.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оптичного диску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5.4.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5.5.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2F4822" w:rsidRDefault="00675F0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strike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Створення авторського оригіналу підручника</w:t>
            </w:r>
            <w:r w:rsidR="00A333A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(посібника)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675F0B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2 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5.6.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F4822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Редагування проє</w:t>
            </w:r>
            <w:r w:rsidR="00B74D6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кту </w:t>
            </w:r>
            <w:r w:rsidR="00A333AC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підручника</w:t>
            </w:r>
            <w:r w:rsidR="00A333A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(посібника)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  <w:r w:rsidR="00675F0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  <w:r w:rsidR="00675F0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5.7.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F4822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Художнє оформлення проє</w:t>
            </w:r>
            <w:r w:rsidR="00B74D6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кту підручника</w:t>
            </w:r>
            <w:r w:rsidR="00A333A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(посібника)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675F0B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2 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A333AC" w:rsidP="00A333A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5.8</w:t>
            </w:r>
            <w:r w:rsidR="002E758E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B74D6B" w:rsidP="00A333A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Верстка, виготовлення оригінал-макету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  <w:r w:rsidR="00675F0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="00675F0B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00 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A333AC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5.9</w:t>
            </w:r>
            <w:r w:rsidR="002E758E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Підготовка конкурсних матеріалів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A333AC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5.10</w:t>
            </w:r>
            <w:r w:rsidR="002E758E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A333A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Доставка конкурсних матеріалів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2F4822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Разом, гривень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8 773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8A53D6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45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Сумарно, гривень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8A53D6" w:rsidP="008A53D6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394 785 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Процедури щодо забезпечення процесу перевірок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Інші процедури (уточнити)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F4822">
              <w:rPr>
                <w:rFonts w:ascii="Times New Roman" w:hAnsi="Times New Roman" w:cs="Times New Roman"/>
                <w:shd w:val="clear" w:color="auto" w:fill="FFFFFF"/>
              </w:rPr>
              <w:t>Разом, гривень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A333AC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Сумарно, гривень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2E758E" w:rsidRPr="002F4822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Бюджетні витрати на адміністрування регулювання </w:t>
      </w:r>
      <w:r w:rsidR="002E758E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суб'єктів малого підприємництва</w:t>
      </w:r>
    </w:p>
    <w:p w:rsidR="002E758E" w:rsidRPr="002F4822" w:rsidRDefault="002E758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2F4822" w:rsidRDefault="002E758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</w:t>
      </w:r>
      <w:r w:rsidR="00477723"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Державний орган, для якого здійснюється розрахунок вартості адміністрування регулювання:</w:t>
      </w:r>
    </w:p>
    <w:p w:rsidR="00477723" w:rsidRPr="002F4822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Міністерство освіти і науки України </w:t>
      </w:r>
    </w:p>
    <w:tbl>
      <w:tblPr>
        <w:tblW w:w="548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7"/>
        <w:gridCol w:w="1268"/>
        <w:gridCol w:w="1624"/>
        <w:gridCol w:w="1422"/>
        <w:gridCol w:w="1525"/>
        <w:gridCol w:w="1910"/>
      </w:tblGrid>
      <w:tr w:rsidR="00477723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мікропідприємництв</w:t>
            </w:r>
            <w:proofErr w:type="spellEnd"/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Планові витрати часу на процедуру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адміністрування регулювання* (за рік), гривень</w:t>
            </w:r>
          </w:p>
        </w:tc>
      </w:tr>
      <w:tr w:rsidR="007140FA" w:rsidRPr="002F4822" w:rsidTr="007140FA">
        <w:trPr>
          <w:trHeight w:val="813"/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1. Облік суб'єкта господарювання, що перебуває у сфері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камеральні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виїзні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6. Підготовка звітності за результатами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7. Інші адміністративні процедури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2F4822" w:rsidRDefault="007140FA" w:rsidP="00D735C8">
            <w:pPr>
              <w:jc w:val="center"/>
              <w:rPr>
                <w:color w:val="auto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2F4822" w:rsidTr="00344658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A333A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7.1. Конкурсні комісії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2F4822" w:rsidRDefault="008A53D6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  <w:r w:rsidR="007140FA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2F4822" w:rsidRDefault="0093093D" w:rsidP="008A53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 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2F4822" w:rsidRDefault="007140FA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2F4822" w:rsidRDefault="007140FA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2F4822" w:rsidRDefault="0093093D" w:rsidP="008A53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  <w:r w:rsidR="008A53D6"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5</w:t>
            </w: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00,0 грн</w:t>
            </w:r>
          </w:p>
        </w:tc>
      </w:tr>
      <w:tr w:rsidR="007140FA" w:rsidRPr="002F4822" w:rsidTr="00344658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2F4822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</w:tr>
    </w:tbl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2F4822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F4822">
        <w:rPr>
          <w:rFonts w:ascii="Times New Roman" w:eastAsia="Times New Roman" w:hAnsi="Times New Roman" w:cs="Times New Roman"/>
          <w:color w:val="auto"/>
          <w:lang w:eastAsia="ru-RU" w:bidi="ar-SA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5501" w:type="pct"/>
        <w:tblCellSpacing w:w="22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8"/>
        <w:gridCol w:w="6627"/>
        <w:gridCol w:w="2652"/>
      </w:tblGrid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Показник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грн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5333A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394 785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2F4822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2F4822" w:rsidRDefault="005333A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F482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394 785</w:t>
            </w:r>
          </w:p>
        </w:tc>
      </w:tr>
    </w:tbl>
    <w:p w:rsidR="002E758E" w:rsidRPr="002F4822" w:rsidRDefault="002E758E" w:rsidP="00D735C8">
      <w:pPr>
        <w:ind w:left="-426" w:firstLine="709"/>
        <w:jc w:val="both"/>
        <w:rPr>
          <w:rFonts w:ascii="Times New Roman" w:eastAsia="Times New Roman" w:hAnsi="Times New Roman"/>
        </w:rPr>
      </w:pPr>
      <w:r w:rsidRPr="002F4822">
        <w:rPr>
          <w:rFonts w:ascii="Times New Roman" w:eastAsia="Times New Roman" w:hAnsi="Times New Roman"/>
        </w:rPr>
        <w:t xml:space="preserve">5. Розроблення </w:t>
      </w:r>
      <w:proofErr w:type="spellStart"/>
      <w:r w:rsidRPr="002F4822">
        <w:rPr>
          <w:rFonts w:ascii="Times New Roman" w:eastAsia="Times New Roman" w:hAnsi="Times New Roman"/>
        </w:rPr>
        <w:t>корегуючих</w:t>
      </w:r>
      <w:proofErr w:type="spellEnd"/>
      <w:r w:rsidRPr="002F4822">
        <w:rPr>
          <w:rFonts w:ascii="Times New Roman" w:eastAsia="Times New Roman" w:hAnsi="Times New Roman"/>
        </w:rPr>
        <w:t xml:space="preserve"> (пом’якшувальних) заходів для малого підприємництва щодо запропонованого регулювання</w:t>
      </w:r>
    </w:p>
    <w:p w:rsidR="004A42E8" w:rsidRPr="00146DD8" w:rsidRDefault="002E758E" w:rsidP="00146DD8">
      <w:pPr>
        <w:ind w:left="-426" w:firstLine="709"/>
        <w:jc w:val="both"/>
        <w:rPr>
          <w:rFonts w:ascii="Times New Roman" w:eastAsia="Times New Roman" w:hAnsi="Times New Roman" w:cs="Times New Roman"/>
        </w:rPr>
      </w:pPr>
      <w:r w:rsidRPr="002F4822">
        <w:rPr>
          <w:rFonts w:ascii="Times New Roman" w:eastAsia="Times New Roman" w:hAnsi="Times New Roman"/>
        </w:rPr>
        <w:t>Запропоноване регулювання планується без розроблення компенсаторів (</w:t>
      </w:r>
      <w:proofErr w:type="spellStart"/>
      <w:r w:rsidRPr="002F4822">
        <w:rPr>
          <w:rFonts w:ascii="Times New Roman" w:eastAsia="Times New Roman" w:hAnsi="Times New Roman"/>
        </w:rPr>
        <w:t>корегуючих</w:t>
      </w:r>
      <w:proofErr w:type="spellEnd"/>
      <w:r w:rsidRPr="002F4822">
        <w:rPr>
          <w:rFonts w:ascii="Times New Roman" w:eastAsia="Times New Roman" w:hAnsi="Times New Roman"/>
        </w:rPr>
        <w:t xml:space="preserve"> (пом’якшувальних) заходів) для малого підприємництва.</w:t>
      </w:r>
    </w:p>
    <w:sectPr w:rsidR="004A42E8" w:rsidRPr="00146DD8" w:rsidSect="00146DD8">
      <w:headerReference w:type="even" r:id="rId9"/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7D" w:rsidRDefault="00B2077D">
      <w:r>
        <w:separator/>
      </w:r>
    </w:p>
  </w:endnote>
  <w:endnote w:type="continuationSeparator" w:id="0">
    <w:p w:rsidR="00B2077D" w:rsidRDefault="00B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7D" w:rsidRDefault="00B2077D">
      <w:r>
        <w:separator/>
      </w:r>
    </w:p>
  </w:footnote>
  <w:footnote w:type="continuationSeparator" w:id="0">
    <w:p w:rsidR="00B2077D" w:rsidRDefault="00B2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97" w:rsidRDefault="00450A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70485" cy="154940"/>
              <wp:effectExtent l="0" t="0" r="6350" b="133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A97" w:rsidRDefault="00450A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1445">
                            <w:rPr>
                              <w:rStyle w:val="TrebuchetMS105pt"/>
                              <w:noProof/>
                            </w:rPr>
                            <w:t>4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9.8pt;margin-top:33.0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F/tgIAAKU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" filled="f" stroked="f">
              <v:textbox style="mso-fit-shape-to-text:t" inset="0,0,0,0">
                <w:txbxContent>
                  <w:p w:rsidR="0025558A" w:rsidRDefault="002555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1445">
                      <w:rPr>
                        <w:rStyle w:val="TrebuchetMS105pt"/>
                        <w:noProof/>
                      </w:rPr>
                      <w:t>4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97" w:rsidRDefault="00450A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140335" cy="154940"/>
              <wp:effectExtent l="0" t="0" r="7620" b="133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A97" w:rsidRDefault="00450A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1D3A" w:rsidRPr="007D1D3A">
                            <w:rPr>
                              <w:rStyle w:val="TrebuchetMS105pt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9.8pt;margin-top:33.05pt;width:11.05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" filled="f" stroked="f">
              <v:textbox style="mso-fit-shape-to-text:t" inset="0,0,0,0">
                <w:txbxContent>
                  <w:p w:rsidR="00450A97" w:rsidRDefault="00450A9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1D3A" w:rsidRPr="007D1D3A">
                      <w:rPr>
                        <w:rStyle w:val="TrebuchetMS105pt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E9A"/>
    <w:multiLevelType w:val="hybridMultilevel"/>
    <w:tmpl w:val="09C4F550"/>
    <w:lvl w:ilvl="0" w:tplc="88A0E3E2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2CA1"/>
    <w:multiLevelType w:val="hybridMultilevel"/>
    <w:tmpl w:val="2DAED390"/>
    <w:lvl w:ilvl="0" w:tplc="5DC24EB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73B"/>
    <w:multiLevelType w:val="hybridMultilevel"/>
    <w:tmpl w:val="6DA859D8"/>
    <w:lvl w:ilvl="0" w:tplc="B58E838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6"/>
    <w:rsid w:val="000279FB"/>
    <w:rsid w:val="000406D0"/>
    <w:rsid w:val="00057DDA"/>
    <w:rsid w:val="000705DC"/>
    <w:rsid w:val="0008182F"/>
    <w:rsid w:val="000968CB"/>
    <w:rsid w:val="000A073D"/>
    <w:rsid w:val="000A23FA"/>
    <w:rsid w:val="000C41A2"/>
    <w:rsid w:val="000D3206"/>
    <w:rsid w:val="000E6A09"/>
    <w:rsid w:val="00111B78"/>
    <w:rsid w:val="001419D0"/>
    <w:rsid w:val="00145443"/>
    <w:rsid w:val="00146DD8"/>
    <w:rsid w:val="00167F04"/>
    <w:rsid w:val="001933C3"/>
    <w:rsid w:val="00196BF9"/>
    <w:rsid w:val="00197173"/>
    <w:rsid w:val="001B02C1"/>
    <w:rsid w:val="001D4EEB"/>
    <w:rsid w:val="001E306A"/>
    <w:rsid w:val="001F0A00"/>
    <w:rsid w:val="001F3D0E"/>
    <w:rsid w:val="0021318E"/>
    <w:rsid w:val="00221E30"/>
    <w:rsid w:val="0022217D"/>
    <w:rsid w:val="002407D9"/>
    <w:rsid w:val="0025558A"/>
    <w:rsid w:val="00270316"/>
    <w:rsid w:val="002725D7"/>
    <w:rsid w:val="002D08FD"/>
    <w:rsid w:val="002D2DBC"/>
    <w:rsid w:val="002E1AD0"/>
    <w:rsid w:val="002E758E"/>
    <w:rsid w:val="002F4822"/>
    <w:rsid w:val="003071CE"/>
    <w:rsid w:val="003213F1"/>
    <w:rsid w:val="00325FBA"/>
    <w:rsid w:val="00335EEE"/>
    <w:rsid w:val="00344658"/>
    <w:rsid w:val="00377B9E"/>
    <w:rsid w:val="00380BBF"/>
    <w:rsid w:val="003822CB"/>
    <w:rsid w:val="00391661"/>
    <w:rsid w:val="003B17BF"/>
    <w:rsid w:val="003B17E5"/>
    <w:rsid w:val="003D53C0"/>
    <w:rsid w:val="003F1058"/>
    <w:rsid w:val="00405112"/>
    <w:rsid w:val="00422FFE"/>
    <w:rsid w:val="00426812"/>
    <w:rsid w:val="00436876"/>
    <w:rsid w:val="00450A97"/>
    <w:rsid w:val="004562CE"/>
    <w:rsid w:val="0046274A"/>
    <w:rsid w:val="00472D8B"/>
    <w:rsid w:val="00473A87"/>
    <w:rsid w:val="00477723"/>
    <w:rsid w:val="00477B69"/>
    <w:rsid w:val="004A42E8"/>
    <w:rsid w:val="004C317D"/>
    <w:rsid w:val="004C491B"/>
    <w:rsid w:val="004D06B1"/>
    <w:rsid w:val="004F15E3"/>
    <w:rsid w:val="0050373F"/>
    <w:rsid w:val="005333AB"/>
    <w:rsid w:val="0055693E"/>
    <w:rsid w:val="00560810"/>
    <w:rsid w:val="00573490"/>
    <w:rsid w:val="005B53D8"/>
    <w:rsid w:val="005C15BC"/>
    <w:rsid w:val="005E40A2"/>
    <w:rsid w:val="005F1F72"/>
    <w:rsid w:val="006028BF"/>
    <w:rsid w:val="0061648F"/>
    <w:rsid w:val="006617A1"/>
    <w:rsid w:val="006635E0"/>
    <w:rsid w:val="00675F0B"/>
    <w:rsid w:val="00683D7B"/>
    <w:rsid w:val="006918B4"/>
    <w:rsid w:val="006B3AE2"/>
    <w:rsid w:val="006C3A2B"/>
    <w:rsid w:val="006C6247"/>
    <w:rsid w:val="006E1248"/>
    <w:rsid w:val="007140FA"/>
    <w:rsid w:val="007153D0"/>
    <w:rsid w:val="00721445"/>
    <w:rsid w:val="00730487"/>
    <w:rsid w:val="00733167"/>
    <w:rsid w:val="00741445"/>
    <w:rsid w:val="00774C5F"/>
    <w:rsid w:val="007848DD"/>
    <w:rsid w:val="007C11B8"/>
    <w:rsid w:val="007D1D3A"/>
    <w:rsid w:val="007D579E"/>
    <w:rsid w:val="007F63F1"/>
    <w:rsid w:val="00813AAA"/>
    <w:rsid w:val="0081508F"/>
    <w:rsid w:val="00815C91"/>
    <w:rsid w:val="00821CEB"/>
    <w:rsid w:val="008223AB"/>
    <w:rsid w:val="00862E0C"/>
    <w:rsid w:val="00875F3F"/>
    <w:rsid w:val="008A53D6"/>
    <w:rsid w:val="008B1611"/>
    <w:rsid w:val="008B16E6"/>
    <w:rsid w:val="008C5874"/>
    <w:rsid w:val="008D59B3"/>
    <w:rsid w:val="008E7ED5"/>
    <w:rsid w:val="008F5EE9"/>
    <w:rsid w:val="00910736"/>
    <w:rsid w:val="0091656D"/>
    <w:rsid w:val="00916575"/>
    <w:rsid w:val="009176D2"/>
    <w:rsid w:val="0093093D"/>
    <w:rsid w:val="00936E6F"/>
    <w:rsid w:val="0097031C"/>
    <w:rsid w:val="009744D8"/>
    <w:rsid w:val="0098645F"/>
    <w:rsid w:val="009A3AE8"/>
    <w:rsid w:val="009C1F10"/>
    <w:rsid w:val="009E16BC"/>
    <w:rsid w:val="009F4CC1"/>
    <w:rsid w:val="00A13BAE"/>
    <w:rsid w:val="00A333AC"/>
    <w:rsid w:val="00A343BB"/>
    <w:rsid w:val="00A36C06"/>
    <w:rsid w:val="00A467A6"/>
    <w:rsid w:val="00A867A5"/>
    <w:rsid w:val="00A87904"/>
    <w:rsid w:val="00A94424"/>
    <w:rsid w:val="00A97679"/>
    <w:rsid w:val="00AA5F8A"/>
    <w:rsid w:val="00AB0B3D"/>
    <w:rsid w:val="00AE151D"/>
    <w:rsid w:val="00AE5216"/>
    <w:rsid w:val="00B13294"/>
    <w:rsid w:val="00B2077D"/>
    <w:rsid w:val="00B237FD"/>
    <w:rsid w:val="00B32236"/>
    <w:rsid w:val="00B451F4"/>
    <w:rsid w:val="00B74D6B"/>
    <w:rsid w:val="00B83622"/>
    <w:rsid w:val="00B84616"/>
    <w:rsid w:val="00B93797"/>
    <w:rsid w:val="00B954D4"/>
    <w:rsid w:val="00BA3A5E"/>
    <w:rsid w:val="00BC2AFE"/>
    <w:rsid w:val="00BC3688"/>
    <w:rsid w:val="00BC5B55"/>
    <w:rsid w:val="00BF2B3C"/>
    <w:rsid w:val="00BF3F40"/>
    <w:rsid w:val="00C009A6"/>
    <w:rsid w:val="00C06B66"/>
    <w:rsid w:val="00C22433"/>
    <w:rsid w:val="00C26140"/>
    <w:rsid w:val="00C30568"/>
    <w:rsid w:val="00C56EBF"/>
    <w:rsid w:val="00C735CA"/>
    <w:rsid w:val="00C904B8"/>
    <w:rsid w:val="00CA56E6"/>
    <w:rsid w:val="00CC64C7"/>
    <w:rsid w:val="00CF4F94"/>
    <w:rsid w:val="00D03426"/>
    <w:rsid w:val="00D10A75"/>
    <w:rsid w:val="00D269F6"/>
    <w:rsid w:val="00D36A82"/>
    <w:rsid w:val="00D71B31"/>
    <w:rsid w:val="00D735C8"/>
    <w:rsid w:val="00D75BF0"/>
    <w:rsid w:val="00D8241B"/>
    <w:rsid w:val="00D93BE2"/>
    <w:rsid w:val="00DA71D3"/>
    <w:rsid w:val="00DC4F95"/>
    <w:rsid w:val="00E0479A"/>
    <w:rsid w:val="00E15EEB"/>
    <w:rsid w:val="00E53B41"/>
    <w:rsid w:val="00E56E38"/>
    <w:rsid w:val="00E57D6B"/>
    <w:rsid w:val="00E61414"/>
    <w:rsid w:val="00E6170A"/>
    <w:rsid w:val="00E62C4B"/>
    <w:rsid w:val="00E63513"/>
    <w:rsid w:val="00E95579"/>
    <w:rsid w:val="00EB2627"/>
    <w:rsid w:val="00EB49E2"/>
    <w:rsid w:val="00EC0115"/>
    <w:rsid w:val="00ED55A0"/>
    <w:rsid w:val="00F00AB9"/>
    <w:rsid w:val="00F32CA3"/>
    <w:rsid w:val="00F3528F"/>
    <w:rsid w:val="00F4725B"/>
    <w:rsid w:val="00F56E76"/>
    <w:rsid w:val="00F87F73"/>
    <w:rsid w:val="00FA1E79"/>
    <w:rsid w:val="00FD3979"/>
    <w:rsid w:val="00FD3C7C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9A85"/>
  <w15:docId w15:val="{4EB04211-AAB4-4BCA-9BFA-1CC161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77723"/>
    <w:pPr>
      <w:shd w:val="clear" w:color="auto" w:fill="FFFFFF"/>
      <w:spacing w:line="317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77723"/>
    <w:pPr>
      <w:shd w:val="clear" w:color="auto" w:fill="FFFFFF"/>
      <w:spacing w:after="600" w:line="317" w:lineRule="exact"/>
      <w:ind w:hanging="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rsid w:val="0047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TrebuchetMS105pt">
    <w:name w:val="Колонтитул + Trebuchet MS;10;5 pt"/>
    <w:rsid w:val="00477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iPriority w:val="99"/>
    <w:unhideWhenUsed/>
    <w:rsid w:val="0047772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477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color w:val="auto"/>
      <w:sz w:val="20"/>
      <w:szCs w:val="20"/>
      <w:lang w:val="x-none" w:eastAsia="zh-CN" w:bidi="ar-SA"/>
    </w:rPr>
  </w:style>
  <w:style w:type="character" w:customStyle="1" w:styleId="HTML0">
    <w:name w:val="Стандартний HTML Знак"/>
    <w:basedOn w:val="a0"/>
    <w:link w:val="HTML"/>
    <w:rsid w:val="00477723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FontStyle44">
    <w:name w:val="Font Style44"/>
    <w:rsid w:val="00477723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47772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ru-RU" w:eastAsia="zh-CN" w:bidi="ar-SA"/>
    </w:rPr>
  </w:style>
  <w:style w:type="paragraph" w:styleId="20">
    <w:name w:val="Body Text 2"/>
    <w:basedOn w:val="a"/>
    <w:link w:val="21"/>
    <w:rsid w:val="0047772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character" w:customStyle="1" w:styleId="21">
    <w:name w:val="Основний текст 2 Знак"/>
    <w:basedOn w:val="a0"/>
    <w:link w:val="20"/>
    <w:rsid w:val="0047772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4">
    <w:name w:val="Hyperlink"/>
    <w:uiPriority w:val="99"/>
    <w:unhideWhenUsed/>
    <w:rsid w:val="00477723"/>
    <w:rPr>
      <w:color w:val="0000FF"/>
      <w:u w:val="single"/>
    </w:rPr>
  </w:style>
  <w:style w:type="paragraph" w:customStyle="1" w:styleId="rvps2">
    <w:name w:val="rvps2"/>
    <w:basedOn w:val="a"/>
    <w:rsid w:val="004777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477723"/>
  </w:style>
  <w:style w:type="character" w:customStyle="1" w:styleId="22">
    <w:name w:val="Основной текст (2)_ Знак"/>
    <w:link w:val="23"/>
    <w:rsid w:val="00F56E76"/>
    <w:rPr>
      <w:rFonts w:cs="Times New Roman"/>
      <w:szCs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F56E76"/>
    <w:pPr>
      <w:shd w:val="clear" w:color="auto" w:fill="FFFFFF"/>
      <w:spacing w:before="1500" w:after="600" w:line="322" w:lineRule="exact"/>
    </w:pPr>
    <w:rPr>
      <w:rFonts w:asciiTheme="minorHAnsi" w:eastAsiaTheme="minorHAnsi" w:hAnsiTheme="minorHAnsi" w:cs="Times New Roman"/>
      <w:color w:val="auto"/>
      <w:sz w:val="22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A71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rvps14">
    <w:name w:val="rvps14"/>
    <w:basedOn w:val="a"/>
    <w:rsid w:val="00B74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735C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35CA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rvts23">
    <w:name w:val="rvts23"/>
    <w:basedOn w:val="a0"/>
    <w:rsid w:val="00A3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D8C6-F9DA-49DF-9ECF-A8558573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15199</Words>
  <Characters>8664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9</cp:revision>
  <cp:lastPrinted>2019-06-05T08:19:00Z</cp:lastPrinted>
  <dcterms:created xsi:type="dcterms:W3CDTF">2019-06-04T11:48:00Z</dcterms:created>
  <dcterms:modified xsi:type="dcterms:W3CDTF">2019-06-06T08:43:00Z</dcterms:modified>
</cp:coreProperties>
</file>