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23" w:rsidRPr="00D735C8" w:rsidRDefault="00477723" w:rsidP="00D735C8">
      <w:pPr>
        <w:pStyle w:val="10"/>
        <w:keepNext/>
        <w:keepLines/>
        <w:shd w:val="clear" w:color="auto" w:fill="auto"/>
        <w:tabs>
          <w:tab w:val="left" w:pos="851"/>
        </w:tabs>
        <w:spacing w:line="240" w:lineRule="auto"/>
        <w:ind w:firstLine="0"/>
      </w:pPr>
      <w:bookmarkStart w:id="0" w:name="bookmark0"/>
      <w:r w:rsidRPr="00D735C8">
        <w:t>Аналіз</w:t>
      </w:r>
      <w:bookmarkEnd w:id="0"/>
    </w:p>
    <w:p w:rsidR="00A87904" w:rsidRPr="00D735C8" w:rsidRDefault="00477723" w:rsidP="00D735C8">
      <w:pPr>
        <w:pStyle w:val="a3"/>
        <w:jc w:val="center"/>
        <w:rPr>
          <w:b/>
          <w:sz w:val="28"/>
          <w:szCs w:val="28"/>
        </w:rPr>
      </w:pPr>
      <w:r w:rsidRPr="00D735C8">
        <w:rPr>
          <w:b/>
          <w:sz w:val="28"/>
          <w:szCs w:val="28"/>
        </w:rPr>
        <w:t xml:space="preserve">регуляторного впливу проекту наказу Міністерства освіти і науки України </w:t>
      </w:r>
      <w:r w:rsidR="00A87904" w:rsidRPr="00D735C8">
        <w:rPr>
          <w:b/>
          <w:sz w:val="28"/>
          <w:szCs w:val="28"/>
        </w:rPr>
        <w:t>«</w:t>
      </w:r>
      <w:r w:rsidR="00A87904" w:rsidRPr="00D735C8">
        <w:rPr>
          <w:rFonts w:eastAsia="Times New Roman"/>
          <w:b/>
          <w:bCs/>
          <w:sz w:val="28"/>
          <w:szCs w:val="28"/>
          <w:lang w:eastAsia="ru-RU"/>
        </w:rPr>
        <w:t xml:space="preserve">Про </w:t>
      </w:r>
      <w:r w:rsidR="00A87904" w:rsidRPr="00D735C8">
        <w:rPr>
          <w:b/>
          <w:sz w:val="28"/>
          <w:szCs w:val="28"/>
        </w:rPr>
        <w:t>затвердження Порядку конкурсного відбору підручників (крім електронних) для здобувачів повної загальної середньої освіти і педагогічних працівників»</w:t>
      </w:r>
    </w:p>
    <w:p w:rsidR="00477723" w:rsidRDefault="00477723" w:rsidP="00D735C8">
      <w:pPr>
        <w:pStyle w:val="30"/>
        <w:shd w:val="clear" w:color="auto" w:fill="auto"/>
        <w:tabs>
          <w:tab w:val="left" w:pos="851"/>
        </w:tabs>
        <w:spacing w:after="0" w:line="240" w:lineRule="auto"/>
        <w:ind w:firstLine="0"/>
        <w:jc w:val="center"/>
      </w:pPr>
    </w:p>
    <w:p w:rsidR="00CA56E6" w:rsidRPr="00D735C8" w:rsidRDefault="00CA56E6" w:rsidP="00D735C8">
      <w:pPr>
        <w:pStyle w:val="30"/>
        <w:shd w:val="clear" w:color="auto" w:fill="auto"/>
        <w:tabs>
          <w:tab w:val="left" w:pos="851"/>
        </w:tabs>
        <w:spacing w:after="0" w:line="240" w:lineRule="auto"/>
        <w:ind w:firstLine="0"/>
        <w:jc w:val="center"/>
      </w:pPr>
    </w:p>
    <w:p w:rsidR="00477723" w:rsidRPr="00D735C8" w:rsidRDefault="00477723" w:rsidP="00D735C8">
      <w:pPr>
        <w:pStyle w:val="10"/>
        <w:keepNext/>
        <w:keepLines/>
        <w:shd w:val="clear" w:color="auto" w:fill="auto"/>
        <w:tabs>
          <w:tab w:val="left" w:pos="851"/>
          <w:tab w:val="left" w:pos="3674"/>
        </w:tabs>
        <w:spacing w:line="240" w:lineRule="auto"/>
        <w:ind w:left="3380" w:firstLine="0"/>
        <w:jc w:val="both"/>
      </w:pPr>
      <w:bookmarkStart w:id="1" w:name="bookmark1"/>
      <w:r w:rsidRPr="00D735C8">
        <w:t>І.</w:t>
      </w:r>
      <w:r w:rsidRPr="00D735C8">
        <w:tab/>
        <w:t>Визначення проблеми</w:t>
      </w:r>
      <w:bookmarkEnd w:id="1"/>
    </w:p>
    <w:p w:rsidR="00477723" w:rsidRPr="00D735C8" w:rsidRDefault="00477723" w:rsidP="00D735C8">
      <w:pPr>
        <w:pStyle w:val="a3"/>
        <w:tabs>
          <w:tab w:val="left" w:pos="851"/>
        </w:tabs>
        <w:ind w:firstLine="708"/>
        <w:jc w:val="both"/>
        <w:rPr>
          <w:rFonts w:eastAsia="Times New Roman"/>
          <w:color w:val="auto"/>
          <w:sz w:val="28"/>
          <w:szCs w:val="28"/>
          <w:lang w:bidi="ar-SA"/>
        </w:rPr>
      </w:pPr>
      <w:r w:rsidRPr="00D735C8">
        <w:rPr>
          <w:color w:val="auto"/>
          <w:sz w:val="28"/>
          <w:szCs w:val="28"/>
          <w:shd w:val="clear" w:color="auto" w:fill="FFFFFF"/>
        </w:rPr>
        <w:t>Реформування змісту загальної середньої освіти передбачає розроблення принципово нових підручників, які повинні ґрунтуватися на компетентнісному та особистісно-орієнтованому підході до навчання, враховувати вікові особливості психофізичного розвитку учнів, передбачати здобуття ними умінь і навичок, необхідних для успішної самореалізації в професійній діяльності, особистому житті, громадській активності.</w:t>
      </w:r>
    </w:p>
    <w:p w:rsidR="00477723" w:rsidRPr="00D735C8" w:rsidRDefault="00477723" w:rsidP="00D735C8">
      <w:pPr>
        <w:tabs>
          <w:tab w:val="left" w:pos="851"/>
        </w:tabs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Постановою Кабінету Міністрів України від 23 листопада 2011 року          № 1392 затверджено Державний стандарт базової і повної загальної середньої освіти, впровадження якого в частині повної загальної середньої освіти розпочалося з 1 вересня 2018 року. Відповідно до </w:t>
      </w:r>
      <w:r w:rsidR="00380BBF">
        <w:rPr>
          <w:rFonts w:ascii="Times New Roman" w:hAnsi="Times New Roman" w:cs="Times New Roman"/>
          <w:color w:val="auto"/>
          <w:sz w:val="28"/>
          <w:szCs w:val="28"/>
        </w:rPr>
        <w:t>цього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стандарту оновлено навчальні програми для основної школи і розроблено нові навчальні програми для старшої школи. Підручники для закладів загальної середньо</w:t>
      </w:r>
      <w:r w:rsidR="006C3A2B">
        <w:rPr>
          <w:rFonts w:ascii="Times New Roman" w:hAnsi="Times New Roman" w:cs="Times New Roman"/>
          <w:color w:val="auto"/>
          <w:sz w:val="28"/>
          <w:szCs w:val="28"/>
        </w:rPr>
        <w:t>ї освіти (далі – ЗЗСО) за цими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програ</w:t>
      </w:r>
      <w:r w:rsidR="006C3A2B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ми </w:t>
      </w:r>
      <w:r w:rsidR="002407D9" w:rsidRPr="00D735C8">
        <w:rPr>
          <w:rFonts w:ascii="Times New Roman" w:hAnsi="Times New Roman" w:cs="Times New Roman"/>
          <w:color w:val="auto"/>
          <w:sz w:val="28"/>
          <w:szCs w:val="28"/>
        </w:rPr>
        <w:t>до 2018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року не друкувалися.</w:t>
      </w:r>
      <w:r w:rsidRPr="00D735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77723" w:rsidRPr="00D735C8" w:rsidRDefault="00477723" w:rsidP="00D735C8">
      <w:pPr>
        <w:tabs>
          <w:tab w:val="left" w:pos="851"/>
        </w:tabs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Постановою Кабінету Міністрів України від </w:t>
      </w:r>
      <w:r w:rsidRPr="00D735C8">
        <w:rPr>
          <w:rFonts w:ascii="Times New Roman" w:hAnsi="Times New Roman"/>
          <w:color w:val="auto"/>
          <w:sz w:val="28"/>
          <w:szCs w:val="28"/>
        </w:rPr>
        <w:t xml:space="preserve">21 лютого 2018 року № 87 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>затверджено Державний стандарт початкової освіти, впровадження якого розпочалося з 1 ве</w:t>
      </w:r>
      <w:r w:rsidR="00380BBF">
        <w:rPr>
          <w:rFonts w:ascii="Times New Roman" w:hAnsi="Times New Roman" w:cs="Times New Roman"/>
          <w:color w:val="auto"/>
          <w:sz w:val="28"/>
          <w:szCs w:val="28"/>
        </w:rPr>
        <w:t>ресня 2018 року. Відповідно до цього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стандарту розроблено типові освітні програми, за якими у 2018/2019 році розпочалося навчання учні</w:t>
      </w:r>
      <w:r w:rsidR="002407D9" w:rsidRPr="00D735C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1 класу ЗЗСО. </w:t>
      </w:r>
    </w:p>
    <w:p w:rsidR="008F5EE9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Відсутність нових підручників поверне процес навчання до старих стандартів, які не відповідають європейським нормам та вимогам, внаслідок чого відбудеться зрив освітнього процесу, загострення соціальної напруги в суспільстві і, як наслідок, порушення конституційного права кожного громадянина на доступність та безоплатність освіти. </w:t>
      </w:r>
      <w:r w:rsidR="008F5EE9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Відповідно до паспорту бюджетної програми КПКВК 2201170 «Здійснення методичного та матеріально-технічного забезпечення діяльності навчальних закладів, забезпечення діяльності експертних рад з питань проведення експертизи дисертацій» на 2019 рік, при виданні </w:t>
      </w:r>
      <w:r w:rsidR="00C904B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3 1</w:t>
      </w:r>
      <w:r w:rsidR="006C6247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09</w:t>
      </w:r>
      <w:r w:rsidR="00C904B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</w:t>
      </w:r>
      <w:r w:rsidR="006C6247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728</w:t>
      </w:r>
      <w:r w:rsidR="008F5EE9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примірників підручників для </w:t>
      </w:r>
      <w:r w:rsidR="00C904B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2 </w:t>
      </w:r>
      <w:r w:rsidR="008F5EE9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класу </w:t>
      </w:r>
      <w:r w:rsidR="00C904B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навчанням українською мовою </w:t>
      </w:r>
      <w:r w:rsidR="008F5EE9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ЗЗСО середня вартість видання одного примірника становить </w:t>
      </w:r>
      <w:r w:rsidR="006C6247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39,00</w:t>
      </w:r>
      <w:r w:rsidR="008F5EE9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гривень. </w:t>
      </w: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Основні групи,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2"/>
        <w:gridCol w:w="2842"/>
        <w:gridCol w:w="2573"/>
      </w:tblGrid>
      <w:tr w:rsidR="00477723" w:rsidRPr="00D735C8" w:rsidTr="00DA71D3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Групи (підгрупи)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Ні</w:t>
            </w:r>
          </w:p>
        </w:tc>
      </w:tr>
      <w:tr w:rsidR="00DA71D3" w:rsidRPr="00D735C8" w:rsidTr="00DA71D3">
        <w:trPr>
          <w:trHeight w:val="258"/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D735C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D735C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>–</w:t>
            </w:r>
          </w:p>
        </w:tc>
      </w:tr>
      <w:tr w:rsidR="00DA71D3" w:rsidRPr="00D735C8" w:rsidTr="00DA71D3">
        <w:trPr>
          <w:trHeight w:val="223"/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Держава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735C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D735C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–</w:t>
            </w:r>
          </w:p>
        </w:tc>
      </w:tr>
      <w:tr w:rsidR="00DA71D3" w:rsidRPr="00D735C8" w:rsidTr="00DA71D3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Суб'єкти господарювання,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735C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D735C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–</w:t>
            </w:r>
          </w:p>
        </w:tc>
      </w:tr>
      <w:tr w:rsidR="00DA71D3" w:rsidRPr="00D735C8" w:rsidTr="00DA71D3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 тому числі суб'єкти малого підприємництва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735C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1D3" w:rsidRPr="00D735C8" w:rsidRDefault="00DA71D3" w:rsidP="00D735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D735C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–</w:t>
            </w:r>
          </w:p>
        </w:tc>
      </w:tr>
    </w:tbl>
    <w:p w:rsidR="00477723" w:rsidRPr="00D735C8" w:rsidRDefault="00477723" w:rsidP="00D735C8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color w:val="auto"/>
          <w:sz w:val="28"/>
          <w:szCs w:val="28"/>
        </w:rPr>
        <w:t>Наказом про</w:t>
      </w:r>
      <w:r w:rsidR="001B02C1" w:rsidRPr="00D735C8">
        <w:rPr>
          <w:rFonts w:ascii="Times New Roman" w:hAnsi="Times New Roman" w:cs="Times New Roman"/>
          <w:color w:val="auto"/>
          <w:sz w:val="28"/>
          <w:szCs w:val="28"/>
        </w:rPr>
        <w:t>понується затвердити уніфікований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(без поділу на класи) </w:t>
      </w:r>
      <w:r w:rsidR="001B02C1" w:rsidRPr="00D735C8">
        <w:rPr>
          <w:rFonts w:ascii="Times New Roman" w:hAnsi="Times New Roman" w:cs="Times New Roman"/>
          <w:sz w:val="28"/>
          <w:szCs w:val="28"/>
        </w:rPr>
        <w:lastRenderedPageBreak/>
        <w:t>Порядок конкурсного відбору підручників (крім електронних) для здобувачів повної загальної середньої освіти і педагогічних працівників (далі – Порядок)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373F"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який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визначає порядок проведення конкурсного відбору </w:t>
      </w:r>
      <w:r w:rsidR="004D06B1"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проектів 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підручників </w:t>
      </w:r>
      <w:r w:rsidR="004D06B1"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для ЗССО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4D06B1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предметів вивчення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D06B1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навчальних предметів</w:t>
      </w:r>
      <w:r w:rsidR="004D06B1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згідно з переліком, який затверджується наказом МОН про проведення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конкурсного відбору проектів підручників 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>(далі – Конкурс).</w:t>
      </w:r>
    </w:p>
    <w:p w:rsidR="00477723" w:rsidRPr="00D735C8" w:rsidRDefault="00477723" w:rsidP="00D735C8">
      <w:pPr>
        <w:pStyle w:val="rvps2"/>
        <w:tabs>
          <w:tab w:val="left" w:pos="851"/>
        </w:tabs>
        <w:spacing w:before="0" w:beforeAutospacing="0" w:after="4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735C8">
        <w:rPr>
          <w:color w:val="000000"/>
          <w:sz w:val="28"/>
          <w:szCs w:val="28"/>
        </w:rPr>
        <w:t>У свою чергу накази МОН</w:t>
      </w:r>
      <w:r w:rsidRPr="00D735C8">
        <w:rPr>
          <w:color w:val="000000"/>
          <w:sz w:val="28"/>
          <w:szCs w:val="28"/>
          <w:shd w:val="clear" w:color="auto" w:fill="FFFFFF"/>
        </w:rPr>
        <w:t xml:space="preserve"> </w:t>
      </w:r>
      <w:r w:rsidRPr="00D735C8">
        <w:rPr>
          <w:bCs/>
          <w:color w:val="000000"/>
          <w:sz w:val="28"/>
          <w:szCs w:val="28"/>
          <w:shd w:val="clear" w:color="auto" w:fill="FFFFFF"/>
        </w:rPr>
        <w:t xml:space="preserve">від 05 січня 2018 року № 14 </w:t>
      </w:r>
      <w:r w:rsidR="0050373F" w:rsidRPr="00D735C8">
        <w:rPr>
          <w:color w:val="000000"/>
          <w:sz w:val="28"/>
          <w:szCs w:val="28"/>
        </w:rPr>
        <w:t>«</w:t>
      </w:r>
      <w:r w:rsidRPr="00D735C8">
        <w:rPr>
          <w:bCs/>
          <w:color w:val="000000"/>
          <w:sz w:val="28"/>
          <w:szCs w:val="28"/>
          <w:shd w:val="clear" w:color="auto" w:fill="FFFFFF"/>
        </w:rPr>
        <w:t xml:space="preserve">Про затвердження Положення про конкурсний відбір проектів підручників для </w:t>
      </w:r>
      <w:r w:rsidR="00C904B8" w:rsidRPr="00D735C8">
        <w:rPr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D735C8">
        <w:rPr>
          <w:bCs/>
          <w:color w:val="000000"/>
          <w:sz w:val="28"/>
          <w:szCs w:val="28"/>
          <w:shd w:val="clear" w:color="auto" w:fill="FFFFFF"/>
        </w:rPr>
        <w:t>5-9 та 10-11 класів закладів загальної середньої освіти</w:t>
      </w:r>
      <w:r w:rsidR="0050373F" w:rsidRPr="00D735C8">
        <w:rPr>
          <w:bCs/>
          <w:color w:val="000000"/>
          <w:sz w:val="28"/>
          <w:szCs w:val="28"/>
          <w:shd w:val="clear" w:color="auto" w:fill="FFFFFF"/>
        </w:rPr>
        <w:t>»</w:t>
      </w:r>
      <w:r w:rsidRPr="00D735C8">
        <w:rPr>
          <w:bCs/>
          <w:color w:val="000000"/>
          <w:sz w:val="28"/>
          <w:szCs w:val="28"/>
          <w:shd w:val="clear" w:color="auto" w:fill="FFFFFF"/>
        </w:rPr>
        <w:t xml:space="preserve">, зареєстрований </w:t>
      </w:r>
      <w:r w:rsidRPr="00D735C8">
        <w:rPr>
          <w:color w:val="000000"/>
          <w:sz w:val="28"/>
          <w:szCs w:val="28"/>
        </w:rPr>
        <w:t xml:space="preserve">у Міністерстві юстиції України </w:t>
      </w:r>
      <w:r w:rsidRPr="00D735C8">
        <w:rPr>
          <w:rStyle w:val="rvts9"/>
          <w:bCs/>
          <w:color w:val="000000"/>
          <w:sz w:val="28"/>
          <w:szCs w:val="28"/>
          <w:shd w:val="clear" w:color="auto" w:fill="FFFFFF"/>
        </w:rPr>
        <w:t>30 січня 2018 року</w:t>
      </w:r>
      <w:r w:rsidRPr="00D735C8">
        <w:rPr>
          <w:color w:val="000000"/>
          <w:sz w:val="28"/>
          <w:szCs w:val="28"/>
          <w:shd w:val="clear" w:color="auto" w:fill="FFFFFF"/>
        </w:rPr>
        <w:t xml:space="preserve"> </w:t>
      </w:r>
      <w:r w:rsidR="006918B4" w:rsidRPr="00D735C8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за № 119/31571, </w:t>
      </w:r>
      <w:r w:rsidRPr="00D735C8">
        <w:rPr>
          <w:rStyle w:val="rvts9"/>
          <w:color w:val="000000"/>
          <w:sz w:val="28"/>
          <w:szCs w:val="28"/>
          <w:shd w:val="clear" w:color="auto" w:fill="FFFFFF"/>
        </w:rPr>
        <w:t xml:space="preserve">та </w:t>
      </w:r>
      <w:r w:rsidRPr="00D735C8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від </w:t>
      </w:r>
      <w:r w:rsidR="00C904B8" w:rsidRPr="00D735C8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="0050373F" w:rsidRPr="00D735C8">
        <w:rPr>
          <w:bCs/>
          <w:color w:val="000000"/>
          <w:sz w:val="28"/>
          <w:szCs w:val="28"/>
          <w:shd w:val="clear" w:color="auto" w:fill="FFFFFF"/>
        </w:rPr>
        <w:t>16 березня 2018 року № 248 «</w:t>
      </w:r>
      <w:r w:rsidRPr="00D735C8">
        <w:rPr>
          <w:bCs/>
          <w:color w:val="000000"/>
          <w:sz w:val="28"/>
          <w:szCs w:val="28"/>
          <w:shd w:val="clear" w:color="auto" w:fill="FFFFFF"/>
        </w:rPr>
        <w:t>Про затвердження Положення про конкурсний відбір проектів підручників для 1-2 класів закл</w:t>
      </w:r>
      <w:r w:rsidR="0050373F" w:rsidRPr="00D735C8">
        <w:rPr>
          <w:bCs/>
          <w:color w:val="000000"/>
          <w:sz w:val="28"/>
          <w:szCs w:val="28"/>
          <w:shd w:val="clear" w:color="auto" w:fill="FFFFFF"/>
        </w:rPr>
        <w:t>адів загальної середньої освіти»</w:t>
      </w:r>
      <w:r w:rsidRPr="00D735C8">
        <w:rPr>
          <w:bCs/>
          <w:color w:val="000000"/>
          <w:sz w:val="28"/>
          <w:szCs w:val="28"/>
          <w:shd w:val="clear" w:color="auto" w:fill="FFFFFF"/>
        </w:rPr>
        <w:t xml:space="preserve">, зареєстрований </w:t>
      </w:r>
      <w:r w:rsidRPr="00D735C8">
        <w:rPr>
          <w:color w:val="000000"/>
          <w:sz w:val="28"/>
          <w:szCs w:val="28"/>
        </w:rPr>
        <w:t xml:space="preserve">у Міністерстві юстиції України </w:t>
      </w:r>
      <w:r w:rsidRPr="00D735C8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26 березня 2018 року за </w:t>
      </w:r>
      <w:r w:rsidR="00C904B8" w:rsidRPr="00D735C8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Pr="00D735C8">
        <w:rPr>
          <w:rStyle w:val="rvts9"/>
          <w:bCs/>
          <w:color w:val="000000"/>
          <w:sz w:val="28"/>
          <w:szCs w:val="28"/>
          <w:shd w:val="clear" w:color="auto" w:fill="FFFFFF"/>
        </w:rPr>
        <w:t>№ 359/31811 (із змінами)</w:t>
      </w:r>
      <w:r w:rsidR="0022217D" w:rsidRPr="00D735C8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(далі – чинні положення)</w:t>
      </w:r>
      <w:r w:rsidRPr="00D735C8">
        <w:rPr>
          <w:rStyle w:val="rvts9"/>
          <w:bCs/>
          <w:color w:val="000000"/>
          <w:sz w:val="28"/>
          <w:szCs w:val="28"/>
          <w:shd w:val="clear" w:color="auto" w:fill="FFFFFF"/>
        </w:rPr>
        <w:t>, пропонується визнати такими, що втратили чинність.</w:t>
      </w:r>
    </w:p>
    <w:p w:rsidR="00477723" w:rsidRPr="00D735C8" w:rsidRDefault="00477723" w:rsidP="00D735C8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Метою </w:t>
      </w:r>
      <w:r w:rsidR="0022217D" w:rsidRPr="00D735C8">
        <w:rPr>
          <w:rFonts w:ascii="Times New Roman" w:hAnsi="Times New Roman" w:cs="Times New Roman"/>
          <w:color w:val="auto"/>
          <w:sz w:val="28"/>
          <w:szCs w:val="28"/>
        </w:rPr>
        <w:t>прийняття наказу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є с</w:t>
      </w:r>
      <w:r w:rsidRPr="00D735C8">
        <w:rPr>
          <w:rFonts w:ascii="Times New Roman" w:hAnsi="Times New Roman" w:cs="Times New Roman"/>
          <w:sz w:val="28"/>
          <w:szCs w:val="26"/>
        </w:rPr>
        <w:t xml:space="preserve">творення умов для підготовки більш якісних підручників для </w:t>
      </w:r>
      <w:r w:rsidR="004D06B1" w:rsidRPr="00D735C8">
        <w:rPr>
          <w:rFonts w:ascii="Times New Roman" w:eastAsia="Calibri" w:hAnsi="Times New Roman" w:cs="Times New Roman"/>
          <w:sz w:val="28"/>
          <w:szCs w:val="28"/>
        </w:rPr>
        <w:t>ЗЗСО</w:t>
      </w:r>
      <w:r w:rsidRPr="00D735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35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що дозволить створити передумови реалізації на державному рівні </w:t>
      </w:r>
      <w:r w:rsidRPr="00D735C8">
        <w:rPr>
          <w:rFonts w:ascii="Times New Roman" w:eastAsia="Times New Roman" w:hAnsi="Times New Roman" w:cs="Times New Roman"/>
          <w:sz w:val="28"/>
          <w:szCs w:val="28"/>
        </w:rPr>
        <w:t xml:space="preserve">якісної </w:t>
      </w:r>
      <w:r w:rsidR="00C009A6" w:rsidRPr="00D735C8">
        <w:rPr>
          <w:rFonts w:ascii="Times New Roman" w:eastAsia="Times New Roman" w:hAnsi="Times New Roman" w:cs="Times New Roman"/>
          <w:sz w:val="28"/>
          <w:szCs w:val="28"/>
        </w:rPr>
        <w:t>загальної середньої освіти та розв’язати проблему (низька якість підручників), яка, першочергово, справляє негативний вплив на здобувачів загальної середньої освіти та педагогічних працівників.</w:t>
      </w:r>
    </w:p>
    <w:p w:rsidR="004C491B" w:rsidRPr="00D735C8" w:rsidRDefault="007F63F1" w:rsidP="00D735C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Окреслена проблема не може бути розв’язана за допомогою ринкових механізмів</w:t>
      </w:r>
      <w:r w:rsidR="00F3528F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, оскільки саме держава взяла на себе обов’язок безоплатного</w:t>
      </w:r>
      <w:r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забезпечення підручниками всіх здобувачів загальної середньої освіти та педагогічних працівників</w:t>
      </w:r>
      <w:r w:rsidR="00F3528F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який виконується </w:t>
      </w:r>
      <w:r w:rsidR="004C491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шляхом виділення </w:t>
      </w:r>
      <w:r w:rsidR="00F3528F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4C491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бюджету бюджетних коштів, ефективність та раціональність використання яких, пов’</w:t>
      </w:r>
      <w:r w:rsidR="00C22433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язана із</w:t>
      </w:r>
      <w:r w:rsidR="004C491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8FD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r w:rsidR="00380BB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D08FD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рівні нормативно-правового акта)</w:t>
      </w:r>
      <w:r w:rsidR="004C491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8FD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прозорої</w:t>
      </w:r>
      <w:r w:rsidR="004C491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2D08FD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чіткої</w:t>
      </w:r>
      <w:r w:rsidR="004C491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</w:t>
      </w:r>
      <w:r w:rsidR="002D08FD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</w:t>
      </w:r>
      <w:r w:rsidR="004C491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r w:rsidR="002D08FD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отримання.</w:t>
      </w:r>
    </w:p>
    <w:p w:rsidR="007F63F1" w:rsidRPr="00D735C8" w:rsidRDefault="00C22433" w:rsidP="00D735C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 із цим, окреслена </w:t>
      </w:r>
      <w:r w:rsidR="007F63F1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не може бути розв’язана за допомогою діючих регуляторних актів</w:t>
      </w:r>
      <w:r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огляду на те, що чинні положення </w:t>
      </w:r>
      <w:r w:rsidR="00C009A6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маю</w:t>
      </w:r>
      <w:r w:rsidR="00E57D6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C009A6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правові вади, які необхідно усун</w:t>
      </w:r>
      <w:r w:rsidR="00C904B8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009A6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ти, зокрема, правові прогалини, відсутність правової визначеності, незбалансованість норм тощо.</w:t>
      </w:r>
    </w:p>
    <w:p w:rsidR="00477723" w:rsidRPr="00D735C8" w:rsidRDefault="00477723" w:rsidP="00D735C8">
      <w:pPr>
        <w:tabs>
          <w:tab w:val="left" w:pos="851"/>
        </w:tabs>
        <w:autoSpaceDE w:val="0"/>
        <w:autoSpaceDN w:val="0"/>
        <w:adjustRightInd w:val="0"/>
        <w:ind w:left="851" w:hanging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477723" w:rsidRPr="00D735C8" w:rsidRDefault="00477723" w:rsidP="00D735C8">
      <w:pPr>
        <w:tabs>
          <w:tab w:val="left" w:pos="851"/>
        </w:tabs>
        <w:autoSpaceDE w:val="0"/>
        <w:autoSpaceDN w:val="0"/>
        <w:adjustRightInd w:val="0"/>
        <w:ind w:left="851" w:hanging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ІІ. Цілі державного регулювання</w:t>
      </w:r>
    </w:p>
    <w:p w:rsidR="00CA56E6" w:rsidRPr="00D735C8" w:rsidRDefault="00477723" w:rsidP="00D735C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ab/>
      </w:r>
      <w:r w:rsidR="00E56E3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Порядком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передбачається відбір проектів підручників з метою:</w:t>
      </w:r>
    </w:p>
    <w:p w:rsidR="00477723" w:rsidRPr="00D735C8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4465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осилення українознавчої та морально-етичної спрямованості, відображення сучасних наукових досягнень у змістовій частині підручників шляхом залучення в установленому порядку Національної академії наук України та Національної академії педагогічних наук Украї</w:t>
      </w:r>
      <w:r w:rsidR="0034465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 для здійснення їх експертизи;</w:t>
      </w:r>
    </w:p>
    <w:p w:rsidR="00477723" w:rsidRPr="00D735C8" w:rsidRDefault="00477723" w:rsidP="00D735C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4465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абезпечення вивчення</w:t>
      </w:r>
      <w:r w:rsidR="009E16BC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 викладання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навчальних предметів</w:t>
      </w:r>
      <w:r w:rsidR="007C11B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(предметів вивчення)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якісною навчальною літературою.</w:t>
      </w:r>
    </w:p>
    <w:p w:rsidR="00380BBF" w:rsidRPr="00D735C8" w:rsidRDefault="00380BBF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BBF" w:rsidRPr="00D735C8" w:rsidRDefault="00477723" w:rsidP="00380BBF">
      <w:pPr>
        <w:tabs>
          <w:tab w:val="left" w:pos="142"/>
          <w:tab w:val="left" w:pos="851"/>
        </w:tabs>
        <w:autoSpaceDE w:val="0"/>
        <w:autoSpaceDN w:val="0"/>
        <w:adjustRightInd w:val="0"/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ІІІ. Визначення та оцінка альтернативних способів досягнення встановлених цілей</w:t>
      </w:r>
    </w:p>
    <w:p w:rsidR="00380BBF" w:rsidRPr="00D735C8" w:rsidRDefault="00477723" w:rsidP="00380BBF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 Визначення альтернативних способів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5"/>
        <w:gridCol w:w="6942"/>
      </w:tblGrid>
      <w:tr w:rsidR="00477723" w:rsidRPr="00D735C8" w:rsidTr="0022217D">
        <w:trPr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Опис альтернативи</w:t>
            </w:r>
          </w:p>
        </w:tc>
      </w:tr>
      <w:tr w:rsidR="00477723" w:rsidRPr="00D735C8" w:rsidTr="0022217D">
        <w:trPr>
          <w:trHeight w:val="228"/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Альтернатива 1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344658" w:rsidP="00D735C8">
            <w:pPr>
              <w:widowControl/>
              <w:tabs>
                <w:tab w:val="left" w:pos="142"/>
                <w:tab w:val="left" w:pos="851"/>
              </w:tabs>
              <w:ind w:firstLine="2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Збереження чинного регулювання. </w:t>
            </w:r>
            <w:r w:rsidR="00477723"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Залишити </w:t>
            </w:r>
            <w:r w:rsidR="0022217D"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юридичну силу чинних положень.</w:t>
            </w:r>
          </w:p>
        </w:tc>
      </w:tr>
      <w:tr w:rsidR="00477723" w:rsidRPr="00D735C8" w:rsidTr="0022217D">
        <w:trPr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658" w:rsidRPr="00D735C8" w:rsidRDefault="0022217D" w:rsidP="00D735C8">
            <w:pPr>
              <w:widowControl/>
              <w:tabs>
                <w:tab w:val="left" w:pos="142"/>
                <w:tab w:val="left" w:pos="851"/>
              </w:tabs>
              <w:ind w:firstLine="22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Затвердити наказ та </w:t>
            </w:r>
            <w:r w:rsidR="0050373F"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Порядок</w:t>
            </w:r>
            <w:r w:rsidR="0050373F"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="00344658"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 одночасним визнанням такими, що втратили чинність наказів МОН:</w:t>
            </w:r>
          </w:p>
          <w:p w:rsidR="00344658" w:rsidRPr="00D735C8" w:rsidRDefault="00344658" w:rsidP="00D735C8">
            <w:pPr>
              <w:widowControl/>
              <w:tabs>
                <w:tab w:val="left" w:pos="142"/>
                <w:tab w:val="left" w:pos="851"/>
              </w:tabs>
              <w:ind w:firstLine="22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від 05 січня 2018 року № 14 </w:t>
            </w:r>
            <w:r w:rsidR="00C735CA"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«</w:t>
            </w:r>
            <w:r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 затвердження Положення про конкурсний відбір проектів підручників для 5-9 та 10-11 класів закладів загальної середньої освіти</w:t>
            </w:r>
            <w:r w:rsidR="00C735CA"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»</w:t>
            </w:r>
            <w:r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, зареєстрованого у Міністерстві юстиції України 30 січня 2018 року за № 119/31571;</w:t>
            </w:r>
          </w:p>
          <w:p w:rsidR="00344658" w:rsidRPr="00D735C8" w:rsidRDefault="00344658" w:rsidP="00D735C8">
            <w:pPr>
              <w:widowControl/>
              <w:tabs>
                <w:tab w:val="left" w:pos="142"/>
                <w:tab w:val="left" w:pos="851"/>
              </w:tabs>
              <w:ind w:firstLine="2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від 16 березня 2018 року № 248 </w:t>
            </w:r>
            <w:r w:rsidR="00C735CA"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«</w:t>
            </w:r>
            <w:r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 затвердження Положення про конкурсний відбір проектів підручників для 1-2 класів закладів загальної середньої освіти</w:t>
            </w:r>
            <w:r w:rsidR="00C735CA"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»</w:t>
            </w:r>
            <w:r w:rsidRPr="00D735C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, зареєстрованого у Міністерстві юстиції України 26 березня 2018 року за № 359/31811 (із змінами).</w:t>
            </w:r>
          </w:p>
        </w:tc>
      </w:tr>
    </w:tbl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 Оцінка вибраних альтернативних способів досягнення цілей</w:t>
      </w:r>
    </w:p>
    <w:p w:rsidR="007C11B8" w:rsidRPr="00D735C8" w:rsidRDefault="007C11B8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Оцінка впливу на сферу інтересів держави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5"/>
        <w:gridCol w:w="3870"/>
        <w:gridCol w:w="3872"/>
      </w:tblGrid>
      <w:tr w:rsidR="00477723" w:rsidRPr="00D735C8" w:rsidTr="0022217D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477723" w:rsidRPr="00D735C8" w:rsidTr="0022217D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</w:tr>
      <w:tr w:rsidR="00477723" w:rsidRPr="00D735C8" w:rsidTr="0022217D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D735C8" w:rsidRDefault="006918B4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hAnsi="Times New Roman" w:cs="Times New Roman"/>
                <w:color w:val="auto"/>
                <w:sz w:val="28"/>
                <w:szCs w:val="26"/>
              </w:rPr>
              <w:t>з</w:t>
            </w:r>
            <w:r w:rsidR="0022217D" w:rsidRPr="00D735C8">
              <w:rPr>
                <w:rFonts w:ascii="Times New Roman" w:hAnsi="Times New Roman" w:cs="Times New Roman"/>
                <w:sz w:val="28"/>
                <w:szCs w:val="26"/>
              </w:rPr>
              <w:t>більшення пер</w:t>
            </w:r>
            <w:r w:rsidR="004D06B1" w:rsidRPr="00D735C8">
              <w:rPr>
                <w:rFonts w:ascii="Times New Roman" w:hAnsi="Times New Roman" w:cs="Times New Roman"/>
                <w:sz w:val="28"/>
                <w:szCs w:val="26"/>
              </w:rPr>
              <w:t>еліку більш якісних підручників</w:t>
            </w:r>
            <w:r w:rsidR="007C11B8" w:rsidRPr="00D735C8">
              <w:rPr>
                <w:rFonts w:ascii="Times New Roman" w:hAnsi="Times New Roman" w:cs="Times New Roman"/>
                <w:sz w:val="28"/>
                <w:szCs w:val="26"/>
              </w:rPr>
              <w:t>, підвищення якості освіти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</w:tr>
    </w:tbl>
    <w:p w:rsidR="0022217D" w:rsidRPr="00D735C8" w:rsidRDefault="0022217D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Оцінка впливу на сферу інтересів громадян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6"/>
        <w:gridCol w:w="3341"/>
        <w:gridCol w:w="3880"/>
      </w:tblGrid>
      <w:tr w:rsidR="00477723" w:rsidRPr="00D735C8" w:rsidTr="0022217D">
        <w:trPr>
          <w:tblCellSpacing w:w="22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477723" w:rsidRPr="00D735C8" w:rsidTr="0022217D">
        <w:trPr>
          <w:tblCellSpacing w:w="22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344658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</w:t>
            </w:r>
            <w:r w:rsidR="0022217D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корочення кількості</w:t>
            </w:r>
            <w:r w:rsidR="004D06B1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якісних підручників</w:t>
            </w:r>
          </w:p>
        </w:tc>
      </w:tr>
      <w:tr w:rsidR="00477723" w:rsidRPr="00D735C8" w:rsidTr="0022217D">
        <w:trPr>
          <w:tblCellSpacing w:w="22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344658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="0022217D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абезпечення здобувачів загальної середньої освіти</w:t>
            </w:r>
            <w:r w:rsidR="007C11B8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та педагогічних працівників</w:t>
            </w:r>
            <w:r w:rsidR="0022217D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більш </w:t>
            </w:r>
            <w:r w:rsidR="007C11B8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якісними підручниками, і, як наслідок, реалізація конституційних прав на освіту здобувачів загальної середньої освіти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2217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</w:tr>
    </w:tbl>
    <w:p w:rsidR="00335EEE" w:rsidRPr="00D735C8" w:rsidRDefault="00335EEE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Оцінка впливу на сферу інтересів суб'єктів господарювання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6"/>
        <w:gridCol w:w="1472"/>
        <w:gridCol w:w="1565"/>
        <w:gridCol w:w="1761"/>
        <w:gridCol w:w="1176"/>
        <w:gridCol w:w="1397"/>
      </w:tblGrid>
      <w:tr w:rsidR="00477723" w:rsidRPr="00D735C8" w:rsidTr="00344658">
        <w:trPr>
          <w:tblCellSpacing w:w="22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Показник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Великі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Середні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Малі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Мікро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Разом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Кількість суб'єктів 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господарювання, що підпадають під дію регулювання, одиниць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31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Питома вага групи у загальній кількості, відсотків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16,1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64,5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19,4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100</w:t>
            </w:r>
          </w:p>
        </w:tc>
      </w:tr>
    </w:tbl>
    <w:p w:rsidR="00477723" w:rsidRPr="00D735C8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5"/>
        <w:gridCol w:w="4676"/>
        <w:gridCol w:w="3066"/>
      </w:tblGrid>
      <w:tr w:rsidR="00477723" w:rsidRPr="00D735C8" w:rsidTr="000968CB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477723" w:rsidRPr="00D735C8" w:rsidTr="000968CB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середніх суб’єктів господарювання за 1 рік </w:t>
            </w:r>
            <w:r w:rsidR="004F15E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24 508</w:t>
            </w:r>
            <w:r w:rsidR="006918B4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="0093093D">
              <w:rPr>
                <w:rStyle w:val="2"/>
                <w:rFonts w:eastAsia="Arial Unicode MS"/>
                <w:color w:val="auto"/>
              </w:rPr>
              <w:t>грн</w:t>
            </w:r>
          </w:p>
          <w:p w:rsidR="00477723" w:rsidRPr="00D735C8" w:rsidRDefault="00477723" w:rsidP="00D735C8">
            <w:pPr>
              <w:widowControl/>
              <w:tabs>
                <w:tab w:val="left" w:pos="851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малих та мікросуб’єк-тів господарювання за 1 рік </w:t>
            </w:r>
            <w:r w:rsidR="004F15E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127 441,6</w:t>
            </w:r>
            <w:r w:rsidR="006918B4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="00380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грн</w:t>
            </w:r>
          </w:p>
        </w:tc>
      </w:tr>
      <w:tr w:rsidR="00477723" w:rsidRPr="00D735C8" w:rsidTr="000968CB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0968C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Забезпечення здобувачів загальної середньої освіти</w:t>
            </w:r>
            <w:r w:rsidR="005B53D8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та педагогічних працівників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більш якісними підручниками</w:t>
            </w:r>
          </w:p>
          <w:p w:rsidR="00477723" w:rsidRPr="00D735C8" w:rsidRDefault="00477723" w:rsidP="00D735C8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середніх суб’єктів господарювання за 1 рік становитимуть </w:t>
            </w:r>
          </w:p>
          <w:p w:rsidR="00477723" w:rsidRPr="00D735C8" w:rsidRDefault="003D53C0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210 815 </w:t>
            </w:r>
            <w:r w:rsidR="009309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  <w:p w:rsidR="00477723" w:rsidRPr="00D735C8" w:rsidRDefault="00477723" w:rsidP="00D735C8">
            <w:pPr>
              <w:widowControl/>
              <w:tabs>
                <w:tab w:val="left" w:pos="851"/>
              </w:tabs>
              <w:ind w:right="-142" w:hanging="6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малих та мікросуб’єк-тів господарювання за 1 рік становитимуть </w:t>
            </w:r>
          </w:p>
          <w:p w:rsidR="00477723" w:rsidRPr="00D735C8" w:rsidRDefault="003D53C0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1 096 238 </w:t>
            </w:r>
            <w:r w:rsidR="00380B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</w:tc>
      </w:tr>
    </w:tbl>
    <w:p w:rsidR="000406D0" w:rsidRPr="00D735C8" w:rsidRDefault="000406D0" w:rsidP="00D735C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color w:val="auto"/>
          <w:sz w:val="28"/>
          <w:szCs w:val="28"/>
        </w:rPr>
        <w:t>Витрати середніх суб’єктів гос</w:t>
      </w:r>
      <w:r w:rsidR="001E306A" w:rsidRPr="00D735C8">
        <w:rPr>
          <w:rFonts w:ascii="Times New Roman" w:hAnsi="Times New Roman" w:cs="Times New Roman"/>
          <w:color w:val="auto"/>
          <w:sz w:val="28"/>
          <w:szCs w:val="28"/>
        </w:rPr>
        <w:t>подарювання наведені у Додатку 1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до цього </w:t>
      </w:r>
      <w:r w:rsidR="001E306A" w:rsidRPr="00D735C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>налізу.</w:t>
      </w:r>
    </w:p>
    <w:p w:rsidR="00477723" w:rsidRPr="00D735C8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9"/>
        <w:gridCol w:w="3068"/>
      </w:tblGrid>
      <w:tr w:rsidR="00477723" w:rsidRPr="00D735C8" w:rsidTr="000968CB">
        <w:trPr>
          <w:tblCellSpacing w:w="22" w:type="dxa"/>
        </w:trPr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Сумарні витрати за альтернативами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 витрат, гривень</w:t>
            </w:r>
          </w:p>
        </w:tc>
      </w:tr>
      <w:tr w:rsidR="00477723" w:rsidRPr="00D735C8" w:rsidTr="000968CB">
        <w:trPr>
          <w:tblCellSpacing w:w="22" w:type="dxa"/>
        </w:trPr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ind w:firstLine="33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Альтернатива 1. Сумарні витрати для суб'єктів господарювання великого і середнього підприємництва </w:t>
            </w:r>
            <w:r w:rsidR="001E306A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згідно з додатком 1</w:t>
            </w:r>
            <w:r w:rsidR="009E16BC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до цього Аналізу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середніх суб’єктів господарювання за 1 рік </w:t>
            </w:r>
            <w:r w:rsidR="004F15E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24 508</w:t>
            </w:r>
            <w:r w:rsidR="004F15E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="00380BBF">
              <w:rPr>
                <w:rStyle w:val="2"/>
                <w:rFonts w:eastAsia="Arial Unicode MS"/>
                <w:color w:val="auto"/>
              </w:rPr>
              <w:t>грн</w:t>
            </w:r>
          </w:p>
        </w:tc>
      </w:tr>
      <w:tr w:rsidR="00477723" w:rsidRPr="00D735C8" w:rsidTr="000968CB">
        <w:trPr>
          <w:tblCellSpacing w:w="22" w:type="dxa"/>
        </w:trPr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ind w:firstLine="33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</w:t>
            </w:r>
            <w:r w:rsidR="009E16BC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натива 2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 Сумарні витрати для суб'єктів господарювання великого і середнього пі</w:t>
            </w:r>
            <w:r w:rsidR="001E306A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дприємництва згідно з додатком 1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9E16BC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до цього Аналізу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середніх суб’єктів господарювання за 1 рік становитимуть </w:t>
            </w:r>
          </w:p>
          <w:p w:rsidR="00477723" w:rsidRPr="00D735C8" w:rsidRDefault="004F15E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210 815</w:t>
            </w:r>
            <w:r w:rsidR="009E16BC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380B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</w:tc>
      </w:tr>
    </w:tbl>
    <w:p w:rsidR="00477723" w:rsidRPr="00D735C8" w:rsidRDefault="00477723" w:rsidP="00D735C8">
      <w:pPr>
        <w:widowControl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77723" w:rsidRPr="00D735C8" w:rsidRDefault="00477723" w:rsidP="00D735C8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IV. Вибір найбільш оптимального альтернативного способу </w:t>
      </w:r>
    </w:p>
    <w:p w:rsidR="00477723" w:rsidRPr="00D735C8" w:rsidRDefault="00477723" w:rsidP="00D735C8">
      <w:pPr>
        <w:keepNext/>
        <w:widowControl/>
        <w:tabs>
          <w:tab w:val="left" w:pos="851"/>
        </w:tabs>
        <w:jc w:val="center"/>
        <w:outlineLvl w:val="2"/>
        <w:rPr>
          <w:rFonts w:ascii="Cambria" w:eastAsia="Times New Roman" w:hAnsi="Cambria" w:cs="Times New Roman"/>
          <w:b/>
          <w:bCs/>
          <w:color w:val="auto"/>
          <w:sz w:val="26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0"/>
        <w:gridCol w:w="2834"/>
        <w:gridCol w:w="3633"/>
      </w:tblGrid>
      <w:tr w:rsidR="00477723" w:rsidRPr="00D735C8" w:rsidTr="000968CB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Бал результативності (за чотирибальною системою оцінки)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Коментарі щодо присвоєння відповідного бала</w:t>
            </w:r>
          </w:p>
        </w:tc>
      </w:tr>
      <w:tr w:rsidR="00477723" w:rsidRPr="00D735C8" w:rsidTr="000968CB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Альтернатива 1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344658" w:rsidP="00D735C8">
            <w:pPr>
              <w:tabs>
                <w:tab w:val="left" w:pos="851"/>
              </w:tabs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бмежен</w:t>
            </w:r>
            <w:r w:rsidR="004D06B1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 кількість якісних підручників</w:t>
            </w:r>
          </w:p>
        </w:tc>
      </w:tr>
      <w:tr w:rsidR="00477723" w:rsidRPr="00D735C8" w:rsidTr="000968CB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0968C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9E16BC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344658" w:rsidP="00D735C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абезпечення здобувачів </w:t>
            </w:r>
            <w:r w:rsidR="000968CB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загальної середньої 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освіти</w:t>
            </w:r>
            <w:r w:rsidR="009E16BC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та педагогічних працівників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більш якісними підручниками</w:t>
            </w:r>
          </w:p>
        </w:tc>
      </w:tr>
    </w:tbl>
    <w:p w:rsidR="006918B4" w:rsidRPr="00D735C8" w:rsidRDefault="006918B4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3"/>
        <w:gridCol w:w="1819"/>
        <w:gridCol w:w="2771"/>
        <w:gridCol w:w="2774"/>
      </w:tblGrid>
      <w:tr w:rsidR="00477723" w:rsidRPr="00D735C8" w:rsidTr="004F15E3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 результативності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 (підсумок)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93093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Витрати, грн 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(підсумок)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Обґрунтування відповідного місця альтернативи у рейтингу</w:t>
            </w:r>
          </w:p>
        </w:tc>
      </w:tr>
      <w:tr w:rsidR="004F15E3" w:rsidRPr="00D735C8" w:rsidTr="004F15E3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D735C8" w:rsidRDefault="004F15E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D735C8" w:rsidRDefault="004F15E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D735C8" w:rsidRDefault="004F15E3" w:rsidP="00D735C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середніх суб’єктів господарювання за 1 рік 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24 508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="00380BBF">
              <w:rPr>
                <w:rStyle w:val="2"/>
                <w:rFonts w:eastAsia="Arial Unicode MS"/>
                <w:color w:val="auto"/>
              </w:rPr>
              <w:t>грн</w:t>
            </w:r>
          </w:p>
          <w:p w:rsidR="004F15E3" w:rsidRPr="00D735C8" w:rsidRDefault="004F15E3" w:rsidP="00D735C8">
            <w:pPr>
              <w:widowControl/>
              <w:tabs>
                <w:tab w:val="left" w:pos="851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малих та мікросуб’єктів господарювання за 1 рік 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127 441,6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 w:rsidR="00380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грн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D735C8" w:rsidRDefault="00111B78" w:rsidP="00111B7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11B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Залишення ситуації, яка існує на сьогодні, не вирішує проблему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щодо забезпечення 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здобувачів загальної середньої освіти та педагогічних працівників якісними підручниками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4F15E3" w:rsidRPr="00D735C8" w:rsidTr="004F15E3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3" w:rsidRPr="00D735C8" w:rsidRDefault="004F15E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15E3" w:rsidRPr="00D735C8" w:rsidRDefault="004F15E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Забезпечення здобувачів загальної середньої освіти та педагогічних працівників більш якісними підручниками</w:t>
            </w: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освіти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D735C8" w:rsidRDefault="004F15E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середніх суб’єктів господарювання за 1 рік становитимуть </w:t>
            </w:r>
          </w:p>
          <w:p w:rsidR="004F15E3" w:rsidRPr="00D735C8" w:rsidRDefault="004F15E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210 815 </w:t>
            </w:r>
            <w:r w:rsidR="00380B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  <w:p w:rsidR="004F15E3" w:rsidRPr="00D735C8" w:rsidRDefault="004F15E3" w:rsidP="00D735C8">
            <w:pPr>
              <w:widowControl/>
              <w:tabs>
                <w:tab w:val="left" w:pos="851"/>
              </w:tabs>
              <w:ind w:right="-142" w:hanging="6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 малих та мікросуб’єктів господарювання за 1 рік становитимуть </w:t>
            </w:r>
          </w:p>
          <w:p w:rsidR="004F15E3" w:rsidRPr="00D735C8" w:rsidRDefault="004F15E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1 096 238 </w:t>
            </w:r>
            <w:r w:rsidR="00380B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5E3" w:rsidRPr="00D735C8" w:rsidRDefault="00111B78" w:rsidP="00111B7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3CCD">
              <w:rPr>
                <w:rFonts w:ascii="Times New Roman" w:eastAsia="Times New Roman" w:hAnsi="Times New Roman"/>
                <w:sz w:val="28"/>
                <w:szCs w:val="28"/>
              </w:rPr>
              <w:t xml:space="preserve">Повністю вирішує проблему. Цей спосіб забезпечить упорядкування правового регулювання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правових відносин з питань видання підручників за кошти державного бюджету</w:t>
            </w:r>
            <w:r w:rsidR="007153D0">
              <w:rPr>
                <w:rFonts w:ascii="Times New Roman" w:eastAsia="Times New Roman" w:hAnsi="Times New Roman"/>
                <w:sz w:val="28"/>
                <w:szCs w:val="28"/>
              </w:rPr>
              <w:t xml:space="preserve"> та створить умови для більш якісного друку навчальних видань</w:t>
            </w:r>
          </w:p>
        </w:tc>
      </w:tr>
    </w:tbl>
    <w:p w:rsidR="00477723" w:rsidRPr="00D735C8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7"/>
        <w:gridCol w:w="4192"/>
        <w:gridCol w:w="3248"/>
      </w:tblGrid>
      <w:tr w:rsidR="00477723" w:rsidRPr="00D735C8" w:rsidTr="000968CB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77723" w:rsidRPr="00D735C8" w:rsidTr="000968CB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344658" w:rsidP="00D735C8">
            <w:pPr>
              <w:tabs>
                <w:tab w:val="left" w:pos="851"/>
              </w:tabs>
              <w:jc w:val="center"/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бмежен</w:t>
            </w:r>
            <w:r w:rsidR="004D06B1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 кількість якісних підручників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344658" w:rsidP="00D735C8">
            <w:pPr>
              <w:tabs>
                <w:tab w:val="left" w:pos="851"/>
              </w:tabs>
              <w:jc w:val="center"/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бмежена кількість якісних підручник</w:t>
            </w:r>
            <w:r w:rsidR="004D06B1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ів</w:t>
            </w:r>
          </w:p>
        </w:tc>
      </w:tr>
      <w:tr w:rsidR="00477723" w:rsidRPr="00D735C8" w:rsidTr="000968CB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0968C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344658" w:rsidP="00D735C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абезпечення здобувачів 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загальної середньої освіти </w:t>
            </w:r>
            <w:r w:rsidR="008F5EE9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та педагогічних працівників 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більш якісними підручниками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344658" w:rsidP="00D735C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D735C8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з</w:t>
            </w:r>
            <w:r w:rsidR="00477723" w:rsidRPr="00D735C8">
              <w:rPr>
                <w:rFonts w:ascii="Times New Roman" w:hAnsi="Times New Roman" w:cs="Times New Roman"/>
                <w:sz w:val="28"/>
                <w:szCs w:val="26"/>
              </w:rPr>
              <w:t xml:space="preserve">більшення переліку </w:t>
            </w:r>
            <w:r w:rsidR="00477723" w:rsidRPr="00D735C8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більш якісних підру</w:t>
            </w:r>
            <w:r w:rsidR="004D06B1" w:rsidRPr="00D735C8">
              <w:rPr>
                <w:rFonts w:ascii="Times New Roman" w:hAnsi="Times New Roman" w:cs="Times New Roman"/>
                <w:sz w:val="28"/>
                <w:szCs w:val="26"/>
              </w:rPr>
              <w:t>чників</w:t>
            </w:r>
          </w:p>
        </w:tc>
      </w:tr>
    </w:tbl>
    <w:p w:rsidR="004F15E3" w:rsidRPr="00D735C8" w:rsidRDefault="004F15E3" w:rsidP="007153D0">
      <w:pPr>
        <w:tabs>
          <w:tab w:val="left" w:pos="142"/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477723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V. Механізми та заходи, які забезпечать розв’язання </w:t>
      </w:r>
    </w:p>
    <w:p w:rsidR="00477723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визначеної проблеми</w:t>
      </w:r>
    </w:p>
    <w:p w:rsidR="00477723" w:rsidRPr="00D735C8" w:rsidRDefault="00477723" w:rsidP="00D735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Офіційне визначення підручників для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здобувачів загальної середньої освіти</w:t>
      </w:r>
      <w:r w:rsidR="008F5EE9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педагогічних працівників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, що будуть видават</w:t>
      </w:r>
      <w:r w:rsidR="008F5EE9"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ись за кошти державного бюджету,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реалізується</w:t>
      </w:r>
      <w:r w:rsidR="008F5EE9"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через процедуру конкурсного відбору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.</w:t>
      </w:r>
    </w:p>
    <w:p w:rsidR="00477723" w:rsidRPr="00D735C8" w:rsidRDefault="00477723" w:rsidP="00D735C8">
      <w:pPr>
        <w:widowControl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 проводиться у два етапи:</w:t>
      </w:r>
    </w:p>
    <w:p w:rsidR="00B84616" w:rsidRPr="00D735C8" w:rsidRDefault="00B84616" w:rsidP="00D735C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35C8">
        <w:rPr>
          <w:rFonts w:ascii="Times New Roman" w:hAnsi="Times New Roman"/>
          <w:sz w:val="28"/>
          <w:szCs w:val="28"/>
        </w:rPr>
        <w:t>І етап – проведення експертиз електронних версій підручників та розгляд питання надання підручникам відповідного грифа;</w:t>
      </w:r>
    </w:p>
    <w:p w:rsidR="00B84616" w:rsidRPr="00D735C8" w:rsidRDefault="00B84616" w:rsidP="00D73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35C8">
        <w:rPr>
          <w:rFonts w:ascii="Times New Roman" w:hAnsi="Times New Roman"/>
          <w:sz w:val="28"/>
          <w:szCs w:val="28"/>
        </w:rPr>
        <w:t>ІІ етап – вибір підручників, яким надано гриф, закладами освіти, визначеними Порядком, за фрагментами їх електронних версій.</w:t>
      </w:r>
    </w:p>
    <w:p w:rsidR="00F56E76" w:rsidRPr="00D735C8" w:rsidRDefault="00F56E76" w:rsidP="00D735C8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690"/>
        <w:jc w:val="both"/>
        <w:rPr>
          <w:rFonts w:ascii="Times New Roman" w:hAnsi="Times New Roman"/>
          <w:sz w:val="28"/>
          <w:lang w:eastAsia="ru-RU"/>
        </w:rPr>
      </w:pPr>
      <w:r w:rsidRPr="00D735C8">
        <w:rPr>
          <w:rFonts w:ascii="Times New Roman" w:hAnsi="Times New Roman"/>
          <w:sz w:val="28"/>
          <w:lang w:eastAsia="ru-RU"/>
        </w:rPr>
        <w:t>Експертиза проектів підручників може здійснюватися за рахунок коштів учасників Конкурсу та/або державного бюджету.</w:t>
      </w:r>
    </w:p>
    <w:p w:rsidR="00862E0C" w:rsidRPr="00D735C8" w:rsidRDefault="00862E0C" w:rsidP="00D735C8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735C8">
        <w:rPr>
          <w:rFonts w:ascii="Times New Roman" w:hAnsi="Times New Roman"/>
          <w:sz w:val="28"/>
          <w:lang w:eastAsia="ru-RU"/>
        </w:rPr>
        <w:t xml:space="preserve">Вартість проведення експертизи одного підручника за рахунок коштів учасників Конкурсу встановлюється Експертною установою </w:t>
      </w:r>
      <w:r w:rsidRPr="00D735C8">
        <w:rPr>
          <w:rFonts w:ascii="Times New Roman" w:hAnsi="Times New Roman"/>
          <w:sz w:val="28"/>
          <w:shd w:val="clear" w:color="auto" w:fill="FFFFFF"/>
        </w:rPr>
        <w:t xml:space="preserve">на основі економічно обґрунтованих витрат, пов'язаних з її наданням, </w:t>
      </w:r>
      <w:r w:rsidRPr="00D735C8">
        <w:rPr>
          <w:rFonts w:ascii="Times New Roman" w:hAnsi="Times New Roman"/>
          <w:sz w:val="28"/>
          <w:lang w:eastAsia="ru-RU"/>
        </w:rPr>
        <w:t>та не може перевищувати 9-кратний розмір мінімальної заробітної плати, встановленої</w:t>
      </w:r>
      <w:r w:rsidRPr="00D735C8">
        <w:rPr>
          <w:rFonts w:ascii="Times New Roman" w:hAnsi="Times New Roman"/>
          <w:sz w:val="28"/>
          <w:shd w:val="clear" w:color="auto" w:fill="FFFFFF"/>
        </w:rPr>
        <w:t xml:space="preserve"> на 01 січня календарного року, в якому видано наказ про проведення Конкурсу (для юридичних та фізичних осіб, крім автора (співавторів).</w:t>
      </w:r>
    </w:p>
    <w:p w:rsidR="00862E0C" w:rsidRPr="00D735C8" w:rsidRDefault="00862E0C" w:rsidP="00D735C8">
      <w:pPr>
        <w:pStyle w:val="23"/>
        <w:shd w:val="clear" w:color="auto" w:fill="auto"/>
        <w:tabs>
          <w:tab w:val="left" w:pos="426"/>
          <w:tab w:val="left" w:pos="567"/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735C8">
        <w:rPr>
          <w:rFonts w:ascii="Times New Roman" w:hAnsi="Times New Roman"/>
          <w:sz w:val="28"/>
          <w:shd w:val="clear" w:color="auto" w:fill="FFFFFF"/>
        </w:rPr>
        <w:t xml:space="preserve">Вартість </w:t>
      </w:r>
      <w:r w:rsidRPr="00D735C8">
        <w:rPr>
          <w:rFonts w:ascii="Times New Roman" w:hAnsi="Times New Roman"/>
          <w:sz w:val="28"/>
          <w:lang w:eastAsia="ru-RU"/>
        </w:rPr>
        <w:t xml:space="preserve">проведення експертизи одного підручника, поданого на Конкурс автором, становить </w:t>
      </w:r>
      <w:r w:rsidRPr="00D735C8">
        <w:rPr>
          <w:rFonts w:ascii="Times New Roman" w:hAnsi="Times New Roman"/>
          <w:sz w:val="28"/>
          <w:shd w:val="clear" w:color="auto" w:fill="FFFFFF"/>
        </w:rPr>
        <w:t>50 відсотків вартості, встановленої Експертною установою для юридичних та фізичних осіб.</w:t>
      </w:r>
    </w:p>
    <w:p w:rsidR="00862E0C" w:rsidRPr="00D735C8" w:rsidRDefault="00862E0C" w:rsidP="00D735C8">
      <w:pPr>
        <w:pStyle w:val="23"/>
        <w:shd w:val="clear" w:color="auto" w:fill="auto"/>
        <w:tabs>
          <w:tab w:val="left" w:pos="426"/>
          <w:tab w:val="left" w:pos="567"/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735C8">
        <w:rPr>
          <w:rFonts w:ascii="Times New Roman" w:hAnsi="Times New Roman"/>
          <w:sz w:val="28"/>
          <w:shd w:val="clear" w:color="auto" w:fill="FFFFFF"/>
        </w:rPr>
        <w:t>Проведення експертизи за рахунок коштів учасників Конкурсу здійснюється шляхом приєднання останнім до договору про надання послуг з проведення експертизи підручника, форма якого розробляється і затверджується Експертною установою та оприлюднюється на його веб-сайті.</w:t>
      </w:r>
    </w:p>
    <w:p w:rsidR="00862E0C" w:rsidRPr="00D735C8" w:rsidRDefault="00862E0C" w:rsidP="00D735C8">
      <w:pPr>
        <w:pStyle w:val="23"/>
        <w:shd w:val="clear" w:color="auto" w:fill="auto"/>
        <w:tabs>
          <w:tab w:val="left" w:pos="426"/>
          <w:tab w:val="left" w:pos="567"/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D735C8">
        <w:rPr>
          <w:rFonts w:ascii="Times New Roman" w:hAnsi="Times New Roman"/>
          <w:sz w:val="28"/>
          <w:shd w:val="clear" w:color="auto" w:fill="FFFFFF"/>
        </w:rPr>
        <w:t>Умови договору про надання послуг з проведення експертизи підручника повинні відповідати вимогам Господарського і Цивільного кодексів України, не порушувати принципи добросовісності, розумності, справедливості та не призводити до істотного дисбалансу договірних прав і обов’язків сторін.</w:t>
      </w:r>
    </w:p>
    <w:p w:rsidR="00477723" w:rsidRPr="00D735C8" w:rsidRDefault="00477723" w:rsidP="00D735C8">
      <w:pPr>
        <w:widowControl/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 результатами ІІ етапу Конкурсу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пропозиціями конкурсних комісій</w:t>
      </w:r>
      <w:r w:rsidRPr="00D735C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формується п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ерелік підручників, які можуть друкуватися за кошти державного бюджету.</w:t>
      </w:r>
    </w:p>
    <w:p w:rsidR="00477723" w:rsidRPr="00D735C8" w:rsidRDefault="00477723" w:rsidP="00D735C8">
      <w:pPr>
        <w:widowControl/>
        <w:tabs>
          <w:tab w:val="left" w:pos="851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зазначеного переліку з кожної назви підручника включаються підручники, які за результатами ІІ етапу Конкурсу отримали результат вибору більше </w:t>
      </w:r>
      <w:r w:rsidR="000968CB" w:rsidRPr="00D735C8">
        <w:rPr>
          <w:rFonts w:ascii="Times New Roman" w:hAnsi="Times New Roman" w:cs="Times New Roman"/>
          <w:sz w:val="28"/>
          <w:szCs w:val="28"/>
          <w:lang w:eastAsia="ru-RU"/>
        </w:rPr>
        <w:t>сорока тисяч</w:t>
      </w:r>
      <w:r w:rsidR="008F5EE9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62E0C" w:rsidRPr="00D735C8" w:rsidRDefault="00862E0C" w:rsidP="00D735C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C8">
        <w:rPr>
          <w:rFonts w:ascii="Times New Roman" w:hAnsi="Times New Roman"/>
          <w:sz w:val="28"/>
          <w:szCs w:val="28"/>
          <w:lang w:eastAsia="ru-RU"/>
        </w:rPr>
        <w:t>З кожної назви підручника до зазначеного переліку можуть також включатися підручники, які:</w:t>
      </w:r>
    </w:p>
    <w:p w:rsidR="00862E0C" w:rsidRPr="00D735C8" w:rsidRDefault="00862E0C" w:rsidP="00D735C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C8">
        <w:rPr>
          <w:rFonts w:ascii="Times New Roman" w:hAnsi="Times New Roman"/>
          <w:sz w:val="28"/>
          <w:szCs w:val="28"/>
          <w:lang w:eastAsia="ru-RU"/>
        </w:rPr>
        <w:t xml:space="preserve">за результатами ІІ етапу Конкурсу отримали на підставі підсумування узагальнених результатів вибору, що надійшли від </w:t>
      </w:r>
      <w:r w:rsidR="00377B9E" w:rsidRPr="00377B9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>епартаментів (управлі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нь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осв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ти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науки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обласних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Ки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всько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та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Севастопольсько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м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сько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 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державних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адм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н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страц</w:t>
      </w:r>
      <w:r w:rsidR="00377B9E" w:rsidRPr="00377B9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377B9E" w:rsidRPr="00377B9E">
        <w:rPr>
          <w:rFonts w:ascii="Times New Roman" w:eastAsia="Malgun Gothic Semilight" w:hAnsi="Times New Roman" w:cs="Times New Roman"/>
          <w:sz w:val="28"/>
          <w:szCs w:val="28"/>
          <w:shd w:val="clear" w:color="auto" w:fill="FFFFFF"/>
        </w:rPr>
        <w:t>й</w:t>
      </w:r>
      <w:r w:rsidR="00B23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ДО)</w:t>
      </w:r>
      <w:r w:rsidRPr="00377B9E">
        <w:rPr>
          <w:rFonts w:ascii="Times New Roman" w:hAnsi="Times New Roman" w:cs="Times New Roman"/>
          <w:sz w:val="28"/>
          <w:szCs w:val="28"/>
          <w:lang w:eastAsia="ru-RU"/>
        </w:rPr>
        <w:t>, результат вибору від двадцяти до сорока тисяч.</w:t>
      </w:r>
      <w:r w:rsidRPr="00D735C8">
        <w:rPr>
          <w:rFonts w:ascii="Times New Roman" w:hAnsi="Times New Roman"/>
          <w:sz w:val="28"/>
          <w:szCs w:val="28"/>
          <w:lang w:eastAsia="ru-RU"/>
        </w:rPr>
        <w:t xml:space="preserve"> Включення підручників до відповідного переліку здійснюється за умови надання видавництвом до </w:t>
      </w:r>
      <w:r w:rsidRPr="00D735C8">
        <w:rPr>
          <w:rFonts w:ascii="Times New Roman" w:hAnsi="Times New Roman"/>
          <w:sz w:val="28"/>
          <w:szCs w:val="28"/>
        </w:rPr>
        <w:t xml:space="preserve">Конкурсної установи </w:t>
      </w:r>
      <w:r w:rsidRPr="00D735C8">
        <w:rPr>
          <w:rFonts w:ascii="Times New Roman" w:hAnsi="Times New Roman"/>
          <w:sz w:val="28"/>
          <w:szCs w:val="28"/>
          <w:lang w:eastAsia="ru-RU"/>
        </w:rPr>
        <w:t xml:space="preserve">гарантійного листа про </w:t>
      </w:r>
      <w:r w:rsidRPr="00D735C8">
        <w:rPr>
          <w:rFonts w:ascii="Times New Roman" w:hAnsi="Times New Roman"/>
          <w:sz w:val="28"/>
          <w:szCs w:val="28"/>
          <w:lang w:eastAsia="ru-RU"/>
        </w:rPr>
        <w:lastRenderedPageBreak/>
        <w:t>фінансування (за рахунок власних обігових коштів або інших коштів, не заборонених законодавством) різниці між запропонованою видавництвом вартістю такого підручника і середньою вартістю підручника, що зазначена у паспорті бюджетної програми на відповідний рік;</w:t>
      </w:r>
    </w:p>
    <w:p w:rsidR="00862E0C" w:rsidRPr="00D735C8" w:rsidRDefault="00862E0C" w:rsidP="00D735C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C8">
        <w:rPr>
          <w:rFonts w:ascii="Times New Roman" w:hAnsi="Times New Roman"/>
          <w:sz w:val="28"/>
          <w:szCs w:val="28"/>
          <w:lang w:eastAsia="ru-RU"/>
        </w:rPr>
        <w:t>отримали найвищий узагальнений результат вибору закладами освіти, в складі яких є класи (групи) з навчанням мовами корінних народів та національних меншин та видаватимуться у перекладі мовами корінних народів та національних меншин.</w:t>
      </w:r>
    </w:p>
    <w:p w:rsidR="00862E0C" w:rsidRPr="00D735C8" w:rsidRDefault="00862E0C" w:rsidP="00D735C8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35C8">
        <w:rPr>
          <w:rFonts w:ascii="Times New Roman" w:hAnsi="Times New Roman"/>
          <w:sz w:val="28"/>
          <w:szCs w:val="28"/>
          <w:shd w:val="clear" w:color="auto" w:fill="FFFFFF"/>
        </w:rPr>
        <w:t>До зазначеного переліку з кожної назви підручника профільного рівня для 10-11 (12) класів включаються підручники, які за результатами ІІ етапу Конкурсу отримали на підставі підсумування узагальнених результатів вибору, що надійшли від ДО, результат вибору більше п’яти тисяч.</w:t>
      </w:r>
    </w:p>
    <w:p w:rsidR="00ED55A0" w:rsidRPr="00D735C8" w:rsidRDefault="00ED55A0" w:rsidP="00D735C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C8">
        <w:rPr>
          <w:rFonts w:ascii="Times New Roman" w:hAnsi="Times New Roman"/>
          <w:sz w:val="28"/>
          <w:szCs w:val="28"/>
          <w:lang w:eastAsia="ru-RU"/>
        </w:rPr>
        <w:t xml:space="preserve">Якщо жоден із підручників у межах відповідної назви підручника не отримав на підставі підсумування узагальнених результатів вибору, що надійшли від ДО, результат вибору більше сорока тисяч (для </w:t>
      </w:r>
      <w:r w:rsidRPr="00D735C8">
        <w:rPr>
          <w:rFonts w:ascii="Times New Roman" w:hAnsi="Times New Roman"/>
          <w:sz w:val="28"/>
          <w:szCs w:val="28"/>
          <w:shd w:val="clear" w:color="auto" w:fill="FFFFFF"/>
        </w:rPr>
        <w:t>назв підручників профільного рівня для 10-11 (12) класів - п’яти тисяч)</w:t>
      </w:r>
      <w:r w:rsidRPr="00D735C8">
        <w:rPr>
          <w:rFonts w:ascii="Times New Roman" w:hAnsi="Times New Roman"/>
          <w:sz w:val="28"/>
          <w:szCs w:val="28"/>
          <w:lang w:eastAsia="ru-RU"/>
        </w:rPr>
        <w:t>, до зазначеного переліку включається один підручник із відповідної назви підручника, який отримав найвищий узагальнений результат вибору.</w:t>
      </w: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Результати кожного етапу Конкурсу розглядаються на колегії МОН у строк не більше тридцяти календарних днів після </w:t>
      </w:r>
      <w:r w:rsidR="00ED55A0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подання відповідних матеріалів.</w:t>
      </w:r>
    </w:p>
    <w:p w:rsidR="00477723" w:rsidRPr="00D735C8" w:rsidRDefault="00ED55A0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</w:t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 р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езультатами І етапу Конкурсу рішення колегії МОН є підставою для </w:t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надання підручникам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відповідного </w:t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грифа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77723" w:rsidRPr="00D735C8" w:rsidRDefault="0093093D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</w:t>
      </w:r>
      <w:bookmarkStart w:id="2" w:name="_GoBack"/>
      <w:bookmarkEnd w:id="2"/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 результатами ІІ етапу Конкурсу </w:t>
      </w:r>
      <w:r w:rsidR="00ED55A0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рішення колегії МОН є підставою для видання наказів МОН «</w:t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 затвердження переліку підручників, що можуть друкуватися за кошти державного бюдже</w:t>
      </w:r>
      <w:r w:rsidR="00ED55A0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ту» та «Про видання підручників»</w:t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2D2DBC" w:rsidRPr="00D735C8" w:rsidRDefault="002D2DBC" w:rsidP="00D735C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C8">
        <w:rPr>
          <w:rFonts w:ascii="Times New Roman" w:hAnsi="Times New Roman"/>
          <w:sz w:val="28"/>
          <w:szCs w:val="28"/>
          <w:lang w:eastAsia="ru-RU"/>
        </w:rPr>
        <w:t xml:space="preserve">При виданні підручників за рахунок коштів Державного бюджету України видавництва, з якими укладено договори на їх видання, передають на безоплатній основі МОН та </w:t>
      </w:r>
      <w:r w:rsidRPr="00D735C8">
        <w:rPr>
          <w:rFonts w:ascii="Times New Roman" w:hAnsi="Times New Roman"/>
          <w:sz w:val="28"/>
          <w:szCs w:val="28"/>
        </w:rPr>
        <w:t xml:space="preserve">Конкурсній установі (при укладанні договорів на видання підручників за рахунок коштів державного бюджету) </w:t>
      </w:r>
      <w:r w:rsidRPr="00D735C8">
        <w:rPr>
          <w:rFonts w:ascii="Times New Roman" w:hAnsi="Times New Roman"/>
          <w:sz w:val="28"/>
          <w:szCs w:val="28"/>
          <w:lang w:eastAsia="ru-RU"/>
        </w:rPr>
        <w:t xml:space="preserve">право на розміщення підручників </w:t>
      </w:r>
      <w:r w:rsidRPr="00D735C8">
        <w:rPr>
          <w:rFonts w:ascii="Times New Roman" w:hAnsi="Times New Roman"/>
          <w:sz w:val="28"/>
          <w:szCs w:val="28"/>
        </w:rPr>
        <w:t xml:space="preserve">(з іноземних мов та української мови для класів (груп) з навчанням мовами національних меншин у комплекті з аудіосупроводом у форматі mp3) </w:t>
      </w:r>
      <w:r w:rsidRPr="00D735C8">
        <w:rPr>
          <w:rFonts w:ascii="Times New Roman" w:hAnsi="Times New Roman"/>
          <w:sz w:val="28"/>
          <w:szCs w:val="28"/>
          <w:lang w:eastAsia="ru-RU"/>
        </w:rPr>
        <w:t xml:space="preserve">в електронному вигляді (у pdf-форматі </w:t>
      </w:r>
      <w:r w:rsidRPr="00D735C8">
        <w:rPr>
          <w:rFonts w:ascii="Times New Roman" w:hAnsi="Times New Roman"/>
          <w:sz w:val="28"/>
          <w:szCs w:val="28"/>
        </w:rPr>
        <w:t>та epub-форматі</w:t>
      </w:r>
      <w:r w:rsidRPr="00D735C8">
        <w:rPr>
          <w:rFonts w:ascii="Times New Roman" w:hAnsi="Times New Roman"/>
          <w:sz w:val="28"/>
          <w:szCs w:val="28"/>
          <w:lang w:eastAsia="ru-RU"/>
        </w:rPr>
        <w:t xml:space="preserve">) на </w:t>
      </w:r>
      <w:r w:rsidRPr="00D735C8">
        <w:rPr>
          <w:rFonts w:ascii="Times New Roman" w:hAnsi="Times New Roman"/>
          <w:sz w:val="28"/>
          <w:szCs w:val="28"/>
        </w:rPr>
        <w:t>офіційному веб-сайті МОН, веб-сайті Експертної та Конкурсної установ</w:t>
      </w:r>
      <w:r w:rsidRPr="00D735C8">
        <w:rPr>
          <w:rFonts w:ascii="Times New Roman" w:hAnsi="Times New Roman"/>
          <w:sz w:val="28"/>
          <w:szCs w:val="28"/>
          <w:lang w:eastAsia="ru-RU"/>
        </w:rPr>
        <w:t>, НОЕП</w:t>
      </w:r>
      <w:r w:rsidRPr="00D735C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735C8">
        <w:rPr>
          <w:rFonts w:ascii="Times New Roman" w:hAnsi="Times New Roman"/>
          <w:sz w:val="28"/>
          <w:szCs w:val="28"/>
          <w:lang w:eastAsia="ru-RU"/>
        </w:rPr>
        <w:t>для безоплатного використання користувачами мережі Інтернет строком на п’ять років.</w:t>
      </w:r>
    </w:p>
    <w:p w:rsidR="00325FBA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Відповідно до </w:t>
      </w:r>
      <w:r w:rsidR="0034465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частини третьої</w:t>
      </w:r>
      <w:r w:rsidR="00B237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статті 4 Закону України «Про освіту»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частини </w:t>
      </w:r>
      <w:r w:rsidR="00344658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другої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статті 37 Закону Украї</w:t>
      </w:r>
      <w:r w:rsidR="00B237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 «Про загальну середню освіту»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держава гарантує безоплатне забезпечення підручниками, посібниками здобувачів загальної середньої освіти та педагогічних працівників у порядку, встановленому Кабінетом Міністрів України. Саме тому електронні пр</w:t>
      </w:r>
      <w:r w:rsidR="002D2DBC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имірники підручників, що закуплені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</w:t>
      </w:r>
      <w:r w:rsidR="004D06B1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бюджетні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кошти, мають безоплатно використовуватися користувачами мережі Інтернет. Крім того, при закупівлі підручників у видавництв, держава оплачує авторський гонорар</w:t>
      </w:r>
      <w:r w:rsidR="002D2DBC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 інші витрати видавництв, пов’язані з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</w:t>
      </w:r>
      <w:r w:rsidR="00426812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дання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підручників.</w:t>
      </w:r>
    </w:p>
    <w:p w:rsidR="00477723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Організаційні заходи, які необхідно здійснити для впровадження проекту </w:t>
      </w:r>
      <w:r w:rsidR="004D06B1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акта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77723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а) дії суб’єктів господарювання – забезпечення єдиних підходів, вимог та сприяння створенню рівних умов для суб’єктів господарюва</w:t>
      </w:r>
      <w:r w:rsidR="001419D0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ння, а також упорядковує вимоги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нормативно-правових</w:t>
      </w:r>
      <w:r w:rsidR="001419D0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актів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якими регулюються питання забезпечення підручниками здобувачів загальної середньої освіти</w:t>
      </w:r>
      <w:r w:rsidR="001419D0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 педагогічних працівників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що сприяє ефективному дотриманню зазначених вимог усіма су</w:t>
      </w:r>
      <w:r w:rsidR="006918B4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б'єктами, залученими до процесу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забезпечення </w:t>
      </w:r>
      <w:r w:rsidR="00E53B41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закладів освіти,</w:t>
      </w:r>
      <w:r w:rsidRPr="00D735C8">
        <w:rPr>
          <w:rFonts w:ascii="Times New Roman" w:hAnsi="Times New Roman"/>
          <w:color w:val="auto"/>
          <w:sz w:val="28"/>
          <w:szCs w:val="28"/>
        </w:rPr>
        <w:t xml:space="preserve"> які забезпечують здобуття повної загальної середньої освіти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77723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дії органів влади – надання допомоги та консультацій суб’єктам господарювання, на яких поширюється дія </w:t>
      </w:r>
      <w:r w:rsidR="001419D0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регуляторного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акта, та контроль за його виконанням суб’єктами господарювання під час планування та здійснення перевірок, передбачених законодавством.</w:t>
      </w:r>
    </w:p>
    <w:p w:rsidR="00E57D6B" w:rsidRPr="00D735C8" w:rsidRDefault="00E57D6B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Впливу зовнішніх факторів на дію регуляторного акта не очікується.</w:t>
      </w:r>
    </w:p>
    <w:p w:rsidR="00E57D6B" w:rsidRPr="00D735C8" w:rsidRDefault="00E57D6B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Оцінка можливості впровадження </w:t>
      </w:r>
      <w:r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виконання вимог </w:t>
      </w:r>
      <w:r w:rsidR="00E56E38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Порядку </w:t>
      </w:r>
      <w:r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 державної влади, фізичними та юридичними особами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висока.</w:t>
      </w:r>
    </w:p>
    <w:p w:rsidR="00E57D6B" w:rsidRPr="00D735C8" w:rsidRDefault="00E57D6B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Прийняття </w:t>
      </w:r>
      <w:r w:rsidR="00E53B41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Порядку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дасть змогу 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створити нове покоління підручників </w:t>
      </w:r>
      <w:r w:rsidRPr="00D735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для якісного здобуття учнями ЗССО загальної середньої освіти відповідно до державних стандартів.</w:t>
      </w:r>
    </w:p>
    <w:p w:rsidR="00E57D6B" w:rsidRPr="00D735C8" w:rsidRDefault="00E57D6B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Очікувані наслідки дії запропонованого регуляторного акта не передбачають нанесення шкоди суб’єктам господарювання та фізичним особам.</w:t>
      </w:r>
    </w:p>
    <w:p w:rsidR="00E57D6B" w:rsidRPr="00D735C8" w:rsidRDefault="00E57D6B" w:rsidP="00D735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Державний контроль та нагляд за додержанням вимог акта не здійснюється, за виключення випадків, передбачених актами бюджетного законодавства, щодо нагляду (контролю) з боку органів державного фінансового контролю за ефективним та цільовим використанням державних фінансових ресурсів.</w:t>
      </w:r>
    </w:p>
    <w:p w:rsidR="00477723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477723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</w:p>
    <w:p w:rsidR="00477723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або виконувати ці вимоги</w:t>
      </w:r>
    </w:p>
    <w:p w:rsidR="001419D0" w:rsidRPr="00D735C8" w:rsidRDefault="001419D0" w:rsidP="00D735C8">
      <w:pPr>
        <w:tabs>
          <w:tab w:val="left" w:pos="142"/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1419D0" w:rsidRPr="00D735C8" w:rsidRDefault="001419D0" w:rsidP="00D735C8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35C8">
        <w:rPr>
          <w:rFonts w:ascii="Times New Roman" w:eastAsia="Times New Roman" w:hAnsi="Times New Roman"/>
          <w:bCs/>
          <w:sz w:val="28"/>
          <w:szCs w:val="28"/>
        </w:rPr>
        <w:t>Враховуючи, що питома вага суб’єктів малого підприємництва у загальній кількості суб’єктів господарювання, на яких поширюється регулювання, перевищує 10 відсотків, здійсн</w:t>
      </w:r>
      <w:r w:rsidR="00E57D6B" w:rsidRPr="00D735C8">
        <w:rPr>
          <w:rFonts w:ascii="Times New Roman" w:eastAsia="Times New Roman" w:hAnsi="Times New Roman"/>
          <w:bCs/>
          <w:sz w:val="28"/>
          <w:szCs w:val="28"/>
        </w:rPr>
        <w:t xml:space="preserve">ено </w:t>
      </w:r>
      <w:r w:rsidRPr="00D735C8">
        <w:rPr>
          <w:rFonts w:ascii="Times New Roman" w:eastAsia="Times New Roman" w:hAnsi="Times New Roman"/>
          <w:bCs/>
          <w:sz w:val="28"/>
          <w:szCs w:val="28"/>
        </w:rPr>
        <w:t>розрахунок витрат за запровадження державного регулювання для суб’єктів малого підприємництва згідно з додатком</w:t>
      </w:r>
      <w:r w:rsidR="001E306A" w:rsidRPr="00D735C8">
        <w:rPr>
          <w:rFonts w:ascii="Times New Roman" w:eastAsia="Times New Roman" w:hAnsi="Times New Roman"/>
          <w:bCs/>
          <w:sz w:val="28"/>
          <w:szCs w:val="28"/>
        </w:rPr>
        <w:t xml:space="preserve"> 2 до цього Аналізу</w:t>
      </w:r>
      <w:r w:rsidRPr="00D735C8">
        <w:rPr>
          <w:rFonts w:ascii="Times New Roman" w:eastAsia="Times New Roman" w:hAnsi="Times New Roman"/>
          <w:bCs/>
          <w:sz w:val="28"/>
          <w:szCs w:val="28"/>
        </w:rPr>
        <w:t xml:space="preserve"> (Тест малого підприємництва).</w:t>
      </w:r>
    </w:p>
    <w:p w:rsidR="00E57D6B" w:rsidRPr="00D735C8" w:rsidRDefault="00E57D6B" w:rsidP="00D735C8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77723" w:rsidRPr="00D735C8" w:rsidRDefault="00477723" w:rsidP="00D735C8">
      <w:pPr>
        <w:widowControl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Обґрунтування запропонованого строку дії регуляторного акта</w:t>
      </w:r>
    </w:p>
    <w:p w:rsidR="00477723" w:rsidRPr="00D735C8" w:rsidRDefault="00477723" w:rsidP="00D735C8">
      <w:pPr>
        <w:tabs>
          <w:tab w:val="left" w:pos="851"/>
        </w:tabs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Строк дії регуляторного акта </w:t>
      </w:r>
      <w:r w:rsidR="00AB0B3D"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необмежений у часі.</w:t>
      </w:r>
    </w:p>
    <w:p w:rsidR="00477723" w:rsidRPr="00D735C8" w:rsidRDefault="00477723" w:rsidP="00D735C8">
      <w:pPr>
        <w:tabs>
          <w:tab w:val="left" w:pos="142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</w:p>
    <w:p w:rsidR="00477723" w:rsidRPr="00D735C8" w:rsidRDefault="00477723" w:rsidP="00D735C8">
      <w:pPr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985" w:hanging="127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Визначення показників результативності дії регуляторного акта</w:t>
      </w:r>
    </w:p>
    <w:p w:rsidR="00477723" w:rsidRPr="00D735C8" w:rsidRDefault="00477723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Прогнозними значеннями показників результативності регуляторного акта є:</w:t>
      </w:r>
    </w:p>
    <w:p w:rsidR="00477723" w:rsidRPr="00D735C8" w:rsidRDefault="00BC5B55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р</w:t>
      </w:r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озмір надходжень до державного та місцевих бюджетів і державних цільових фондів, пов’язаних із дією акта – </w:t>
      </w:r>
      <w:r w:rsidR="007848DD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додаткових надходжень до загального фонду державного та місце</w:t>
      </w:r>
      <w:r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вих бюджетів не передбачається;</w:t>
      </w:r>
    </w:p>
    <w:p w:rsidR="00477723" w:rsidRPr="00D735C8" w:rsidRDefault="00BC5B55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к</w:t>
      </w:r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ількість суб’єктів господарювання та/або фізичних осіб, на яких </w:t>
      </w:r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>поширюється дія акта –</w:t>
      </w:r>
      <w:r w:rsidR="00477723" w:rsidRPr="00D735C8">
        <w:rPr>
          <w:color w:val="auto"/>
        </w:rPr>
        <w:t xml:space="preserve"> </w:t>
      </w:r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необмежена. Дія проекту акта поширюватиметься на</w:t>
      </w:r>
      <w:r w:rsidR="007848DD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фізичних та юридичних осіб</w:t>
      </w:r>
      <w:r w:rsidR="001F0A00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, які, </w:t>
      </w:r>
      <w:r w:rsidR="00BC3688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у разі</w:t>
      </w:r>
      <w:r w:rsidR="001F0A00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їх</w:t>
      </w:r>
      <w:r w:rsidR="00BC3688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відповідності вимогам, </w:t>
      </w:r>
      <w:r w:rsidR="001F0A00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встановленим</w:t>
      </w:r>
      <w:r w:rsidR="00BC3688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у п</w:t>
      </w:r>
      <w:r w:rsidR="001F0A00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роекті</w:t>
      </w:r>
      <w:r w:rsidR="00BC3688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акта, можуть бути учасниками </w:t>
      </w:r>
      <w:r w:rsidR="001F0A00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Конкурсу</w:t>
      </w:r>
      <w:r w:rsidR="00BC3688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, </w:t>
      </w:r>
      <w:r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експертами або членами комісій;</w:t>
      </w:r>
    </w:p>
    <w:p w:rsidR="00477723" w:rsidRPr="00D735C8" w:rsidRDefault="00BC5B55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р</w:t>
      </w:r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івень поінформованості суб’єктів господарювання та/або фізичних осіб з основних положень регуляторного акта – </w:t>
      </w:r>
      <w:r w:rsidR="00BC3688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високий</w:t>
      </w:r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, оскільки повідомлення про оприлюднення, проект наказу та аналізу регуляторного впливу акта розміщено на офіційному веб-сайті Міністерства освіти і науки України (</w:t>
      </w:r>
      <w:hyperlink r:id="rId8" w:history="1">
        <w:r w:rsidR="00477723" w:rsidRPr="00D735C8">
          <w:rPr>
            <w:rFonts w:ascii="Times New Roman" w:hAnsi="Times New Roman" w:cs="Times New Roman"/>
            <w:color w:val="auto"/>
            <w:sz w:val="28"/>
            <w:szCs w:val="28"/>
          </w:rPr>
          <w:t>www.mon.gov.ua</w:t>
        </w:r>
      </w:hyperlink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, розділ</w:t>
      </w:r>
      <w:r w:rsidR="00E53B41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ів «Регуляторна політика»</w:t>
      </w:r>
      <w:r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,</w:t>
      </w:r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E53B41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«</w:t>
      </w:r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Громадські обговорення</w:t>
      </w:r>
      <w:r w:rsidR="00E53B41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»</w:t>
      </w:r>
      <w:r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);</w:t>
      </w:r>
    </w:p>
    <w:p w:rsidR="006617A1" w:rsidRPr="00D735C8" w:rsidRDefault="00C735CA" w:rsidP="00D735C8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час</w:t>
      </w:r>
      <w:r w:rsidR="00477723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, </w:t>
      </w:r>
      <w:r w:rsidR="00E57D6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що витрачатим</w:t>
      </w:r>
      <w:r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57D6B" w:rsidRPr="00D735C8">
        <w:rPr>
          <w:rFonts w:ascii="Times New Roman" w:hAnsi="Times New Roman" w:cs="Times New Roman"/>
          <w:sz w:val="28"/>
          <w:szCs w:val="28"/>
          <w:shd w:val="clear" w:color="auto" w:fill="FFFFFF"/>
        </w:rPr>
        <w:t>ться суб'єктами господарювання та/або фізичними особами, пов'язаними з виконанням вимог акта</w:t>
      </w:r>
      <w:r w:rsidR="00E57D6B" w:rsidRPr="00D735C8">
        <w:rPr>
          <w:rFonts w:asciiTheme="minorHAnsi" w:hAnsiTheme="minorHAnsi"/>
          <w:shd w:val="clear" w:color="auto" w:fill="FFFFFF"/>
        </w:rPr>
        <w:t xml:space="preserve"> </w:t>
      </w:r>
      <w:r w:rsidR="006617A1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– фактично не змінюватиметься.</w:t>
      </w:r>
    </w:p>
    <w:p w:rsidR="00E0479A" w:rsidRPr="00D735C8" w:rsidRDefault="00BC5B55" w:rsidP="00D735C8">
      <w:pPr>
        <w:tabs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5C8">
        <w:rPr>
          <w:rFonts w:ascii="Times New Roman" w:eastAsia="Times New Roman" w:hAnsi="Times New Roman"/>
          <w:color w:val="auto"/>
          <w:sz w:val="28"/>
          <w:szCs w:val="28"/>
        </w:rPr>
        <w:t xml:space="preserve">Кількісними показниками результативності акта </w:t>
      </w:r>
      <w:r w:rsidR="00E0479A" w:rsidRPr="00D735C8">
        <w:rPr>
          <w:rFonts w:ascii="Times New Roman" w:eastAsia="Times New Roman" w:hAnsi="Times New Roman"/>
          <w:color w:val="auto"/>
          <w:sz w:val="28"/>
          <w:szCs w:val="28"/>
        </w:rPr>
        <w:t xml:space="preserve">є </w:t>
      </w:r>
      <w:r w:rsidR="00E0479A" w:rsidRPr="00D735C8">
        <w:rPr>
          <w:rFonts w:ascii="Times New Roman" w:hAnsi="Times New Roman" w:cs="Times New Roman"/>
          <w:color w:val="auto"/>
          <w:sz w:val="28"/>
          <w:szCs w:val="28"/>
        </w:rPr>
        <w:t>відсоткове співвідношення загальної кількості</w:t>
      </w:r>
      <w:r w:rsidR="00A867A5"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79A"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>проектів підручників поданих на Конкурс та допущених до експертиз до кількості:</w:t>
      </w:r>
    </w:p>
    <w:p w:rsidR="00E0479A" w:rsidRPr="00D735C8" w:rsidRDefault="00F4725B" w:rsidP="00D735C8">
      <w:pPr>
        <w:tabs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проектів підручників, що за результатами 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>науково-методичної та психолого-педагогічної експертиз сумарно отримали</w:t>
      </w:r>
      <w:r w:rsidR="00C735CA" w:rsidRPr="00D735C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E63513" w:rsidRPr="00D735C8">
        <w:rPr>
          <w:rFonts w:ascii="Times New Roman" w:hAnsi="Times New Roman" w:cs="Times New Roman"/>
          <w:color w:val="auto"/>
          <w:sz w:val="28"/>
          <w:szCs w:val="28"/>
        </w:rPr>
        <w:t>не отримали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сімдесят п’ять і більше відсотків від максимальної можливої кількості балів</w:t>
      </w:r>
      <w:r w:rsidR="00E63513" w:rsidRPr="00D735C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10736" w:rsidRPr="00D735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479A" w:rsidRPr="00D735C8" w:rsidRDefault="00AE151D" w:rsidP="00D735C8">
      <w:pPr>
        <w:tabs>
          <w:tab w:val="left" w:pos="851"/>
        </w:tabs>
        <w:ind w:firstLine="90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проектів </w:t>
      </w:r>
      <w:r w:rsidRPr="00D735C8">
        <w:rPr>
          <w:rFonts w:ascii="Times New Roman" w:hAnsi="Times New Roman" w:cs="Times New Roman"/>
          <w:color w:val="auto"/>
          <w:sz w:val="28"/>
          <w:szCs w:val="28"/>
        </w:rPr>
        <w:t>підручників, які включені до переліку підручників, що можуть друкуватись за кошти державного бю</w:t>
      </w:r>
      <w:r w:rsidR="00BC5B55" w:rsidRPr="00D735C8">
        <w:rPr>
          <w:rFonts w:ascii="Times New Roman" w:hAnsi="Times New Roman" w:cs="Times New Roman"/>
          <w:color w:val="auto"/>
          <w:sz w:val="28"/>
          <w:szCs w:val="28"/>
        </w:rPr>
        <w:t>джету;</w:t>
      </w:r>
    </w:p>
    <w:p w:rsidR="00AE151D" w:rsidRPr="00D735C8" w:rsidRDefault="00AE151D" w:rsidP="00D735C8">
      <w:pPr>
        <w:tabs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5C8">
        <w:rPr>
          <w:rFonts w:ascii="Times New Roman" w:hAnsi="Times New Roman" w:cs="Times New Roman"/>
          <w:color w:val="auto"/>
          <w:sz w:val="28"/>
          <w:szCs w:val="28"/>
        </w:rPr>
        <w:t>підручників, виданих за результатами К</w:t>
      </w:r>
      <w:r w:rsidR="00A867A5" w:rsidRPr="00D735C8">
        <w:rPr>
          <w:rFonts w:ascii="Times New Roman" w:hAnsi="Times New Roman" w:cs="Times New Roman"/>
          <w:color w:val="auto"/>
          <w:sz w:val="28"/>
          <w:szCs w:val="28"/>
        </w:rPr>
        <w:t>онкурсу.</w:t>
      </w:r>
    </w:p>
    <w:p w:rsidR="00A867A5" w:rsidRPr="00D735C8" w:rsidRDefault="00A867A5" w:rsidP="00D735C8">
      <w:pPr>
        <w:tabs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7723" w:rsidRPr="00D735C8" w:rsidRDefault="00477723" w:rsidP="00D735C8">
      <w:pPr>
        <w:widowControl/>
        <w:numPr>
          <w:ilvl w:val="0"/>
          <w:numId w:val="1"/>
        </w:numPr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D735C8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Визначення</w:t>
      </w:r>
      <w:r w:rsidRPr="00D735C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заходів, за допомогою яких здійснюватиметься відстеження результативності дії регуляторного акта</w:t>
      </w:r>
    </w:p>
    <w:p w:rsidR="00477723" w:rsidRPr="00D735C8" w:rsidRDefault="00477723" w:rsidP="00D735C8">
      <w:pPr>
        <w:keepNext/>
        <w:widowControl/>
        <w:tabs>
          <w:tab w:val="left" w:pos="851"/>
        </w:tabs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Базове відстеження результативності вищезазначеного регуляторного акта буде здійснюватись до дати набрання чинності цьог</w:t>
      </w:r>
      <w:r w:rsidR="00E6351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 акта шляхом збору пропозицій,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зауважень</w:t>
      </w:r>
      <w:r w:rsidR="00E6351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статистичної інформації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їх аналізу.</w:t>
      </w:r>
    </w:p>
    <w:p w:rsidR="00477723" w:rsidRPr="00D735C8" w:rsidRDefault="00477723" w:rsidP="00D735C8">
      <w:pPr>
        <w:widowControl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Повторне відстеження планується здійснити через рік після </w:t>
      </w:r>
      <w:r w:rsidR="00473A87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набрання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чинності регуляторного акта, в результаті якого відбудеться порівняння показників базового та повторного обстеження. У разі виявлення неврегульованих та проблемних питань шляхом аналізу якісних показників дії цього акта, ці питання будуть врегульовані шляхом внесення відповідних змін.</w:t>
      </w: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35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Періодичне відстеження здійснюватиметься раз на три роки, починаючи з дня виконання заходів з повторного відстеження шляхом порівняння показників із аналогічними показниками, що встановлені під час повторного відстеження.</w:t>
      </w:r>
    </w:p>
    <w:p w:rsidR="00477723" w:rsidRPr="00D735C8" w:rsidRDefault="00477723" w:rsidP="00D735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Метод проведення відстеження результативності − статистичний.</w:t>
      </w:r>
    </w:p>
    <w:p w:rsidR="00477723" w:rsidRPr="00D735C8" w:rsidRDefault="00477723" w:rsidP="00D735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Вид даних, за допомогою яких здійснюватиметься відстеження</w:t>
      </w:r>
      <w:r w:rsidR="001F0A00"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результативності, − статистичний</w:t>
      </w:r>
      <w:r w:rsidRPr="00D735C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.</w:t>
      </w:r>
    </w:p>
    <w:p w:rsidR="00477723" w:rsidRPr="00D735C8" w:rsidRDefault="00477723" w:rsidP="00D735C8">
      <w:pPr>
        <w:pStyle w:val="11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D735C8">
        <w:rPr>
          <w:sz w:val="28"/>
          <w:szCs w:val="28"/>
          <w:lang w:val="uk-UA"/>
        </w:rPr>
        <w:t>Відстеження результативності вищезазначеного регуляторного акта проводитиметься шляхом розгляду пропозицій та зауваж</w:t>
      </w:r>
      <w:r w:rsidR="00AE151D" w:rsidRPr="00D735C8">
        <w:rPr>
          <w:sz w:val="28"/>
          <w:szCs w:val="28"/>
          <w:lang w:val="uk-UA"/>
        </w:rPr>
        <w:t>ень від суб’єктів господарювання та фізичних осіб</w:t>
      </w:r>
      <w:r w:rsidRPr="00D735C8">
        <w:rPr>
          <w:sz w:val="28"/>
          <w:szCs w:val="28"/>
          <w:lang w:val="uk-UA"/>
        </w:rPr>
        <w:t xml:space="preserve">, які надійшли до </w:t>
      </w:r>
      <w:r w:rsidRPr="00D735C8">
        <w:rPr>
          <w:rStyle w:val="FontStyle44"/>
          <w:sz w:val="28"/>
          <w:szCs w:val="28"/>
          <w:lang w:val="uk-UA"/>
        </w:rPr>
        <w:t>МОН пр</w:t>
      </w:r>
      <w:r w:rsidR="00AE151D" w:rsidRPr="00D735C8">
        <w:rPr>
          <w:rStyle w:val="FontStyle44"/>
          <w:sz w:val="28"/>
          <w:szCs w:val="28"/>
          <w:lang w:val="uk-UA"/>
        </w:rPr>
        <w:t xml:space="preserve">отягом усього терміну його дії, і отримання </w:t>
      </w:r>
      <w:r w:rsidR="0061648F" w:rsidRPr="00D735C8">
        <w:rPr>
          <w:rStyle w:val="FontStyle44"/>
          <w:sz w:val="28"/>
          <w:szCs w:val="28"/>
          <w:lang w:val="uk-UA"/>
        </w:rPr>
        <w:t xml:space="preserve">аналітичної </w:t>
      </w:r>
      <w:r w:rsidR="00AE151D" w:rsidRPr="00D735C8">
        <w:rPr>
          <w:rStyle w:val="FontStyle44"/>
          <w:sz w:val="28"/>
          <w:szCs w:val="28"/>
          <w:lang w:val="uk-UA"/>
        </w:rPr>
        <w:t xml:space="preserve">інформації від державних установ, задіяних </w:t>
      </w:r>
      <w:r w:rsidR="002407D9" w:rsidRPr="00D735C8">
        <w:rPr>
          <w:rStyle w:val="FontStyle44"/>
          <w:sz w:val="28"/>
          <w:szCs w:val="28"/>
          <w:lang w:val="uk-UA"/>
        </w:rPr>
        <w:t>в організації та</w:t>
      </w:r>
      <w:r w:rsidR="00AE151D" w:rsidRPr="00D735C8">
        <w:rPr>
          <w:rStyle w:val="FontStyle44"/>
          <w:sz w:val="28"/>
          <w:szCs w:val="28"/>
          <w:lang w:val="uk-UA"/>
        </w:rPr>
        <w:t xml:space="preserve"> проведен</w:t>
      </w:r>
      <w:r w:rsidR="002407D9" w:rsidRPr="00D735C8">
        <w:rPr>
          <w:rStyle w:val="FontStyle44"/>
          <w:sz w:val="28"/>
          <w:szCs w:val="28"/>
          <w:lang w:val="uk-UA"/>
        </w:rPr>
        <w:t>н</w:t>
      </w:r>
      <w:r w:rsidR="00AE151D" w:rsidRPr="00D735C8">
        <w:rPr>
          <w:rStyle w:val="FontStyle44"/>
          <w:sz w:val="28"/>
          <w:szCs w:val="28"/>
          <w:lang w:val="uk-UA"/>
        </w:rPr>
        <w:t>і Конку</w:t>
      </w:r>
      <w:r w:rsidR="002407D9" w:rsidRPr="00D735C8">
        <w:rPr>
          <w:rStyle w:val="FontStyle44"/>
          <w:sz w:val="28"/>
          <w:szCs w:val="28"/>
          <w:lang w:val="uk-UA"/>
        </w:rPr>
        <w:t>рсу</w:t>
      </w:r>
      <w:r w:rsidR="00AE151D" w:rsidRPr="00D735C8">
        <w:rPr>
          <w:rStyle w:val="FontStyle44"/>
          <w:sz w:val="28"/>
          <w:szCs w:val="28"/>
          <w:lang w:val="uk-UA"/>
        </w:rPr>
        <w:t>.</w:t>
      </w:r>
    </w:p>
    <w:p w:rsidR="00477723" w:rsidRDefault="00477723" w:rsidP="00D735C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70C0"/>
          <w:sz w:val="28"/>
          <w:szCs w:val="26"/>
          <w:lang w:bidi="ar-SA"/>
        </w:rPr>
      </w:pPr>
    </w:p>
    <w:p w:rsidR="00FE1DE2" w:rsidRPr="00D735C8" w:rsidRDefault="00FE1DE2" w:rsidP="00D735C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70C0"/>
          <w:sz w:val="28"/>
          <w:szCs w:val="26"/>
          <w:lang w:bidi="ar-SA"/>
        </w:rPr>
      </w:pPr>
    </w:p>
    <w:p w:rsidR="00477723" w:rsidRPr="00FE1DE2" w:rsidRDefault="00FE1DE2" w:rsidP="00D735C8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Міністр</w:t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7772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6351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r w:rsidR="00E63513"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Лілія ГРИНЕВИЧ</w:t>
      </w:r>
    </w:p>
    <w:p w:rsidR="00477723" w:rsidRPr="00D735C8" w:rsidRDefault="00477723" w:rsidP="00D735C8">
      <w:pPr>
        <w:widowControl/>
        <w:tabs>
          <w:tab w:val="left" w:pos="851"/>
        </w:tabs>
        <w:ind w:firstLine="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77723" w:rsidRPr="00D735C8" w:rsidRDefault="00477723" w:rsidP="00D735C8">
      <w:pPr>
        <w:widowControl/>
        <w:tabs>
          <w:tab w:val="left" w:pos="851"/>
        </w:tabs>
        <w:ind w:firstLine="85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140FA" w:rsidRPr="00D735C8" w:rsidRDefault="007140FA" w:rsidP="00D735C8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306A" w:rsidRPr="00D735C8" w:rsidRDefault="001E306A" w:rsidP="00D735C8">
      <w:pPr>
        <w:widowControl/>
        <w:tabs>
          <w:tab w:val="left" w:pos="851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Додаток 1</w:t>
      </w:r>
    </w:p>
    <w:p w:rsidR="001E306A" w:rsidRPr="00D735C8" w:rsidRDefault="001E306A" w:rsidP="00D735C8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ВИТРАТИ</w:t>
      </w:r>
    </w:p>
    <w:p w:rsidR="001E306A" w:rsidRPr="00D735C8" w:rsidRDefault="001E306A" w:rsidP="00D735C8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735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одного суб'єкта господарювання великого і середнього підприємництва, які виникають внаслідок дії регуляторного акта</w:t>
      </w:r>
    </w:p>
    <w:tbl>
      <w:tblPr>
        <w:tblW w:w="500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5413"/>
        <w:gridCol w:w="1300"/>
        <w:gridCol w:w="1445"/>
      </w:tblGrid>
      <w:tr w:rsidR="001E306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Порядковий номер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 перший рік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ind w:right="19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 п’ять років</w:t>
            </w:r>
          </w:p>
        </w:tc>
      </w:tr>
      <w:tr w:rsidR="001E306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1E306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1E306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1E306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1E306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443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із наймом додаткового персоналу,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Інше (уточнити), гривень: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FE1DE2" w:rsidRDefault="007140FA" w:rsidP="00FE1DE2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авторського оригіналу підручника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2 500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2 500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редагування проекту підручника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5 560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5 560 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художнє оформлення проекту підручника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22 500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22 500 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дизайн обкладинки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5 000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5 000 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верстка, виготовлення оригінал-макету підручника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6 100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6 100 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підготовка конкурсних матеріалів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58" w:firstLine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доставка конкурсних матеріалів до експертної установи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(сума рядків: 1 + 2 + 3 + 4 + 5 + 6 + 7 + 8),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42 163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42 163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Кількість суб'єктів господарювання великого та </w:t>
            </w: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середнього підприємництва, на яких буде поширено регулювання, одиниць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7140FA" w:rsidRPr="00D735C8" w:rsidTr="007140FA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2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210 815 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210 815 </w:t>
            </w:r>
          </w:p>
        </w:tc>
      </w:tr>
    </w:tbl>
    <w:p w:rsidR="001E306A" w:rsidRPr="00D735C8" w:rsidRDefault="001E306A" w:rsidP="00D735C8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735C8">
        <w:rPr>
          <w:rFonts w:ascii="Times New Roman" w:eastAsia="Times New Roman" w:hAnsi="Times New Roman" w:cs="Times New Roman"/>
          <w:color w:val="auto"/>
          <w:lang w:bidi="ar-SA"/>
        </w:rPr>
        <w:br w:type="textWrapping" w:clear="all"/>
        <w:t>Розрахунок відповідних витрат на одного суб'єкта господарювання</w:t>
      </w:r>
    </w:p>
    <w:tbl>
      <w:tblPr>
        <w:tblW w:w="517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3"/>
        <w:gridCol w:w="1432"/>
      </w:tblGrid>
      <w:tr w:rsidR="001E306A" w:rsidRPr="00D735C8" w:rsidTr="00A87904">
        <w:trPr>
          <w:tblCellSpacing w:w="22" w:type="dxa"/>
          <w:jc w:val="center"/>
        </w:trPr>
        <w:tc>
          <w:tcPr>
            <w:tcW w:w="4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</w:t>
            </w:r>
          </w:p>
        </w:tc>
      </w:tr>
      <w:tr w:rsidR="001E306A" w:rsidRPr="00D735C8" w:rsidTr="00A87904">
        <w:trPr>
          <w:tblCellSpacing w:w="22" w:type="dxa"/>
          <w:jc w:val="center"/>
        </w:trPr>
        <w:tc>
          <w:tcPr>
            <w:tcW w:w="4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D735C8" w:rsidRDefault="001E306A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5152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5"/>
        <w:gridCol w:w="1410"/>
      </w:tblGrid>
      <w:tr w:rsidR="001E306A" w:rsidRPr="00D735C8" w:rsidTr="00A87904">
        <w:trPr>
          <w:tblCellSpacing w:w="22" w:type="dxa"/>
          <w:jc w:val="center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</w:t>
            </w:r>
          </w:p>
        </w:tc>
      </w:tr>
      <w:tr w:rsidR="001E306A" w:rsidRPr="00D735C8" w:rsidTr="00A87904">
        <w:trPr>
          <w:tblCellSpacing w:w="22" w:type="dxa"/>
          <w:jc w:val="center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D735C8" w:rsidRDefault="001E306A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5152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2553"/>
        <w:gridCol w:w="2553"/>
        <w:gridCol w:w="1263"/>
      </w:tblGrid>
      <w:tr w:rsidR="001E306A" w:rsidRPr="00D735C8" w:rsidTr="00A87904">
        <w:trPr>
          <w:tblCellSpacing w:w="22" w:type="dxa"/>
          <w:jc w:val="center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оплату штрафних санкцій за рік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за рік</w:t>
            </w:r>
          </w:p>
        </w:tc>
      </w:tr>
      <w:tr w:rsidR="001E306A" w:rsidRPr="00D735C8" w:rsidTr="00A87904">
        <w:trPr>
          <w:tblCellSpacing w:w="22" w:type="dxa"/>
          <w:jc w:val="center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D735C8" w:rsidRDefault="001E306A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* </w:t>
      </w:r>
      <w:r w:rsidRPr="00D735C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203" w:type="pct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0"/>
        <w:gridCol w:w="2481"/>
        <w:gridCol w:w="2481"/>
        <w:gridCol w:w="1314"/>
      </w:tblGrid>
      <w:tr w:rsidR="001E306A" w:rsidRPr="00D735C8" w:rsidTr="00A87904">
        <w:trPr>
          <w:tblCellSpacing w:w="22" w:type="dxa"/>
        </w:trPr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за рік</w:t>
            </w:r>
          </w:p>
        </w:tc>
      </w:tr>
      <w:tr w:rsidR="001E306A" w:rsidRPr="00D735C8" w:rsidTr="00A87904">
        <w:trPr>
          <w:tblCellSpacing w:w="22" w:type="dxa"/>
        </w:trPr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D735C8" w:rsidRDefault="001E306A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* </w:t>
      </w:r>
      <w:r w:rsidRPr="00D735C8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203" w:type="pct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2"/>
        <w:gridCol w:w="2481"/>
        <w:gridCol w:w="2481"/>
        <w:gridCol w:w="1312"/>
      </w:tblGrid>
      <w:tr w:rsidR="001E306A" w:rsidRPr="00D735C8" w:rsidTr="00A87904">
        <w:trPr>
          <w:tblCellSpacing w:w="22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Разом за рік </w:t>
            </w:r>
          </w:p>
        </w:tc>
      </w:tr>
      <w:tr w:rsidR="001E306A" w:rsidRPr="00D735C8" w:rsidTr="00A87904">
        <w:trPr>
          <w:tblCellSpacing w:w="22" w:type="dxa"/>
        </w:trPr>
        <w:tc>
          <w:tcPr>
            <w:tcW w:w="1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</w:t>
            </w: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-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D735C8" w:rsidRDefault="001E306A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510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0"/>
        <w:gridCol w:w="2335"/>
      </w:tblGrid>
      <w:tr w:rsidR="001E306A" w:rsidRPr="00D735C8" w:rsidTr="00A87904">
        <w:trPr>
          <w:tblCellSpacing w:w="22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93093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за рік, грн</w:t>
            </w:r>
          </w:p>
        </w:tc>
      </w:tr>
      <w:tr w:rsidR="001E306A" w:rsidRPr="00D735C8" w:rsidTr="00A87904">
        <w:trPr>
          <w:tblCellSpacing w:w="22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CF4F94" w:rsidP="00D735C8">
            <w:pPr>
              <w:pStyle w:val="a5"/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</w:tr>
    </w:tbl>
    <w:p w:rsidR="001E306A" w:rsidRPr="00D735C8" w:rsidRDefault="001E306A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tbl>
      <w:tblPr>
        <w:tblW w:w="510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9"/>
        <w:gridCol w:w="4256"/>
      </w:tblGrid>
      <w:tr w:rsidR="001E306A" w:rsidRPr="00D735C8" w:rsidTr="00A87904">
        <w:trPr>
          <w:tblCellSpacing w:w="22" w:type="dxa"/>
        </w:trPr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витрат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 на оплату праці додатково найманого персоналу (за рік)</w:t>
            </w:r>
          </w:p>
        </w:tc>
      </w:tr>
      <w:tr w:rsidR="001E306A" w:rsidRPr="00D735C8" w:rsidTr="00A87904">
        <w:trPr>
          <w:tblCellSpacing w:w="22" w:type="dxa"/>
        </w:trPr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пов'язані із наймом додаткового персоналу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06A" w:rsidRPr="00D735C8" w:rsidRDefault="001E306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1E306A" w:rsidRPr="00D735C8" w:rsidRDefault="001E306A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1E306A" w:rsidRPr="00D735C8" w:rsidRDefault="001E306A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560810" w:rsidRPr="00D735C8" w:rsidRDefault="00560810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</w:p>
    <w:p w:rsidR="007140FA" w:rsidRPr="00D735C8" w:rsidRDefault="007140FA" w:rsidP="00D735C8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eastAsia="Times New Roman"/>
          <w:color w:val="auto"/>
          <w:lang w:eastAsia="ru-RU" w:bidi="ar-SA"/>
        </w:rPr>
        <w:br w:type="page"/>
      </w:r>
    </w:p>
    <w:p w:rsidR="00477723" w:rsidRPr="00D735C8" w:rsidRDefault="001E306A" w:rsidP="00D735C8">
      <w:pPr>
        <w:pStyle w:val="a3"/>
        <w:tabs>
          <w:tab w:val="left" w:pos="851"/>
        </w:tabs>
        <w:ind w:left="8505"/>
        <w:jc w:val="both"/>
        <w:rPr>
          <w:rFonts w:eastAsia="Times New Roman"/>
          <w:color w:val="auto"/>
          <w:lang w:eastAsia="ru-RU" w:bidi="ar-SA"/>
        </w:rPr>
      </w:pPr>
      <w:r w:rsidRPr="00D735C8">
        <w:rPr>
          <w:rFonts w:eastAsia="Times New Roman"/>
          <w:color w:val="auto"/>
          <w:lang w:eastAsia="ru-RU" w:bidi="ar-SA"/>
        </w:rPr>
        <w:lastRenderedPageBreak/>
        <w:t>Додаток 2</w:t>
      </w:r>
    </w:p>
    <w:p w:rsidR="00477723" w:rsidRPr="00D735C8" w:rsidRDefault="00477723" w:rsidP="00D735C8">
      <w:pPr>
        <w:keepNext/>
        <w:widowControl/>
        <w:tabs>
          <w:tab w:val="left" w:pos="851"/>
        </w:tabs>
        <w:jc w:val="center"/>
        <w:outlineLvl w:val="2"/>
        <w:rPr>
          <w:rFonts w:ascii="Cambria" w:eastAsia="Times New Roman" w:hAnsi="Cambria" w:cs="Times New Roman"/>
          <w:b/>
          <w:bCs/>
          <w:color w:val="auto"/>
          <w:sz w:val="26"/>
          <w:szCs w:val="26"/>
          <w:lang w:bidi="ar-SA"/>
        </w:rPr>
      </w:pPr>
      <w:r w:rsidRPr="00D735C8">
        <w:rPr>
          <w:rFonts w:ascii="Cambria" w:eastAsia="Times New Roman" w:hAnsi="Cambria" w:cs="Times New Roman"/>
          <w:b/>
          <w:bCs/>
          <w:color w:val="auto"/>
          <w:sz w:val="26"/>
          <w:szCs w:val="26"/>
          <w:lang w:bidi="ar-SA"/>
        </w:rPr>
        <w:t>ТЕСТ</w:t>
      </w:r>
      <w:r w:rsidRPr="00D735C8">
        <w:rPr>
          <w:rFonts w:ascii="Cambria" w:eastAsia="Times New Roman" w:hAnsi="Cambria" w:cs="Times New Roman"/>
          <w:b/>
          <w:bCs/>
          <w:color w:val="auto"/>
          <w:sz w:val="26"/>
          <w:szCs w:val="26"/>
          <w:lang w:bidi="ar-SA"/>
        </w:rPr>
        <w:br/>
        <w:t>малого підприємництва (М-Тест)</w:t>
      </w: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1. Консультації з представниками мікро- та малого підприємництва щодо оцінки впливу регулювання.</w:t>
      </w: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</w:t>
      </w:r>
      <w:r w:rsidR="00675F0B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оведено розробником у період з </w:t>
      </w:r>
      <w:r w:rsidR="0061648F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2018 р. по 2019</w:t>
      </w: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60" w:firstRow="1" w:lastRow="1" w:firstColumn="0" w:lastColumn="0" w:noHBand="0" w:noVBand="0"/>
      </w:tblPr>
      <w:tblGrid>
        <w:gridCol w:w="1438"/>
        <w:gridCol w:w="4150"/>
        <w:gridCol w:w="1581"/>
        <w:gridCol w:w="2648"/>
      </w:tblGrid>
      <w:tr w:rsidR="00477723" w:rsidRPr="00D735C8" w:rsidTr="00774C5F">
        <w:trPr>
          <w:trHeight w:val="1900"/>
          <w:tblCellSpacing w:w="22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Порядковий номер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 учасників консультацій, осіб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Основні результати консультацій (опис)</w:t>
            </w:r>
          </w:p>
        </w:tc>
      </w:tr>
      <w:tr w:rsidR="00774C5F" w:rsidRPr="00D735C8" w:rsidTr="00774C5F">
        <w:trPr>
          <w:tblCellSpacing w:w="22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C5F" w:rsidRPr="00D735C8" w:rsidRDefault="00FE1DE2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C5F" w:rsidRPr="00D735C8" w:rsidRDefault="00774C5F" w:rsidP="00D735C8">
            <w:pPr>
              <w:pStyle w:val="a3"/>
              <w:tabs>
                <w:tab w:val="left" w:pos="851"/>
              </w:tabs>
              <w:jc w:val="both"/>
              <w:rPr>
                <w:color w:val="auto"/>
              </w:rPr>
            </w:pPr>
            <w:r w:rsidRPr="00D735C8">
              <w:rPr>
                <w:color w:val="auto"/>
              </w:rPr>
              <w:t>Круглий стіл</w:t>
            </w:r>
            <w:r w:rsidRPr="00D735C8">
              <w:rPr>
                <w:color w:val="auto"/>
                <w:lang w:val="ru-RU"/>
              </w:rPr>
              <w:t>, організований</w:t>
            </w:r>
            <w:r w:rsidRPr="00D735C8">
              <w:rPr>
                <w:color w:val="auto"/>
              </w:rPr>
              <w:t xml:space="preserve"> ДНУ «Інститут модернізації змісту освіти» </w:t>
            </w:r>
          </w:p>
          <w:p w:rsidR="00774C5F" w:rsidRPr="00D735C8" w:rsidRDefault="00774C5F" w:rsidP="00D735C8">
            <w:pPr>
              <w:pStyle w:val="a3"/>
              <w:tabs>
                <w:tab w:val="left" w:pos="851"/>
              </w:tabs>
              <w:jc w:val="both"/>
              <w:rPr>
                <w:color w:val="auto"/>
              </w:rPr>
            </w:pPr>
            <w:r w:rsidRPr="00D735C8">
              <w:rPr>
                <w:color w:val="auto"/>
              </w:rPr>
              <w:t>(м. Київ, вул. Митрополита Василя Липківського, 36)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C5F" w:rsidRPr="00D735C8" w:rsidRDefault="00774C5F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C5F" w:rsidRPr="00D735C8" w:rsidRDefault="00774C5F" w:rsidP="00D735C8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Отримано консультацію щодо механізму </w:t>
            </w:r>
            <w:r w:rsidRPr="00D735C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формування п</w:t>
            </w: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ереліку підручників для закладів загальної середньої освіти, які можуть друкуватися за кошти державного бюджету</w:t>
            </w:r>
          </w:p>
        </w:tc>
      </w:tr>
    </w:tbl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2. Вимірювання впливу регулювання на суб'єктів малого підприємництва (мікро- та малі):</w:t>
      </w: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кількість суб'єктів господарювання, на яких поширюється регулювання: </w:t>
      </w:r>
      <w:r w:rsidR="00675F0B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26</w:t>
      </w:r>
      <w:r w:rsidR="00B74D6B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(одиниць), у тому числі малого підприємництва </w:t>
      </w:r>
      <w:r w:rsidR="00675F0B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20</w:t>
      </w:r>
      <w:r w:rsidR="00B74D6B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(одиниць) та мікропідприємництва </w:t>
      </w:r>
      <w:r w:rsidR="00675F0B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="00B74D6B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(одиниць);</w:t>
      </w: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675F0B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83,9</w:t>
      </w:r>
      <w:r w:rsidR="00B74D6B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% (відсотків) (відповідно до таблиці «Оцінка впливу на сферу інтересів суб'єктів господарювання»).</w:t>
      </w: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77723" w:rsidRPr="00D735C8" w:rsidRDefault="00477723" w:rsidP="00D735C8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3. Розрахунок витрат суб'єктів малого підприємництва на виконання вимог регулювання (під час здійснення розрахунку за основу взято витрати одного суб'єкта малого підприємництва для підготовки та подання конкурсних і супровідних матеріалів на один проект підручника)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9"/>
        <w:gridCol w:w="5916"/>
        <w:gridCol w:w="2492"/>
      </w:tblGrid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Порядковий номер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Найменування оцінки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93093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грн</w:t>
            </w:r>
            <w:r w:rsidR="00477723"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«прямих» витрат суб'єктів малого підприємництва на виконання регулювання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Придбання необхідного обладнання (пристроїв, машин, механізмів) 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B74D6B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B74D6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hAnsi="Times New Roman" w:cs="Times New Roman"/>
                <w:shd w:val="clear" w:color="auto" w:fill="FFFFFF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B74D6B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B74D6B" w:rsidP="00D735C8">
            <w:pPr>
              <w:pStyle w:val="rvps14"/>
              <w:spacing w:before="150" w:after="150"/>
              <w:rPr>
                <w:lang w:eastAsia="ru-RU"/>
              </w:rPr>
            </w:pPr>
            <w:r w:rsidRPr="00D735C8">
              <w:rPr>
                <w:color w:val="000000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B74D6B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B74D6B" w:rsidP="00D735C8">
            <w:pPr>
              <w:pStyle w:val="rvps14"/>
              <w:spacing w:before="150" w:after="150"/>
              <w:rPr>
                <w:lang w:eastAsia="ru-RU"/>
              </w:rPr>
            </w:pPr>
            <w:r w:rsidRPr="00D735C8">
              <w:rPr>
                <w:color w:val="000000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D735C8" w:rsidTr="00344658">
        <w:trPr>
          <w:trHeight w:val="95"/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Інші процедури: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2E758E" w:rsidRPr="00D735C8" w:rsidTr="00344658">
        <w:trPr>
          <w:trHeight w:val="95"/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5.1.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Придбання паперу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58E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430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5.2.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Придбання папки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5.3.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Придбання оптичного диску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5.4.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B74D6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5.5.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6B" w:rsidRPr="00D735C8" w:rsidRDefault="00675F0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strike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Створення авторського оригіналу підручника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2 500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5.6.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B74D6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Редагування проекту підручника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5 560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5.7.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B74D6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Художнє оформлення проекту підручника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22 500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5.8.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B74D6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Дизайн обкладинки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5 000 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5.9.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B74D6B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Верстка, виготовлення оригінал-макету підручника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6 100 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5.10.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Підготовка конкурсних матеріалів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5.11.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Доставка конкурсних матеріалів до </w:t>
            </w:r>
            <w:r w:rsidR="00B74D6B"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експертної установи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Разом, гривень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42 163 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26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Сумарно, гривень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675F0B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1 096 238 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D735C8">
              <w:rPr>
                <w:rFonts w:ascii="Times New Roman" w:hAnsi="Times New Roman" w:cs="Times New Roman"/>
                <w:shd w:val="clear" w:color="auto" w:fill="FFFFFF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735C8">
              <w:rPr>
                <w:rFonts w:ascii="Times New Roman" w:hAnsi="Times New Roman" w:cs="Times New Roman"/>
                <w:shd w:val="clear" w:color="auto" w:fill="FFFFFF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735C8">
              <w:rPr>
                <w:rFonts w:ascii="Times New Roman" w:hAnsi="Times New Roman" w:cs="Times New Roman"/>
                <w:shd w:val="clear" w:color="auto" w:fill="FFFFFF"/>
              </w:rPr>
              <w:t>Процедури офіційного звітування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735C8">
              <w:rPr>
                <w:rFonts w:ascii="Times New Roman" w:hAnsi="Times New Roman" w:cs="Times New Roman"/>
                <w:shd w:val="clear" w:color="auto" w:fill="FFFFFF"/>
              </w:rPr>
              <w:t>Процедури щодо забезпечення процесу перевірок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735C8">
              <w:rPr>
                <w:rFonts w:ascii="Times New Roman" w:hAnsi="Times New Roman" w:cs="Times New Roman"/>
                <w:shd w:val="clear" w:color="auto" w:fill="FFFFFF"/>
              </w:rPr>
              <w:t>Інші процедури (уточнити)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2E758E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D735C8">
              <w:rPr>
                <w:rFonts w:ascii="Times New Roman" w:hAnsi="Times New Roman" w:cs="Times New Roman"/>
                <w:shd w:val="clear" w:color="auto" w:fill="FFFFFF"/>
              </w:rPr>
              <w:t>Разом, гривень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58E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2E758E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Сумарно, гривень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</w:tbl>
    <w:p w:rsidR="00477723" w:rsidRPr="00D735C8" w:rsidRDefault="00477723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2E758E" w:rsidRPr="00D735C8" w:rsidRDefault="00477723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Бюджетні витрати на адміністрування регулювання </w:t>
      </w:r>
      <w:r w:rsidR="002E758E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суб'єктів малого підприємництва</w:t>
      </w:r>
    </w:p>
    <w:p w:rsidR="002E758E" w:rsidRPr="00D735C8" w:rsidRDefault="002E758E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77723" w:rsidRPr="00D735C8" w:rsidRDefault="002E758E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</w:t>
      </w:r>
      <w:r w:rsidR="00477723"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477723" w:rsidRPr="00D735C8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Державний орган, для якого здійснюється розрахунок вартості адміністрування регулювання:</w:t>
      </w:r>
    </w:p>
    <w:p w:rsidR="00477723" w:rsidRPr="00D735C8" w:rsidRDefault="00477723" w:rsidP="00D735C8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Міністерство освіти і науки України </w:t>
      </w:r>
    </w:p>
    <w:tbl>
      <w:tblPr>
        <w:tblW w:w="548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1256"/>
        <w:gridCol w:w="1610"/>
        <w:gridCol w:w="1409"/>
        <w:gridCol w:w="1511"/>
        <w:gridCol w:w="1893"/>
      </w:tblGrid>
      <w:tr w:rsidR="00477723" w:rsidRPr="00D735C8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Процедура регулювання суб'єктів малого підприємництва (розрахунок на одного типового суб'єкта </w:t>
            </w: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господарювання малого підприємництва - за потреби окремо для суб'єктів малого та мікропідприємництв)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Планові витрати часу на процедуру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Вартість часу співробітника органу державної влади </w:t>
            </w: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відповідної категорії (заробітна плата)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Оцінка кількості процедур за рік, що припадають </w:t>
            </w: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на одного суб'єкта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Оцінка кількості суб'єктів, що підпадають під дію </w:t>
            </w: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процедури регулювання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Витрати на адміністрування регулювання* (за рік), гривень</w:t>
            </w:r>
          </w:p>
        </w:tc>
      </w:tr>
      <w:tr w:rsidR="007140FA" w:rsidRPr="00D735C8" w:rsidTr="007140FA">
        <w:trPr>
          <w:trHeight w:val="813"/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камеральні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виїзні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6. Підготовка звітності за результатами регулювання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7140FA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7. Інші адміністративні процедури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0FA" w:rsidRPr="00D735C8" w:rsidRDefault="007140FA" w:rsidP="00D735C8">
            <w:pPr>
              <w:jc w:val="center"/>
              <w:rPr>
                <w:color w:val="auto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7140FA" w:rsidRPr="00D735C8" w:rsidTr="00344658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7.1. Конкурсні комісії (засідання після І та ІІ етапів Конкурсу)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D735C8" w:rsidRDefault="007140FA" w:rsidP="00D73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год.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D735C8" w:rsidRDefault="0093093D" w:rsidP="00D73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110,0 грн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D735C8" w:rsidRDefault="007140FA" w:rsidP="00D73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D735C8" w:rsidRDefault="007140FA" w:rsidP="00D73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0FA" w:rsidRPr="00D735C8" w:rsidRDefault="0093093D" w:rsidP="00D735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11000,0 грн</w:t>
            </w:r>
          </w:p>
        </w:tc>
      </w:tr>
      <w:tr w:rsidR="007140FA" w:rsidRPr="00D735C8" w:rsidTr="00344658">
        <w:trPr>
          <w:tblCellSpacing w:w="22" w:type="dxa"/>
          <w:jc w:val="center"/>
        </w:trPr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Разом за рік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0FA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Х</w:t>
            </w:r>
          </w:p>
        </w:tc>
      </w:tr>
    </w:tbl>
    <w:p w:rsidR="00477723" w:rsidRPr="00D735C8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477723" w:rsidRPr="00D735C8" w:rsidRDefault="00477723" w:rsidP="00D735C8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735C8">
        <w:rPr>
          <w:rFonts w:ascii="Times New Roman" w:eastAsia="Times New Roman" w:hAnsi="Times New Roman" w:cs="Times New Roman"/>
          <w:color w:val="auto"/>
          <w:lang w:eastAsia="ru-RU" w:bidi="ar-SA"/>
        </w:rPr>
        <w:t>4. Розрахунок сумарних витрат суб'єктів малого підприємництва, що виникають на виконання вимог регулювання</w:t>
      </w:r>
    </w:p>
    <w:tbl>
      <w:tblPr>
        <w:tblW w:w="5501" w:type="pct"/>
        <w:tblCellSpacing w:w="22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4"/>
        <w:gridCol w:w="6568"/>
        <w:gridCol w:w="2629"/>
      </w:tblGrid>
      <w:tr w:rsidR="00477723" w:rsidRPr="00D735C8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Порядковий номер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Показник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93093D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Витрати, грн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«прямих» витрат суб'єктів малого підприємництва на виконання регулювання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1 096 238 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4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</w:p>
        </w:tc>
      </w:tr>
      <w:tr w:rsidR="00477723" w:rsidRPr="00D735C8" w:rsidTr="00344658">
        <w:trPr>
          <w:tblCellSpacing w:w="22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477723" w:rsidP="00D735C8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Сумарні витрати на виконання запланованого регулювання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23" w:rsidRPr="00D735C8" w:rsidRDefault="007140FA" w:rsidP="00D735C8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735C8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1 096 238 </w:t>
            </w:r>
          </w:p>
        </w:tc>
      </w:tr>
    </w:tbl>
    <w:p w:rsidR="002E758E" w:rsidRPr="00D735C8" w:rsidRDefault="002E758E" w:rsidP="00D735C8">
      <w:pPr>
        <w:ind w:left="-426" w:firstLine="709"/>
        <w:jc w:val="both"/>
        <w:rPr>
          <w:rFonts w:ascii="Times New Roman" w:eastAsia="Times New Roman" w:hAnsi="Times New Roman"/>
        </w:rPr>
      </w:pPr>
      <w:r w:rsidRPr="00D735C8">
        <w:rPr>
          <w:rFonts w:ascii="Times New Roman" w:eastAsia="Times New Roman" w:hAnsi="Times New Roman"/>
        </w:rPr>
        <w:t>5. Розроблення корегуючих (пом’якшувальних) заходів для малого підприємництва щодо запропонованого регулювання</w:t>
      </w:r>
    </w:p>
    <w:p w:rsidR="002E758E" w:rsidRPr="0061648F" w:rsidRDefault="002E758E" w:rsidP="00D735C8">
      <w:pPr>
        <w:ind w:left="-426" w:firstLine="709"/>
        <w:jc w:val="both"/>
        <w:rPr>
          <w:rFonts w:ascii="Times New Roman" w:eastAsia="Times New Roman" w:hAnsi="Times New Roman" w:cs="Times New Roman"/>
        </w:rPr>
      </w:pPr>
      <w:r w:rsidRPr="00D735C8">
        <w:rPr>
          <w:rFonts w:ascii="Times New Roman" w:eastAsia="Times New Roman" w:hAnsi="Times New Roman"/>
        </w:rPr>
        <w:t>Запропоноване регулювання планується без розроблення компенсаторів (корегуючих (пом’якшувальних) заходів) для малого підприємництва.</w:t>
      </w:r>
    </w:p>
    <w:p w:rsidR="004A42E8" w:rsidRDefault="004A42E8" w:rsidP="00D735C8">
      <w:pPr>
        <w:widowControl/>
        <w:tabs>
          <w:tab w:val="left" w:pos="851"/>
        </w:tabs>
      </w:pPr>
    </w:p>
    <w:sectPr w:rsidR="004A42E8" w:rsidSect="00344658">
      <w:headerReference w:type="even" r:id="rId9"/>
      <w:headerReference w:type="default" r:id="rId10"/>
      <w:pgSz w:w="11906" w:h="16838"/>
      <w:pgMar w:top="851" w:right="850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EB" w:rsidRDefault="00821CEB">
      <w:r>
        <w:separator/>
      </w:r>
    </w:p>
  </w:endnote>
  <w:endnote w:type="continuationSeparator" w:id="0">
    <w:p w:rsidR="00821CEB" w:rsidRDefault="008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EB" w:rsidRDefault="00821CEB">
      <w:r>
        <w:separator/>
      </w:r>
    </w:p>
  </w:footnote>
  <w:footnote w:type="continuationSeparator" w:id="0">
    <w:p w:rsidR="00821CEB" w:rsidRDefault="0082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BF" w:rsidRDefault="00380B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419735</wp:posOffset>
              </wp:positionV>
              <wp:extent cx="70485" cy="154940"/>
              <wp:effectExtent l="0" t="0" r="6350" b="133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BBF" w:rsidRDefault="00380BB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4C5F">
                            <w:rPr>
                              <w:rStyle w:val="TrebuchetMS105pt"/>
                              <w:noProof/>
                            </w:rPr>
                            <w:t>14</w:t>
                          </w:r>
                          <w:r>
                            <w:rPr>
                              <w:rStyle w:val="TrebuchetMS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9.8pt;margin-top:33.05pt;width:5.5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" filled="f" stroked="f">
              <v:textbox style="mso-fit-shape-to-text:t" inset="0,0,0,0">
                <w:txbxContent>
                  <w:p w:rsidR="00380BBF" w:rsidRDefault="00380BB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4C5F">
                      <w:rPr>
                        <w:rStyle w:val="TrebuchetMS105pt"/>
                        <w:noProof/>
                      </w:rPr>
                      <w:t>14</w:t>
                    </w:r>
                    <w:r>
                      <w:rPr>
                        <w:rStyle w:val="TrebuchetMS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BF" w:rsidRDefault="00380B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419735</wp:posOffset>
              </wp:positionV>
              <wp:extent cx="140335" cy="154940"/>
              <wp:effectExtent l="0" t="0" r="7620" b="133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BBF" w:rsidRDefault="00380BB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6876" w:rsidRPr="00436876">
                            <w:rPr>
                              <w:rStyle w:val="TrebuchetMS105pt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rPr>
                              <w:rStyle w:val="TrebuchetMS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299.8pt;margin-top:33.05pt;width:11.05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" filled="f" stroked="f">
              <v:textbox style="mso-fit-shape-to-text:t" inset="0,0,0,0">
                <w:txbxContent>
                  <w:p w:rsidR="00380BBF" w:rsidRDefault="00380BB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6876" w:rsidRPr="00436876">
                      <w:rPr>
                        <w:rStyle w:val="TrebuchetMS105pt"/>
                        <w:rFonts w:eastAsia="Arial Unicode MS"/>
                        <w:noProof/>
                      </w:rPr>
                      <w:t>8</w:t>
                    </w:r>
                    <w:r>
                      <w:rPr>
                        <w:rStyle w:val="TrebuchetMS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E9A"/>
    <w:multiLevelType w:val="hybridMultilevel"/>
    <w:tmpl w:val="09C4F550"/>
    <w:lvl w:ilvl="0" w:tplc="88A0E3E2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546893"/>
    <w:multiLevelType w:val="hybridMultilevel"/>
    <w:tmpl w:val="85F0C8C4"/>
    <w:lvl w:ilvl="0" w:tplc="EFCAC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573B"/>
    <w:multiLevelType w:val="hybridMultilevel"/>
    <w:tmpl w:val="6DA859D8"/>
    <w:lvl w:ilvl="0" w:tplc="B58E838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6"/>
    <w:rsid w:val="000406D0"/>
    <w:rsid w:val="000968CB"/>
    <w:rsid w:val="000D3206"/>
    <w:rsid w:val="00111B78"/>
    <w:rsid w:val="001419D0"/>
    <w:rsid w:val="00145443"/>
    <w:rsid w:val="001933C3"/>
    <w:rsid w:val="001B02C1"/>
    <w:rsid w:val="001D4EEB"/>
    <w:rsid w:val="001E306A"/>
    <w:rsid w:val="001F0A00"/>
    <w:rsid w:val="0022217D"/>
    <w:rsid w:val="002407D9"/>
    <w:rsid w:val="002D08FD"/>
    <w:rsid w:val="002D2DBC"/>
    <w:rsid w:val="002E758E"/>
    <w:rsid w:val="00325FBA"/>
    <w:rsid w:val="00335EEE"/>
    <w:rsid w:val="00344658"/>
    <w:rsid w:val="00377B9E"/>
    <w:rsid w:val="00380BBF"/>
    <w:rsid w:val="003B17BF"/>
    <w:rsid w:val="003D53C0"/>
    <w:rsid w:val="00422FFE"/>
    <w:rsid w:val="00426812"/>
    <w:rsid w:val="00436876"/>
    <w:rsid w:val="00473A87"/>
    <w:rsid w:val="00477723"/>
    <w:rsid w:val="004A42E8"/>
    <w:rsid w:val="004C491B"/>
    <w:rsid w:val="004D06B1"/>
    <w:rsid w:val="004F15E3"/>
    <w:rsid w:val="0050373F"/>
    <w:rsid w:val="00560810"/>
    <w:rsid w:val="00573490"/>
    <w:rsid w:val="005B53D8"/>
    <w:rsid w:val="0061648F"/>
    <w:rsid w:val="006617A1"/>
    <w:rsid w:val="00675F0B"/>
    <w:rsid w:val="006918B4"/>
    <w:rsid w:val="006C3A2B"/>
    <w:rsid w:val="006C6247"/>
    <w:rsid w:val="007140FA"/>
    <w:rsid w:val="007153D0"/>
    <w:rsid w:val="00774C5F"/>
    <w:rsid w:val="007848DD"/>
    <w:rsid w:val="007C11B8"/>
    <w:rsid w:val="007F63F1"/>
    <w:rsid w:val="0081508F"/>
    <w:rsid w:val="00821CEB"/>
    <w:rsid w:val="008223AB"/>
    <w:rsid w:val="00862E0C"/>
    <w:rsid w:val="008D59B3"/>
    <w:rsid w:val="008F5EE9"/>
    <w:rsid w:val="00910736"/>
    <w:rsid w:val="0093093D"/>
    <w:rsid w:val="009E16BC"/>
    <w:rsid w:val="009F4CC1"/>
    <w:rsid w:val="00A467A6"/>
    <w:rsid w:val="00A867A5"/>
    <w:rsid w:val="00A87904"/>
    <w:rsid w:val="00AB0B3D"/>
    <w:rsid w:val="00AE151D"/>
    <w:rsid w:val="00B237FD"/>
    <w:rsid w:val="00B32236"/>
    <w:rsid w:val="00B74D6B"/>
    <w:rsid w:val="00B84616"/>
    <w:rsid w:val="00BC3688"/>
    <w:rsid w:val="00BC5B55"/>
    <w:rsid w:val="00BF3F40"/>
    <w:rsid w:val="00C009A6"/>
    <w:rsid w:val="00C22433"/>
    <w:rsid w:val="00C30568"/>
    <w:rsid w:val="00C735CA"/>
    <w:rsid w:val="00C904B8"/>
    <w:rsid w:val="00CA56E6"/>
    <w:rsid w:val="00CF4F94"/>
    <w:rsid w:val="00D03426"/>
    <w:rsid w:val="00D36A82"/>
    <w:rsid w:val="00D735C8"/>
    <w:rsid w:val="00D75BF0"/>
    <w:rsid w:val="00DA71D3"/>
    <w:rsid w:val="00E0479A"/>
    <w:rsid w:val="00E53B41"/>
    <w:rsid w:val="00E56E38"/>
    <w:rsid w:val="00E57D6B"/>
    <w:rsid w:val="00E63513"/>
    <w:rsid w:val="00E95579"/>
    <w:rsid w:val="00EC0115"/>
    <w:rsid w:val="00ED55A0"/>
    <w:rsid w:val="00F3528F"/>
    <w:rsid w:val="00F4725B"/>
    <w:rsid w:val="00F56E76"/>
    <w:rsid w:val="00F87F73"/>
    <w:rsid w:val="00FD3979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94973"/>
  <w15:docId w15:val="{EF2DD741-48BA-4547-8CE6-321BAF82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77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77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477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77723"/>
    <w:pPr>
      <w:shd w:val="clear" w:color="auto" w:fill="FFFFFF"/>
      <w:spacing w:line="317" w:lineRule="exact"/>
      <w:ind w:hanging="20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77723"/>
    <w:pPr>
      <w:shd w:val="clear" w:color="auto" w:fill="FFFFFF"/>
      <w:spacing w:after="600" w:line="317" w:lineRule="exact"/>
      <w:ind w:hanging="8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rsid w:val="0047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TrebuchetMS105pt">
    <w:name w:val="Колонтитул + Trebuchet MS;10;5 pt"/>
    <w:rsid w:val="004777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3">
    <w:name w:val="Normal (Web)"/>
    <w:basedOn w:val="a"/>
    <w:unhideWhenUsed/>
    <w:rsid w:val="00477723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477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color w:val="auto"/>
      <w:sz w:val="20"/>
      <w:szCs w:val="20"/>
      <w:lang w:val="x-none" w:eastAsia="zh-CN" w:bidi="ar-SA"/>
    </w:rPr>
  </w:style>
  <w:style w:type="character" w:customStyle="1" w:styleId="HTML0">
    <w:name w:val="Стандартний HTML Знак"/>
    <w:basedOn w:val="a0"/>
    <w:link w:val="HTML"/>
    <w:rsid w:val="00477723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FontStyle44">
    <w:name w:val="Font Style44"/>
    <w:rsid w:val="00477723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rsid w:val="00477723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val="ru-RU" w:eastAsia="zh-CN" w:bidi="ar-SA"/>
    </w:rPr>
  </w:style>
  <w:style w:type="paragraph" w:styleId="20">
    <w:name w:val="Body Text 2"/>
    <w:basedOn w:val="a"/>
    <w:link w:val="21"/>
    <w:rsid w:val="0047772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character" w:customStyle="1" w:styleId="21">
    <w:name w:val="Основний текст 2 Знак"/>
    <w:basedOn w:val="a0"/>
    <w:link w:val="20"/>
    <w:rsid w:val="0047772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4">
    <w:name w:val="Hyperlink"/>
    <w:uiPriority w:val="99"/>
    <w:unhideWhenUsed/>
    <w:rsid w:val="00477723"/>
    <w:rPr>
      <w:color w:val="0000FF"/>
      <w:u w:val="single"/>
    </w:rPr>
  </w:style>
  <w:style w:type="paragraph" w:customStyle="1" w:styleId="rvps2">
    <w:name w:val="rvps2"/>
    <w:basedOn w:val="a"/>
    <w:rsid w:val="004777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477723"/>
  </w:style>
  <w:style w:type="character" w:customStyle="1" w:styleId="22">
    <w:name w:val="Основной текст (2)_ Знак"/>
    <w:link w:val="23"/>
    <w:rsid w:val="00F56E76"/>
    <w:rPr>
      <w:rFonts w:cs="Times New Roman"/>
      <w:szCs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F56E76"/>
    <w:pPr>
      <w:shd w:val="clear" w:color="auto" w:fill="FFFFFF"/>
      <w:spacing w:before="1500" w:after="600" w:line="322" w:lineRule="exact"/>
    </w:pPr>
    <w:rPr>
      <w:rFonts w:asciiTheme="minorHAnsi" w:eastAsiaTheme="minorHAnsi" w:hAnsiTheme="minorHAnsi" w:cs="Times New Roman"/>
      <w:color w:val="auto"/>
      <w:sz w:val="22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DA71D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rvps14">
    <w:name w:val="rvps14"/>
    <w:basedOn w:val="a"/>
    <w:rsid w:val="00B74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735C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35CA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8B83-F8D5-4E37-A2CF-895BECD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19447</Words>
  <Characters>11085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Міщенков Євген Сергійович</dc:creator>
  <cp:keywords/>
  <dc:description/>
  <cp:lastModifiedBy>Міщенков Євген Сергійович</cp:lastModifiedBy>
  <cp:revision>13</cp:revision>
  <cp:lastPrinted>2019-05-21T11:48:00Z</cp:lastPrinted>
  <dcterms:created xsi:type="dcterms:W3CDTF">2019-04-04T08:45:00Z</dcterms:created>
  <dcterms:modified xsi:type="dcterms:W3CDTF">2019-05-21T11:48:00Z</dcterms:modified>
</cp:coreProperties>
</file>