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2" w:rsidRPr="005A32D2" w:rsidRDefault="005A32D2">
      <w:pPr>
        <w:rPr>
          <w:sz w:val="36"/>
          <w:szCs w:val="36"/>
        </w:rPr>
      </w:pPr>
      <w:r w:rsidRPr="005A32D2">
        <w:rPr>
          <w:b/>
          <w:sz w:val="36"/>
          <w:szCs w:val="36"/>
        </w:rPr>
        <w:t xml:space="preserve">Огляд </w:t>
      </w:r>
      <w:r w:rsidRPr="005A32D2">
        <w:rPr>
          <w:b/>
          <w:sz w:val="36"/>
          <w:szCs w:val="36"/>
          <w:lang w:val="uk-UA"/>
        </w:rPr>
        <w:t>вітчизняного законодавства, що регулює Національну систему кваліфікацій</w:t>
      </w:r>
    </w:p>
    <w:p w:rsidR="005A32D2" w:rsidRPr="005A32D2" w:rsidRDefault="005A32D2" w:rsidP="005A32D2">
      <w:pPr>
        <w:spacing w:line="240" w:lineRule="auto"/>
        <w:rPr>
          <w:rFonts w:cstheme="minorHAnsi"/>
          <w:sz w:val="28"/>
          <w:szCs w:val="28"/>
        </w:rPr>
      </w:pPr>
      <w:r w:rsidRPr="005A32D2">
        <w:rPr>
          <w:rFonts w:cstheme="minorHAnsi"/>
          <w:sz w:val="28"/>
          <w:szCs w:val="28"/>
        </w:rPr>
        <w:t xml:space="preserve">Ключовим законодавчим актом, що регулює Національну систему кваліфікацій став Закон України «Про освіту», прийнятий 5 вересня 2017 року. </w:t>
      </w:r>
    </w:p>
    <w:p w:rsidR="005A32D2" w:rsidRPr="005A32D2" w:rsidRDefault="005A32D2" w:rsidP="005A32D2">
      <w:pPr>
        <w:rPr>
          <w:sz w:val="28"/>
          <w:szCs w:val="28"/>
        </w:rPr>
      </w:pPr>
      <w:r w:rsidRPr="005A32D2">
        <w:rPr>
          <w:sz w:val="28"/>
          <w:szCs w:val="28"/>
        </w:rPr>
        <w:t>Слід зазначити, що відповідно до положень Розділу ХІІ «Прикінцеві та перехідні положення», норм та положень окремих статей Закону України «Про освіту» для його імплементації необхідна розробка чи перегляд більш ніж 60 законодавчо-нормативних акті</w:t>
      </w:r>
      <w:proofErr w:type="gramStart"/>
      <w:r w:rsidRPr="005A32D2">
        <w:rPr>
          <w:sz w:val="28"/>
          <w:szCs w:val="28"/>
        </w:rPr>
        <w:t>в</w:t>
      </w:r>
      <w:proofErr w:type="gramEnd"/>
      <w:r w:rsidRPr="005A32D2">
        <w:rPr>
          <w:sz w:val="28"/>
          <w:szCs w:val="28"/>
        </w:rPr>
        <w:t xml:space="preserve"> у системі освіти.</w:t>
      </w:r>
    </w:p>
    <w:p w:rsidR="005A32D2" w:rsidRPr="005A32D2" w:rsidRDefault="005A32D2" w:rsidP="005A32D2">
      <w:pPr>
        <w:spacing w:after="0" w:line="240" w:lineRule="auto"/>
        <w:jc w:val="both"/>
        <w:rPr>
          <w:rFonts w:cstheme="minorHAnsi"/>
          <w:sz w:val="28"/>
          <w:szCs w:val="28"/>
        </w:rPr>
      </w:pPr>
      <w:r w:rsidRPr="005A32D2">
        <w:rPr>
          <w:rFonts w:cstheme="minorHAnsi"/>
          <w:sz w:val="28"/>
          <w:szCs w:val="28"/>
        </w:rPr>
        <w:t>Перелік нормативних  та законодавчих актів, розробка чи доопрацювання яких необхідні для імплементації ЗУ «Про освіту» має такий вигляд:</w:t>
      </w:r>
    </w:p>
    <w:p w:rsidR="005A32D2" w:rsidRPr="005A32D2" w:rsidRDefault="005A32D2" w:rsidP="005A32D2">
      <w:pPr>
        <w:spacing w:after="0" w:line="240" w:lineRule="auto"/>
        <w:ind w:firstLine="709"/>
        <w:jc w:val="both"/>
        <w:rPr>
          <w:rFonts w:cstheme="minorHAnsi"/>
          <w:sz w:val="28"/>
          <w:szCs w:val="28"/>
        </w:rPr>
      </w:pPr>
    </w:p>
    <w:p w:rsidR="005A32D2" w:rsidRPr="005A32D2" w:rsidRDefault="005A32D2" w:rsidP="005A32D2">
      <w:pPr>
        <w:pStyle w:val="a3"/>
        <w:numPr>
          <w:ilvl w:val="0"/>
          <w:numId w:val="1"/>
        </w:numPr>
        <w:spacing w:after="0"/>
        <w:jc w:val="both"/>
        <w:rPr>
          <w:rFonts w:asciiTheme="minorHAnsi" w:hAnsiTheme="minorHAnsi" w:cstheme="minorHAnsi"/>
          <w:sz w:val="28"/>
          <w:szCs w:val="28"/>
        </w:rPr>
      </w:pPr>
      <w:r w:rsidRPr="005A32D2">
        <w:rPr>
          <w:rFonts w:asciiTheme="minorHAnsi" w:hAnsiTheme="minorHAnsi" w:cstheme="minorHAnsi"/>
          <w:sz w:val="28"/>
          <w:szCs w:val="28"/>
          <w:lang w:val="ru-RU"/>
        </w:rPr>
        <w:t xml:space="preserve"> Порядок, умови, форми та особливості здобуття дошкільної освіти визначаються спеціальним законом</w:t>
      </w:r>
      <w:proofErr w:type="gramStart"/>
      <w:r w:rsidRPr="005A32D2">
        <w:rPr>
          <w:rFonts w:asciiTheme="minorHAnsi" w:hAnsiTheme="minorHAnsi" w:cstheme="minorHAnsi"/>
          <w:sz w:val="28"/>
          <w:szCs w:val="28"/>
          <w:lang w:val="ru-RU"/>
        </w:rPr>
        <w:t>.</w:t>
      </w:r>
      <w:proofErr w:type="gramEnd"/>
      <w:r w:rsidRPr="005A32D2">
        <w:rPr>
          <w:rFonts w:asciiTheme="minorHAnsi" w:hAnsiTheme="minorHAnsi" w:cstheme="minorHAnsi"/>
          <w:sz w:val="28"/>
          <w:szCs w:val="28"/>
          <w:lang w:val="ru-RU"/>
        </w:rPr>
        <w:t xml:space="preserve"> </w:t>
      </w:r>
      <w:r w:rsidRPr="005A32D2">
        <w:rPr>
          <w:rFonts w:asciiTheme="minorHAnsi" w:hAnsiTheme="minorHAnsi" w:cstheme="minorHAnsi"/>
          <w:sz w:val="28"/>
          <w:szCs w:val="28"/>
        </w:rPr>
        <w:t>(</w:t>
      </w:r>
      <w:proofErr w:type="gramStart"/>
      <w:r w:rsidRPr="005A32D2">
        <w:rPr>
          <w:rFonts w:asciiTheme="minorHAnsi" w:hAnsiTheme="minorHAnsi" w:cstheme="minorHAnsi"/>
          <w:sz w:val="28"/>
          <w:szCs w:val="28"/>
        </w:rPr>
        <w:t>п</w:t>
      </w:r>
      <w:proofErr w:type="gramEnd"/>
      <w:r w:rsidRPr="005A32D2">
        <w:rPr>
          <w:rFonts w:asciiTheme="minorHAnsi" w:hAnsiTheme="minorHAnsi" w:cstheme="minorHAnsi"/>
          <w:sz w:val="28"/>
          <w:szCs w:val="28"/>
        </w:rPr>
        <w:t>.6 ст. 11).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Результати навчання, здобуті шляхом неформальної та/або інформальної освіти, визнаються </w:t>
      </w:r>
      <w:proofErr w:type="gramStart"/>
      <w:r w:rsidRPr="005A32D2">
        <w:rPr>
          <w:rFonts w:asciiTheme="minorHAnsi" w:hAnsiTheme="minorHAnsi" w:cstheme="minorHAnsi"/>
          <w:sz w:val="28"/>
          <w:szCs w:val="28"/>
          <w:lang w:val="ru-RU"/>
        </w:rPr>
        <w:t>в</w:t>
      </w:r>
      <w:proofErr w:type="gramEnd"/>
      <w:r w:rsidRPr="005A32D2">
        <w:rPr>
          <w:rFonts w:asciiTheme="minorHAnsi" w:hAnsiTheme="minorHAnsi" w:cstheme="minorHAnsi"/>
          <w:sz w:val="28"/>
          <w:szCs w:val="28"/>
          <w:lang w:val="ru-RU"/>
        </w:rPr>
        <w:t xml:space="preserve"> системі формальної освіти в порядку, визначеному законодавством (п.5 ст. 8).</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Особливості застосування форм здобуття освіти для </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ізних рівнів освіти можуть визначатися спеціальними законами (п.11 ст.9).</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Положення про форми здобуття освіти затверджуються центральним органом виконавчої влади у сфері освіти і науки (п. 12 ст.9).</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визначається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 (п.5 ст. 12).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форми проведення і перелік навчальних предметів державної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ідсумкової атестації визначає центральний орган виконавчої влади у сфері освіти і науки (п 8. ст. 12).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умови, форми та особливості здобуття повної загальної середньої освіти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 (п.9 ст.12).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Положення про освітній округ і опорний заклад освіти затверджується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(п.2 ст.13).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Філія закладу освіти – територіально відокремлений структурний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затвердженого центральним органом виконавчої влади у сфері освіти і науки (п.3 ст. 13).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lastRenderedPageBreak/>
        <w:t xml:space="preserve"> Порядок, умови, форми та особливості здобуття позашкільної освіти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умови, форми та особливості здобуття професійної (професійно-технічної) освіти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 (п.7 ст. 15).</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умови, форми та особливості здобуття фахової передвищої освіти визначається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 (п.7 ст.16).</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Зарахування осіб з особливими освітніми потребами </w:t>
      </w:r>
      <w:proofErr w:type="gramStart"/>
      <w:r w:rsidRPr="005A32D2">
        <w:rPr>
          <w:rFonts w:asciiTheme="minorHAnsi" w:hAnsiTheme="minorHAnsi" w:cstheme="minorHAnsi"/>
          <w:sz w:val="28"/>
          <w:szCs w:val="28"/>
          <w:lang w:val="ru-RU"/>
        </w:rPr>
        <w:t>до</w:t>
      </w:r>
      <w:proofErr w:type="gramEnd"/>
      <w:r w:rsidRPr="005A32D2">
        <w:rPr>
          <w:rFonts w:asciiTheme="minorHAnsi" w:hAnsiTheme="minorHAnsi" w:cstheme="minorHAnsi"/>
          <w:sz w:val="28"/>
          <w:szCs w:val="28"/>
          <w:lang w:val="ru-RU"/>
        </w:rPr>
        <w:t xml:space="preserve">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іальних закладів освіти, переведення з одного типу закладу до іншого та їх відрахування здійснюється у порядку, встановленому центральним органом виконавчої влади у сфері освіти і науки (п.7 ст.19).</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Категорії осіб з особливими освітніми потребами визначаються актами Кабінету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(п.8 ст.19).</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Положення про заклади спеціалізованої освіти спортивного </w:t>
      </w:r>
      <w:proofErr w:type="gramStart"/>
      <w:r w:rsidRPr="005A32D2">
        <w:rPr>
          <w:rFonts w:asciiTheme="minorHAnsi" w:hAnsiTheme="minorHAnsi" w:cstheme="minorHAnsi"/>
          <w:sz w:val="28"/>
          <w:szCs w:val="28"/>
          <w:lang w:val="ru-RU"/>
        </w:rPr>
        <w:t>проф</w:t>
      </w:r>
      <w:proofErr w:type="gramEnd"/>
      <w:r w:rsidRPr="005A32D2">
        <w:rPr>
          <w:rFonts w:asciiTheme="minorHAnsi" w:hAnsiTheme="minorHAnsi" w:cstheme="minorHAnsi"/>
          <w:sz w:val="28"/>
          <w:szCs w:val="28"/>
          <w:lang w:val="ru-RU"/>
        </w:rPr>
        <w:t>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 (п.3 ст. 21).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Положення про заклади спеціалізованої освіти військового (військово-спортивного) </w:t>
      </w:r>
      <w:proofErr w:type="gramStart"/>
      <w:r w:rsidRPr="005A32D2">
        <w:rPr>
          <w:rFonts w:asciiTheme="minorHAnsi" w:hAnsiTheme="minorHAnsi" w:cstheme="minorHAnsi"/>
          <w:sz w:val="28"/>
          <w:szCs w:val="28"/>
          <w:lang w:val="ru-RU"/>
        </w:rPr>
        <w:t>проф</w:t>
      </w:r>
      <w:proofErr w:type="gramEnd"/>
      <w:r w:rsidRPr="005A32D2">
        <w:rPr>
          <w:rFonts w:asciiTheme="minorHAnsi" w:hAnsiTheme="minorHAnsi" w:cstheme="minorHAnsi"/>
          <w:sz w:val="28"/>
          <w:szCs w:val="28"/>
          <w:lang w:val="ru-RU"/>
        </w:rPr>
        <w:t>ілю затверджуються органами державної влади, до сфери управління яких належать такі заклади освіти (п.4 ст. 21).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Положення про військові структурні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 (п.4 ст. 21).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Засади військової освіти регулюються цим Законом, Законом України «Про військовий обов’язок і військову службу» та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(п.4 ст. 21).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Положення про заклади спеціалізованої наукової освіти затверджуються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за поданням центрального органу виконавчої влади у сфері освіти і науки (п.5 ст.21).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w:t>
      </w:r>
      <w:proofErr w:type="gramStart"/>
      <w:r w:rsidRPr="005A32D2">
        <w:rPr>
          <w:rFonts w:asciiTheme="minorHAnsi" w:hAnsiTheme="minorHAnsi" w:cstheme="minorHAnsi"/>
          <w:sz w:val="28"/>
          <w:szCs w:val="28"/>
          <w:lang w:val="ru-RU"/>
        </w:rPr>
        <w:t>у</w:t>
      </w:r>
      <w:proofErr w:type="gramEnd"/>
      <w:r w:rsidRPr="005A32D2">
        <w:rPr>
          <w:rFonts w:asciiTheme="minorHAnsi" w:hAnsiTheme="minorHAnsi" w:cstheme="minorHAnsi"/>
          <w:sz w:val="28"/>
          <w:szCs w:val="28"/>
          <w:lang w:val="ru-RU"/>
        </w:rPr>
        <w:t xml:space="preserve"> відповідних сферах (п.6 ст.21).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proofErr w:type="gramStart"/>
      <w:r w:rsidRPr="005A32D2">
        <w:rPr>
          <w:rFonts w:asciiTheme="minorHAnsi" w:hAnsiTheme="minorHAnsi" w:cstheme="minorHAnsi"/>
          <w:sz w:val="28"/>
          <w:szCs w:val="28"/>
          <w:lang w:val="ru-RU"/>
        </w:rPr>
        <w:t>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 (п.6 ст.21).</w:t>
      </w:r>
      <w:proofErr w:type="gramEnd"/>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Обсяг автономії закладів освіти визначається цим,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та установчими документами закладу освіти (п.2 ст. 23).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lastRenderedPageBreak/>
        <w:t xml:space="preserve">Перелік додаткової інформації, обов’язкової для оприлюднення закладами освіти, може визначатися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(п.5 ст.30).</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Стандарти освіти розробляються та затверджуються у порядку, визначеному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та іншими нормативно-правовими актами (п.3 ст. 32).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10. Процедури присудження,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ідтвердження кваліфікацій, а також порядок створення та діяльності і правовий статус суб’єктів, що здійснюють діяльність із оцінювання і визнання освітніх та/або професійних кваліфікацій, визначаються спеціальними законами та іншими нормативно-правовими актами (п.10 ст.34).</w:t>
      </w:r>
    </w:p>
    <w:p w:rsidR="005A32D2" w:rsidRPr="005A32D2" w:rsidRDefault="005A32D2" w:rsidP="005A32D2">
      <w:pPr>
        <w:pStyle w:val="a3"/>
        <w:numPr>
          <w:ilvl w:val="0"/>
          <w:numId w:val="1"/>
        </w:numPr>
        <w:spacing w:after="0"/>
        <w:jc w:val="both"/>
        <w:rPr>
          <w:rFonts w:asciiTheme="minorHAnsi" w:hAnsiTheme="minorHAnsi" w:cstheme="minorHAnsi"/>
          <w:sz w:val="28"/>
          <w:szCs w:val="28"/>
        </w:rPr>
      </w:pPr>
      <w:r w:rsidRPr="005A32D2">
        <w:rPr>
          <w:rFonts w:asciiTheme="minorHAnsi" w:hAnsiTheme="minorHAnsi" w:cstheme="minorHAnsi"/>
          <w:sz w:val="28"/>
          <w:szCs w:val="28"/>
          <w:lang w:val="ru-RU"/>
        </w:rPr>
        <w:t xml:space="preserve">Національна рамка кваліфікацій – системний і структурований за компетентностями опис її </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 xml:space="preserve">івнів. </w:t>
      </w:r>
      <w:r w:rsidRPr="005A32D2">
        <w:rPr>
          <w:rFonts w:asciiTheme="minorHAnsi" w:hAnsiTheme="minorHAnsi" w:cstheme="minorHAnsi"/>
          <w:sz w:val="28"/>
          <w:szCs w:val="28"/>
        </w:rPr>
        <w:t>Національна рамка кваліфікацій затверджується Кабінетом Міністрів України (п.2 ст. 35).</w:t>
      </w:r>
    </w:p>
    <w:p w:rsidR="005A32D2" w:rsidRPr="005A32D2" w:rsidRDefault="005A32D2" w:rsidP="005A32D2">
      <w:pPr>
        <w:pStyle w:val="a3"/>
        <w:numPr>
          <w:ilvl w:val="0"/>
          <w:numId w:val="1"/>
        </w:numPr>
        <w:spacing w:after="0"/>
        <w:jc w:val="both"/>
        <w:rPr>
          <w:rFonts w:asciiTheme="minorHAnsi" w:hAnsiTheme="minorHAnsi" w:cstheme="minorHAnsi"/>
          <w:sz w:val="28"/>
          <w:szCs w:val="28"/>
        </w:rPr>
      </w:pPr>
      <w:r w:rsidRPr="005A32D2">
        <w:rPr>
          <w:rFonts w:asciiTheme="minorHAnsi" w:hAnsiTheme="minorHAnsi" w:cstheme="minorHAnsi"/>
          <w:sz w:val="28"/>
          <w:szCs w:val="28"/>
        </w:rPr>
        <w:t>Галузеві рамки кваліфікацій затверджуються Кабінетом Міністрів України (п.7 ст. 35).</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Структура і функціонування національної системи кваліфікацій визначається законом (п.2 ст. 37).</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Правовий статус, порядок діяльності, формування складу, в тому числі шляхом залучення інших зацікавлених сторін, Національного агентства кваліфікацій визначається його статутом, що затверджується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(п.3 ст.38).</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Порядок розроблення, введення в дію та перегляду професійних стандартів затверджується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за поданням Національного агентства кваліфікацій (п.3 ст.39).</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виготовлення, видачі та </w:t>
      </w:r>
      <w:proofErr w:type="gramStart"/>
      <w:r w:rsidRPr="005A32D2">
        <w:rPr>
          <w:rFonts w:asciiTheme="minorHAnsi" w:hAnsiTheme="minorHAnsi" w:cstheme="minorHAnsi"/>
          <w:sz w:val="28"/>
          <w:szCs w:val="28"/>
          <w:lang w:val="ru-RU"/>
        </w:rPr>
        <w:t>обл</w:t>
      </w:r>
      <w:proofErr w:type="gramEnd"/>
      <w:r w:rsidRPr="005A32D2">
        <w:rPr>
          <w:rFonts w:asciiTheme="minorHAnsi" w:hAnsiTheme="minorHAnsi" w:cstheme="minorHAnsi"/>
          <w:sz w:val="28"/>
          <w:szCs w:val="28"/>
          <w:lang w:val="ru-RU"/>
        </w:rPr>
        <w:t>іку документів про освіту, вимоги до їх форми та/або змісту визначаються законодавством (п.2 ст.40).</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виготовлення, видачі та </w:t>
      </w:r>
      <w:proofErr w:type="gramStart"/>
      <w:r w:rsidRPr="005A32D2">
        <w:rPr>
          <w:rFonts w:asciiTheme="minorHAnsi" w:hAnsiTheme="minorHAnsi" w:cstheme="minorHAnsi"/>
          <w:sz w:val="28"/>
          <w:szCs w:val="28"/>
          <w:lang w:val="ru-RU"/>
        </w:rPr>
        <w:t>обл</w:t>
      </w:r>
      <w:proofErr w:type="gramEnd"/>
      <w:r w:rsidRPr="005A32D2">
        <w:rPr>
          <w:rFonts w:asciiTheme="minorHAnsi" w:hAnsiTheme="minorHAnsi" w:cstheme="minorHAnsi"/>
          <w:sz w:val="28"/>
          <w:szCs w:val="28"/>
          <w:lang w:val="ru-RU"/>
        </w:rPr>
        <w:t>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цих законів(п.2 ст.40).</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Інформація про видані </w:t>
      </w:r>
      <w:proofErr w:type="gramStart"/>
      <w:r w:rsidRPr="005A32D2">
        <w:rPr>
          <w:rFonts w:asciiTheme="minorHAnsi" w:hAnsiTheme="minorHAnsi" w:cstheme="minorHAnsi"/>
          <w:sz w:val="28"/>
          <w:szCs w:val="28"/>
          <w:lang w:val="ru-RU"/>
        </w:rPr>
        <w:t>документи</w:t>
      </w:r>
      <w:proofErr w:type="gramEnd"/>
      <w:r w:rsidRPr="005A32D2">
        <w:rPr>
          <w:rFonts w:asciiTheme="minorHAnsi" w:hAnsiTheme="minorHAnsi" w:cstheme="minorHAnsi"/>
          <w:sz w:val="28"/>
          <w:szCs w:val="28"/>
          <w:lang w:val="ru-RU"/>
        </w:rPr>
        <w:t xml:space="preserve"> про середню, професійну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 (п.3 ст.40).</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Особливості функціонування системи забезпечення якості на кожному </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івні освіти визначаються спеціальними законами (п.6 ст. 41).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Форми та види академічної відповідальності закладів освіти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(п.9 ст. 42).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 дії (бездіяльність), що цим законом визнані порушенням академічної доброчесності, особа може бути притягнута до інших видів </w:t>
      </w:r>
      <w:proofErr w:type="gramStart"/>
      <w:r w:rsidRPr="005A32D2">
        <w:rPr>
          <w:rFonts w:asciiTheme="minorHAnsi" w:hAnsiTheme="minorHAnsi" w:cstheme="minorHAnsi"/>
          <w:sz w:val="28"/>
          <w:szCs w:val="28"/>
          <w:lang w:val="ru-RU"/>
        </w:rPr>
        <w:lastRenderedPageBreak/>
        <w:t>в</w:t>
      </w:r>
      <w:proofErr w:type="gramEnd"/>
      <w:r w:rsidRPr="005A32D2">
        <w:rPr>
          <w:rFonts w:asciiTheme="minorHAnsi" w:hAnsiTheme="minorHAnsi" w:cstheme="minorHAnsi"/>
          <w:sz w:val="28"/>
          <w:szCs w:val="28"/>
          <w:lang w:val="ru-RU"/>
        </w:rPr>
        <w:t>ідповідальності з підстав та в порядку, визначених відповідними законами (п.10 ст. 42)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 Освітня діяльність у формальній освіті провадиться на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ідставі ліцензії, що видається органом ліцензування відповідно до законодавства ( п.2 с т. 43).</w:t>
      </w:r>
    </w:p>
    <w:p w:rsidR="005A32D2" w:rsidRPr="005A32D2" w:rsidRDefault="005A32D2" w:rsidP="005A32D2">
      <w:pPr>
        <w:pStyle w:val="a3"/>
        <w:numPr>
          <w:ilvl w:val="0"/>
          <w:numId w:val="1"/>
        </w:numPr>
        <w:spacing w:after="0"/>
        <w:jc w:val="both"/>
        <w:rPr>
          <w:rFonts w:asciiTheme="minorHAnsi" w:hAnsiTheme="minorHAnsi" w:cstheme="minorHAnsi"/>
          <w:sz w:val="28"/>
          <w:szCs w:val="28"/>
        </w:rPr>
      </w:pPr>
      <w:r w:rsidRPr="005A32D2">
        <w:rPr>
          <w:rFonts w:asciiTheme="minorHAnsi" w:hAnsiTheme="minorHAnsi" w:cstheme="minorHAnsi"/>
          <w:sz w:val="28"/>
          <w:szCs w:val="28"/>
          <w:lang w:val="ru-RU"/>
        </w:rPr>
        <w:t xml:space="preserve">Ліцензійні умови визначаються окремо для кожного </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 xml:space="preserve">івня освіти. Ліцензійні умови формуються з урахуванням спеціальних вимог до доступності для </w:t>
      </w:r>
      <w:proofErr w:type="gramStart"/>
      <w:r w:rsidRPr="005A32D2">
        <w:rPr>
          <w:rFonts w:asciiTheme="minorHAnsi" w:hAnsiTheme="minorHAnsi" w:cstheme="minorHAnsi"/>
          <w:sz w:val="28"/>
          <w:szCs w:val="28"/>
          <w:lang w:val="ru-RU"/>
        </w:rPr>
        <w:t>осіб</w:t>
      </w:r>
      <w:proofErr w:type="gramEnd"/>
      <w:r w:rsidRPr="005A32D2">
        <w:rPr>
          <w:rFonts w:asciiTheme="minorHAnsi" w:hAnsiTheme="minorHAnsi" w:cstheme="minorHAnsi"/>
          <w:sz w:val="28"/>
          <w:szCs w:val="28"/>
          <w:lang w:val="ru-RU"/>
        </w:rPr>
        <w:t xml:space="preserve"> з особливими освітніми потребами. </w:t>
      </w:r>
      <w:r w:rsidRPr="005A32D2">
        <w:rPr>
          <w:rFonts w:asciiTheme="minorHAnsi" w:hAnsiTheme="minorHAnsi" w:cstheme="minorHAnsi"/>
          <w:sz w:val="28"/>
          <w:szCs w:val="28"/>
        </w:rPr>
        <w:t>Вимоги до ліцензійних умов визначаються спеціальними законами (п.3 ст.43).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 (п.4 ст.43).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Освітня програма акредитується </w:t>
      </w:r>
      <w:proofErr w:type="gramStart"/>
      <w:r w:rsidRPr="005A32D2">
        <w:rPr>
          <w:rFonts w:asciiTheme="minorHAnsi" w:hAnsiTheme="minorHAnsi" w:cstheme="minorHAnsi"/>
          <w:sz w:val="28"/>
          <w:szCs w:val="28"/>
          <w:lang w:val="ru-RU"/>
        </w:rPr>
        <w:t>у</w:t>
      </w:r>
      <w:proofErr w:type="gramEnd"/>
      <w:r w:rsidRPr="005A32D2">
        <w:rPr>
          <w:rFonts w:asciiTheme="minorHAnsi" w:hAnsiTheme="minorHAnsi" w:cstheme="minorHAnsi"/>
          <w:sz w:val="28"/>
          <w:szCs w:val="28"/>
          <w:lang w:val="ru-RU"/>
        </w:rPr>
        <w:t xml:space="preserve"> разі, якщо це передбачено спеціальним законом (п.2 ст.44).</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Засади акредитації освітніх програм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(п.2 ст.44).</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Освітня програма відповідного </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 (п.3 ст.44).</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proofErr w:type="gramStart"/>
      <w:r w:rsidRPr="005A32D2">
        <w:rPr>
          <w:rFonts w:asciiTheme="minorHAnsi" w:hAnsiTheme="minorHAnsi" w:cstheme="minorHAnsi"/>
          <w:sz w:val="28"/>
          <w:szCs w:val="28"/>
          <w:lang w:val="ru-RU"/>
        </w:rPr>
        <w:t>Інституційний аудит проводиться у плановому порядку, якщо це передбачено спеціальним законом (п.5 ст.45).</w:t>
      </w:r>
      <w:proofErr w:type="gramEnd"/>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Особливості проведення інституційного аудиту на відповідному </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івні освіти визначаються спеціальними законами (п.8 ст.45).</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Засади інституційної акредитації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 (п.4 ст.46).</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proofErr w:type="gramStart"/>
      <w:r w:rsidRPr="005A32D2">
        <w:rPr>
          <w:rFonts w:asciiTheme="minorHAnsi" w:hAnsiTheme="minorHAnsi" w:cstheme="minorHAnsi"/>
          <w:sz w:val="28"/>
          <w:szCs w:val="28"/>
          <w:lang w:val="ru-RU"/>
        </w:rPr>
        <w:t>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повинні бути оприлюднені не менш як за шість місяців до проведення зовнішнього незалежного оц</w:t>
      </w:r>
      <w:proofErr w:type="gramEnd"/>
      <w:r w:rsidRPr="005A32D2">
        <w:rPr>
          <w:rFonts w:asciiTheme="minorHAnsi" w:hAnsiTheme="minorHAnsi" w:cstheme="minorHAnsi"/>
          <w:sz w:val="28"/>
          <w:szCs w:val="28"/>
          <w:lang w:val="ru-RU"/>
        </w:rPr>
        <w:t>інювання (п.4 ст.47).</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Положення </w:t>
      </w:r>
      <w:proofErr w:type="gramStart"/>
      <w:r w:rsidRPr="005A32D2">
        <w:rPr>
          <w:rFonts w:asciiTheme="minorHAnsi" w:hAnsiTheme="minorHAnsi" w:cstheme="minorHAnsi"/>
          <w:sz w:val="28"/>
          <w:szCs w:val="28"/>
          <w:lang w:val="ru-RU"/>
        </w:rPr>
        <w:t>про</w:t>
      </w:r>
      <w:proofErr w:type="gramEnd"/>
      <w:r w:rsidRPr="005A32D2">
        <w:rPr>
          <w:rFonts w:asciiTheme="minorHAnsi" w:hAnsiTheme="minorHAnsi" w:cstheme="minorHAnsi"/>
          <w:sz w:val="28"/>
          <w:szCs w:val="28"/>
          <w:lang w:val="ru-RU"/>
        </w:rPr>
        <w:t xml:space="preserve">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іально уповноважену державою установу (організацію) затверджується відповідно до законодавства (п.6 ст.47).</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Засади зовнішнього незалежного оцінювання, не встановлені цим Законом,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іальними законами (п.7 ст.47).</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Порядок, види та форми проведення моніторингу якості освіти затверджуються центральним органом виконавчої влади у сфері освіти і науки (п.3 ст.48).</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lastRenderedPageBreak/>
        <w:t>Положення про атестацію педагогічних працівників затверджує центральний орган виконавчої влади у сфері освіти і науки (п.5 ст.50).</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Положення про атестацію педагогічних працівникі</w:t>
      </w:r>
      <w:proofErr w:type="gramStart"/>
      <w:r w:rsidRPr="005A32D2">
        <w:rPr>
          <w:rFonts w:asciiTheme="minorHAnsi" w:hAnsiTheme="minorHAnsi" w:cstheme="minorHAnsi"/>
          <w:sz w:val="28"/>
          <w:szCs w:val="28"/>
          <w:lang w:val="ru-RU"/>
        </w:rPr>
        <w:t>в</w:t>
      </w:r>
      <w:proofErr w:type="gramEnd"/>
      <w:r w:rsidRPr="005A32D2">
        <w:rPr>
          <w:rFonts w:asciiTheme="minorHAnsi" w:hAnsiTheme="minorHAnsi" w:cstheme="minorHAnsi"/>
          <w:sz w:val="28"/>
          <w:szCs w:val="28"/>
          <w:lang w:val="ru-RU"/>
        </w:rPr>
        <w:t xml:space="preserve">, </w:t>
      </w:r>
      <w:proofErr w:type="gramStart"/>
      <w:r w:rsidRPr="005A32D2">
        <w:rPr>
          <w:rFonts w:asciiTheme="minorHAnsi" w:hAnsiTheme="minorHAnsi" w:cstheme="minorHAnsi"/>
          <w:sz w:val="28"/>
          <w:szCs w:val="28"/>
          <w:lang w:val="ru-RU"/>
        </w:rPr>
        <w:t>як</w:t>
      </w:r>
      <w:proofErr w:type="gramEnd"/>
      <w:r w:rsidRPr="005A32D2">
        <w:rPr>
          <w:rFonts w:asciiTheme="minorHAnsi" w:hAnsiTheme="minorHAnsi" w:cstheme="minorHAnsi"/>
          <w:sz w:val="28"/>
          <w:szCs w:val="28"/>
          <w:lang w:val="ru-RU"/>
        </w:rPr>
        <w:t>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 (п.6 ст.50).</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 (п.3 ст.51).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Процедуру сертифікації здійснюють спеціально уповноважені державою установи, положення про які затверджує Кабінет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(п.3 ст.51) .</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(п.6 ст.51).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Залучення здобувачів освіти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 час освітнього процесу до виконання робіт чи участі в заходах, не пов’язаних з реалізацією освітньої програми, забороняється, крім випадків, передбачених рішенням Кабінету Міністрів України (п.5 ст.53).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(п.4 ст.56).</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(п.5 ст.56).</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Порядок </w:t>
      </w:r>
      <w:proofErr w:type="gramStart"/>
      <w:r w:rsidRPr="005A32D2">
        <w:rPr>
          <w:rFonts w:asciiTheme="minorHAnsi" w:hAnsiTheme="minorHAnsi" w:cstheme="minorHAnsi"/>
          <w:sz w:val="28"/>
          <w:szCs w:val="28"/>
          <w:lang w:val="ru-RU"/>
        </w:rPr>
        <w:t>п</w:t>
      </w:r>
      <w:proofErr w:type="gramEnd"/>
      <w:r w:rsidRPr="005A32D2">
        <w:rPr>
          <w:rFonts w:asciiTheme="minorHAnsi" w:hAnsiTheme="minorHAnsi" w:cstheme="minorHAnsi"/>
          <w:sz w:val="28"/>
          <w:szCs w:val="28"/>
          <w:lang w:val="ru-RU"/>
        </w:rPr>
        <w:t>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 (п.6 ст. 59).</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Схеми посадових окладів (ставок заробітної плати) педагогічних і науково-педагогічних працівників державних і комунальних закладів затверджуються Кабінетом Міні</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ів України з урахуванням норм цього Закону (п.2 ст.61).</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Повноваження постійно діючого колегіального органу у сфері забезпечення якості вищої освіти визначаються </w:t>
      </w:r>
      <w:proofErr w:type="gramStart"/>
      <w:r w:rsidRPr="005A32D2">
        <w:rPr>
          <w:rFonts w:asciiTheme="minorHAnsi" w:hAnsiTheme="minorHAnsi" w:cstheme="minorHAnsi"/>
          <w:sz w:val="28"/>
          <w:szCs w:val="28"/>
          <w:lang w:val="ru-RU"/>
        </w:rPr>
        <w:t>спец</w:t>
      </w:r>
      <w:proofErr w:type="gramEnd"/>
      <w:r w:rsidRPr="005A32D2">
        <w:rPr>
          <w:rFonts w:asciiTheme="minorHAnsi" w:hAnsiTheme="minorHAnsi" w:cstheme="minorHAnsi"/>
          <w:sz w:val="28"/>
          <w:szCs w:val="28"/>
          <w:lang w:val="ru-RU"/>
        </w:rPr>
        <w:t>іальним законом (п.3 ст.67).</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Центральний орган виконавчої влади у сфері статистики здійснює збі</w:t>
      </w:r>
      <w:proofErr w:type="gramStart"/>
      <w:r w:rsidRPr="005A32D2">
        <w:rPr>
          <w:rFonts w:asciiTheme="minorHAnsi" w:hAnsiTheme="minorHAnsi" w:cstheme="minorHAnsi"/>
          <w:sz w:val="28"/>
          <w:szCs w:val="28"/>
          <w:lang w:val="ru-RU"/>
        </w:rPr>
        <w:t>р</w:t>
      </w:r>
      <w:proofErr w:type="gramEnd"/>
      <w:r w:rsidRPr="005A32D2">
        <w:rPr>
          <w:rFonts w:asciiTheme="minorHAnsi" w:hAnsiTheme="minorHAnsi" w:cstheme="minorHAnsi"/>
          <w:sz w:val="28"/>
          <w:szCs w:val="28"/>
          <w:lang w:val="ru-RU"/>
        </w:rPr>
        <w:t xml:space="preserve"> первинної статистичної інформації у сфері освіти та її обробку. Перелік </w:t>
      </w:r>
      <w:r w:rsidRPr="005A32D2">
        <w:rPr>
          <w:rFonts w:asciiTheme="minorHAnsi" w:hAnsiTheme="minorHAnsi" w:cstheme="minorHAnsi"/>
          <w:sz w:val="28"/>
          <w:szCs w:val="28"/>
          <w:lang w:val="ru-RU"/>
        </w:rPr>
        <w:lastRenderedPageBreak/>
        <w:t>показників, порядок збору та методика обробки статистичної інформації у сфері освіти погоджується з центральним органом виконавчої влади у сфері освіти і науки (п.2 ст. 72).</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 Обов’язковими складовими частинами Єдиної державної електронної бази з питань освіти є Реє</w:t>
      </w:r>
      <w:proofErr w:type="gramStart"/>
      <w:r w:rsidRPr="005A32D2">
        <w:rPr>
          <w:rFonts w:asciiTheme="minorHAnsi" w:hAnsiTheme="minorHAnsi" w:cstheme="minorHAnsi"/>
          <w:sz w:val="28"/>
          <w:szCs w:val="28"/>
          <w:lang w:val="ru-RU"/>
        </w:rPr>
        <w:t>стр</w:t>
      </w:r>
      <w:proofErr w:type="gramEnd"/>
      <w:r w:rsidRPr="005A32D2">
        <w:rPr>
          <w:rFonts w:asciiTheme="minorHAnsi" w:hAnsiTheme="minorHAnsi" w:cstheme="minorHAnsi"/>
          <w:sz w:val="28"/>
          <w:szCs w:val="28"/>
          <w:lang w:val="ru-RU"/>
        </w:rPr>
        <w:t xml:space="preserve">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 (п.2 ст.73).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Положення про Єдину державну електронну базу з питань освіти затверджується центральним органом виконавчої влади у сфері освіти і науки (п.6 ст.73).</w:t>
      </w:r>
    </w:p>
    <w:p w:rsidR="005A32D2" w:rsidRPr="005A32D2" w:rsidRDefault="005A32D2" w:rsidP="005A32D2">
      <w:pPr>
        <w:pStyle w:val="a3"/>
        <w:numPr>
          <w:ilvl w:val="0"/>
          <w:numId w:val="1"/>
        </w:numPr>
        <w:spacing w:after="0"/>
        <w:jc w:val="both"/>
        <w:rPr>
          <w:rFonts w:asciiTheme="minorHAnsi" w:hAnsiTheme="minorHAnsi" w:cstheme="minorHAnsi"/>
          <w:sz w:val="28"/>
          <w:szCs w:val="28"/>
          <w:lang w:val="ru-RU"/>
        </w:rPr>
      </w:pPr>
      <w:r w:rsidRPr="005A32D2">
        <w:rPr>
          <w:rFonts w:asciiTheme="minorHAnsi" w:hAnsiTheme="minorHAnsi" w:cstheme="minorHAnsi"/>
          <w:sz w:val="28"/>
          <w:szCs w:val="28"/>
          <w:lang w:val="ru-RU"/>
        </w:rPr>
        <w:t xml:space="preserve">У системі освіти діє психологічна служба, положення </w:t>
      </w:r>
      <w:proofErr w:type="gramStart"/>
      <w:r w:rsidRPr="005A32D2">
        <w:rPr>
          <w:rFonts w:asciiTheme="minorHAnsi" w:hAnsiTheme="minorHAnsi" w:cstheme="minorHAnsi"/>
          <w:sz w:val="28"/>
          <w:szCs w:val="28"/>
          <w:lang w:val="ru-RU"/>
        </w:rPr>
        <w:t>про</w:t>
      </w:r>
      <w:proofErr w:type="gramEnd"/>
      <w:r w:rsidRPr="005A32D2">
        <w:rPr>
          <w:rFonts w:asciiTheme="minorHAnsi" w:hAnsiTheme="minorHAnsi" w:cstheme="minorHAnsi"/>
          <w:sz w:val="28"/>
          <w:szCs w:val="28"/>
          <w:lang w:val="ru-RU"/>
        </w:rPr>
        <w:t xml:space="preserve"> </w:t>
      </w:r>
      <w:proofErr w:type="gramStart"/>
      <w:r w:rsidRPr="005A32D2">
        <w:rPr>
          <w:rFonts w:asciiTheme="minorHAnsi" w:hAnsiTheme="minorHAnsi" w:cstheme="minorHAnsi"/>
          <w:sz w:val="28"/>
          <w:szCs w:val="28"/>
          <w:lang w:val="ru-RU"/>
        </w:rPr>
        <w:t>яку</w:t>
      </w:r>
      <w:proofErr w:type="gramEnd"/>
      <w:r w:rsidRPr="005A32D2">
        <w:rPr>
          <w:rFonts w:asciiTheme="minorHAnsi" w:hAnsiTheme="minorHAnsi" w:cstheme="minorHAnsi"/>
          <w:sz w:val="28"/>
          <w:szCs w:val="28"/>
          <w:lang w:val="ru-RU"/>
        </w:rPr>
        <w:t xml:space="preserve">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 (п.1 ст.75) тощо.</w:t>
      </w:r>
    </w:p>
    <w:p w:rsidR="005A32D2" w:rsidRPr="005A32D2" w:rsidRDefault="005A32D2" w:rsidP="005A32D2">
      <w:pPr>
        <w:spacing w:after="0"/>
        <w:jc w:val="both"/>
        <w:rPr>
          <w:rFonts w:cstheme="minorHAnsi"/>
          <w:sz w:val="28"/>
          <w:szCs w:val="28"/>
        </w:rPr>
      </w:pPr>
      <w:r w:rsidRPr="005A32D2">
        <w:rPr>
          <w:rFonts w:cstheme="minorHAnsi"/>
          <w:sz w:val="28"/>
          <w:szCs w:val="28"/>
        </w:rPr>
        <w:t xml:space="preserve">МОН України готується до затвердження План імплементації норм та положень Закону України «Про освіту. Подібний нормативний акт буде прийнято й на урядовому </w:t>
      </w:r>
      <w:proofErr w:type="gramStart"/>
      <w:r w:rsidRPr="005A32D2">
        <w:rPr>
          <w:rFonts w:cstheme="minorHAnsi"/>
          <w:sz w:val="28"/>
          <w:szCs w:val="28"/>
        </w:rPr>
        <w:t>р</w:t>
      </w:r>
      <w:proofErr w:type="gramEnd"/>
      <w:r w:rsidRPr="005A32D2">
        <w:rPr>
          <w:rFonts w:cstheme="minorHAnsi"/>
          <w:sz w:val="28"/>
          <w:szCs w:val="28"/>
        </w:rPr>
        <w:t>івні.</w:t>
      </w:r>
    </w:p>
    <w:p w:rsidR="005A32D2" w:rsidRPr="005A32D2" w:rsidRDefault="005A32D2" w:rsidP="005A32D2">
      <w:pPr>
        <w:spacing w:after="0"/>
        <w:jc w:val="both"/>
        <w:rPr>
          <w:rFonts w:cstheme="minorHAnsi"/>
          <w:sz w:val="28"/>
          <w:szCs w:val="28"/>
        </w:rPr>
      </w:pPr>
      <w:r w:rsidRPr="005A32D2">
        <w:rPr>
          <w:rFonts w:cstheme="minorHAnsi"/>
          <w:sz w:val="28"/>
          <w:szCs w:val="28"/>
        </w:rPr>
        <w:t xml:space="preserve">Крім того, потребують приведення </w:t>
      </w:r>
      <w:proofErr w:type="gramStart"/>
      <w:r w:rsidRPr="005A32D2">
        <w:rPr>
          <w:rFonts w:cstheme="minorHAnsi"/>
          <w:sz w:val="28"/>
          <w:szCs w:val="28"/>
        </w:rPr>
        <w:t>у</w:t>
      </w:r>
      <w:proofErr w:type="gramEnd"/>
      <w:r w:rsidRPr="005A32D2">
        <w:rPr>
          <w:rFonts w:cstheme="minorHAnsi"/>
          <w:sz w:val="28"/>
          <w:szCs w:val="28"/>
        </w:rPr>
        <w:t xml:space="preserve"> відповідність окремі норми та положення інших законодавчих актів, що напряму чи опосередковано впливають на функціонування та розвиток НСК, а саме:</w:t>
      </w:r>
    </w:p>
    <w:p w:rsidR="005A32D2" w:rsidRPr="005A32D2" w:rsidRDefault="005A32D2" w:rsidP="005A32D2">
      <w:pPr>
        <w:spacing w:after="0"/>
        <w:jc w:val="both"/>
        <w:rPr>
          <w:rFonts w:cstheme="minorHAnsi"/>
          <w:sz w:val="28"/>
          <w:szCs w:val="28"/>
        </w:rPr>
      </w:pPr>
      <w:r w:rsidRPr="005A32D2">
        <w:rPr>
          <w:rFonts w:cstheme="minorHAnsi"/>
          <w:sz w:val="28"/>
          <w:szCs w:val="28"/>
        </w:rPr>
        <w:t>- Закону України «Про професійний розвиток працівників»: щодо дефініцій термінів «неформальне професійне навчання працівників», «формальне професійне навчання працівників», «</w:t>
      </w:r>
      <w:proofErr w:type="gramStart"/>
      <w:r w:rsidRPr="005A32D2">
        <w:rPr>
          <w:rFonts w:cstheme="minorHAnsi"/>
          <w:sz w:val="28"/>
          <w:szCs w:val="28"/>
        </w:rPr>
        <w:t>п</w:t>
      </w:r>
      <w:proofErr w:type="gramEnd"/>
      <w:r w:rsidRPr="005A32D2">
        <w:rPr>
          <w:rFonts w:cstheme="minorHAnsi"/>
          <w:sz w:val="28"/>
          <w:szCs w:val="28"/>
        </w:rPr>
        <w:t xml:space="preserve">ідтвердження кваліфікації працівників», «професійне навчання працівників» тощо (стаття 1); організації </w:t>
      </w:r>
      <w:proofErr w:type="gramStart"/>
      <w:r w:rsidRPr="005A32D2">
        <w:rPr>
          <w:rFonts w:cstheme="minorHAnsi"/>
          <w:sz w:val="28"/>
          <w:szCs w:val="28"/>
        </w:rPr>
        <w:t>формального</w:t>
      </w:r>
      <w:proofErr w:type="gramEnd"/>
      <w:r w:rsidRPr="005A32D2">
        <w:rPr>
          <w:rFonts w:cstheme="minorHAnsi"/>
          <w:sz w:val="28"/>
          <w:szCs w:val="28"/>
        </w:rPr>
        <w:t xml:space="preserve"> і неформального професійного навчання працівників (стаття 6); форм, навчальних планів і програмпрофесійного навчання працівників (статті 7 та 8); кадрове забезпечення </w:t>
      </w:r>
    </w:p>
    <w:p w:rsidR="005A32D2" w:rsidRPr="005A32D2" w:rsidRDefault="005A32D2" w:rsidP="005A32D2">
      <w:pPr>
        <w:spacing w:after="0"/>
        <w:jc w:val="both"/>
        <w:rPr>
          <w:rFonts w:cstheme="minorHAnsi"/>
          <w:sz w:val="28"/>
          <w:szCs w:val="28"/>
        </w:rPr>
      </w:pPr>
      <w:r w:rsidRPr="005A32D2">
        <w:rPr>
          <w:rFonts w:cstheme="minorHAnsi"/>
          <w:sz w:val="28"/>
          <w:szCs w:val="28"/>
        </w:rPr>
        <w:t>Професійного навчання працівників безпосередньо у роботодавця (стаття 9);</w:t>
      </w:r>
    </w:p>
    <w:p w:rsidR="005A32D2" w:rsidRPr="005A32D2" w:rsidRDefault="005A32D2" w:rsidP="005A32D2">
      <w:pPr>
        <w:spacing w:after="0"/>
        <w:jc w:val="both"/>
        <w:rPr>
          <w:rFonts w:cstheme="minorHAnsi"/>
          <w:sz w:val="28"/>
          <w:szCs w:val="28"/>
        </w:rPr>
      </w:pPr>
      <w:proofErr w:type="gramStart"/>
      <w:r w:rsidRPr="005A32D2">
        <w:rPr>
          <w:rFonts w:cstheme="minorHAnsi"/>
          <w:sz w:val="28"/>
          <w:szCs w:val="28"/>
        </w:rPr>
        <w:t>- Кодексу законів про працю України стосовно приведення у відповідність до термінів, що застосовуються в Законі України «Про освіту», статей 5-1, 40, 48, 82, 96, 193-194. 197, 209-210, 212-216, 218-220;</w:t>
      </w:r>
      <w:proofErr w:type="gramEnd"/>
    </w:p>
    <w:p w:rsidR="005A32D2" w:rsidRPr="005A32D2" w:rsidRDefault="005A32D2" w:rsidP="005A32D2">
      <w:pPr>
        <w:spacing w:after="0"/>
        <w:jc w:val="both"/>
        <w:rPr>
          <w:rFonts w:cstheme="minorHAnsi"/>
          <w:sz w:val="28"/>
          <w:szCs w:val="28"/>
        </w:rPr>
      </w:pPr>
      <w:r w:rsidRPr="005A32D2">
        <w:rPr>
          <w:rFonts w:cstheme="minorHAnsi"/>
          <w:sz w:val="28"/>
          <w:szCs w:val="28"/>
        </w:rPr>
        <w:t xml:space="preserve">-   проекту </w:t>
      </w:r>
      <w:proofErr w:type="gramStart"/>
      <w:r w:rsidRPr="005A32D2">
        <w:rPr>
          <w:rFonts w:cstheme="minorHAnsi"/>
          <w:sz w:val="28"/>
          <w:szCs w:val="28"/>
        </w:rPr>
        <w:t>Трудового</w:t>
      </w:r>
      <w:proofErr w:type="gramEnd"/>
      <w:r w:rsidRPr="005A32D2">
        <w:rPr>
          <w:rFonts w:cstheme="minorHAnsi"/>
          <w:sz w:val="28"/>
          <w:szCs w:val="28"/>
        </w:rPr>
        <w:t xml:space="preserve"> кодексу України щодо приведення у відповідність до термінів, що застосовуються в Законі України «Про освіту», статей 38, 191-194;</w:t>
      </w:r>
    </w:p>
    <w:p w:rsidR="005A32D2" w:rsidRPr="005A32D2" w:rsidRDefault="005A32D2" w:rsidP="005A32D2">
      <w:pPr>
        <w:spacing w:after="0"/>
        <w:jc w:val="both"/>
        <w:rPr>
          <w:rFonts w:cstheme="minorHAnsi"/>
          <w:sz w:val="28"/>
          <w:szCs w:val="28"/>
        </w:rPr>
      </w:pPr>
      <w:r w:rsidRPr="005A32D2">
        <w:rPr>
          <w:rFonts w:cstheme="minorHAnsi"/>
          <w:sz w:val="28"/>
          <w:szCs w:val="28"/>
        </w:rPr>
        <w:lastRenderedPageBreak/>
        <w:t xml:space="preserve">- Закону України «Про зайнятість населення» стосовно приведення </w:t>
      </w:r>
      <w:proofErr w:type="gramStart"/>
      <w:r w:rsidRPr="005A32D2">
        <w:rPr>
          <w:rFonts w:cstheme="minorHAnsi"/>
          <w:sz w:val="28"/>
          <w:szCs w:val="28"/>
        </w:rPr>
        <w:t>у</w:t>
      </w:r>
      <w:proofErr w:type="gramEnd"/>
      <w:r w:rsidRPr="005A32D2">
        <w:rPr>
          <w:rFonts w:cstheme="minorHAnsi"/>
          <w:sz w:val="28"/>
          <w:szCs w:val="28"/>
        </w:rPr>
        <w:t xml:space="preserve"> відповідність </w:t>
      </w:r>
      <w:proofErr w:type="gramStart"/>
      <w:r w:rsidRPr="005A32D2">
        <w:rPr>
          <w:rFonts w:cstheme="minorHAnsi"/>
          <w:sz w:val="28"/>
          <w:szCs w:val="28"/>
        </w:rPr>
        <w:t>до</w:t>
      </w:r>
      <w:proofErr w:type="gramEnd"/>
      <w:r w:rsidRPr="005A32D2">
        <w:rPr>
          <w:rFonts w:cstheme="minorHAnsi"/>
          <w:sz w:val="28"/>
          <w:szCs w:val="28"/>
        </w:rPr>
        <w:t xml:space="preserve"> термінів, що застосовуються в Законі України «Про освіту», статей 4, 29.34 та 35; </w:t>
      </w:r>
    </w:p>
    <w:p w:rsidR="005A32D2" w:rsidRPr="005A32D2" w:rsidRDefault="005A32D2" w:rsidP="005A32D2">
      <w:pPr>
        <w:spacing w:after="0"/>
        <w:jc w:val="both"/>
        <w:rPr>
          <w:rFonts w:cstheme="minorHAnsi"/>
          <w:sz w:val="28"/>
          <w:szCs w:val="28"/>
        </w:rPr>
      </w:pPr>
      <w:proofErr w:type="gramStart"/>
      <w:r w:rsidRPr="005A32D2">
        <w:rPr>
          <w:rFonts w:cstheme="minorHAnsi"/>
          <w:sz w:val="28"/>
          <w:szCs w:val="28"/>
        </w:rPr>
        <w:t>- Закону України «Про організації роботодавців, їх об'єднання, права і гарантії їх діяльності» щодо приведення у відповідність до термінів, що застосовуються в Законі України «Про освіту», статті 26 «Права організацій роботодавців, їх об'єднань у сфері вищої, професійно-технічної освіти, навчання на виробництві»;</w:t>
      </w:r>
      <w:proofErr w:type="gramEnd"/>
    </w:p>
    <w:p w:rsidR="005A32D2" w:rsidRPr="005A32D2" w:rsidRDefault="005A32D2" w:rsidP="005A32D2">
      <w:pPr>
        <w:pStyle w:val="rvps2"/>
        <w:rPr>
          <w:rFonts w:asciiTheme="minorHAnsi" w:hAnsiTheme="minorHAnsi" w:cstheme="minorHAnsi"/>
          <w:sz w:val="28"/>
          <w:szCs w:val="28"/>
        </w:rPr>
      </w:pPr>
      <w:r w:rsidRPr="005A32D2">
        <w:rPr>
          <w:rFonts w:asciiTheme="minorHAnsi" w:hAnsiTheme="minorHAnsi" w:cstheme="minorHAnsi"/>
          <w:sz w:val="28"/>
          <w:szCs w:val="28"/>
        </w:rPr>
        <w:t>-  Закону України «Про зовнішню трудову міграцію» стосовноприведення у відповідність до термінів, що застосовуються в Законі України «Про освіту»</w:t>
      </w:r>
      <w:proofErr w:type="gramStart"/>
      <w:r w:rsidRPr="005A32D2">
        <w:rPr>
          <w:rFonts w:asciiTheme="minorHAnsi" w:hAnsiTheme="minorHAnsi" w:cstheme="minorHAnsi"/>
          <w:sz w:val="28"/>
          <w:szCs w:val="28"/>
        </w:rPr>
        <w:t>,с</w:t>
      </w:r>
      <w:proofErr w:type="gramEnd"/>
      <w:r w:rsidRPr="005A32D2">
        <w:rPr>
          <w:rFonts w:asciiTheme="minorHAnsi" w:hAnsiTheme="minorHAnsi" w:cstheme="minorHAnsi"/>
          <w:sz w:val="28"/>
          <w:szCs w:val="28"/>
        </w:rPr>
        <w:t>татей 9 та 13;</w:t>
      </w:r>
    </w:p>
    <w:p w:rsidR="005A32D2" w:rsidRPr="005A32D2" w:rsidRDefault="005A32D2" w:rsidP="005A32D2">
      <w:pPr>
        <w:spacing w:after="0"/>
        <w:jc w:val="both"/>
        <w:rPr>
          <w:rFonts w:cstheme="minorHAnsi"/>
          <w:sz w:val="28"/>
          <w:szCs w:val="28"/>
        </w:rPr>
      </w:pPr>
      <w:r w:rsidRPr="005A32D2">
        <w:rPr>
          <w:rFonts w:cstheme="minorHAnsi"/>
          <w:sz w:val="28"/>
          <w:szCs w:val="28"/>
        </w:rPr>
        <w:t xml:space="preserve">- Закону України </w:t>
      </w:r>
      <w:r w:rsidRPr="005A32D2">
        <w:rPr>
          <w:rFonts w:eastAsia="Times New Roman" w:cstheme="minorHAnsi"/>
          <w:sz w:val="28"/>
          <w:szCs w:val="28"/>
        </w:rPr>
        <w:t xml:space="preserve">«Про формування та розміщення державного замовлення на </w:t>
      </w:r>
      <w:proofErr w:type="gramStart"/>
      <w:r w:rsidRPr="005A32D2">
        <w:rPr>
          <w:rFonts w:eastAsia="Times New Roman" w:cstheme="minorHAnsi"/>
          <w:sz w:val="28"/>
          <w:szCs w:val="28"/>
        </w:rPr>
        <w:t>п</w:t>
      </w:r>
      <w:proofErr w:type="gramEnd"/>
      <w:r w:rsidRPr="005A32D2">
        <w:rPr>
          <w:rFonts w:eastAsia="Times New Roman" w:cstheme="minorHAnsi"/>
          <w:sz w:val="28"/>
          <w:szCs w:val="28"/>
        </w:rPr>
        <w:t xml:space="preserve">ідготовку фахівців, наукових, науково-педагогічних та робітничих кадрів, підвищення кваліфікації та перепідготовку кадрів»щодо </w:t>
      </w:r>
      <w:r w:rsidRPr="005A32D2">
        <w:rPr>
          <w:rFonts w:cstheme="minorHAnsi"/>
          <w:sz w:val="28"/>
          <w:szCs w:val="28"/>
        </w:rPr>
        <w:t>приведення у відповідність до термінів, що застосовуються в Законі України «Про освіту», статті 2 «</w:t>
      </w:r>
      <w:r w:rsidRPr="005A32D2">
        <w:rPr>
          <w:sz w:val="28"/>
          <w:szCs w:val="28"/>
        </w:rPr>
        <w:t>Формування державного замовлення»</w:t>
      </w:r>
      <w:r w:rsidRPr="005A32D2">
        <w:rPr>
          <w:rFonts w:cstheme="minorHAnsi"/>
          <w:sz w:val="28"/>
          <w:szCs w:val="28"/>
        </w:rPr>
        <w:t>.</w:t>
      </w:r>
    </w:p>
    <w:p w:rsidR="005A32D2" w:rsidRPr="005A32D2" w:rsidRDefault="005A32D2" w:rsidP="005A32D2">
      <w:pPr>
        <w:spacing w:before="100" w:beforeAutospacing="1" w:after="100" w:afterAutospacing="1" w:line="240" w:lineRule="auto"/>
        <w:rPr>
          <w:rFonts w:eastAsia="Times New Roman" w:cstheme="minorHAnsi"/>
          <w:sz w:val="28"/>
          <w:szCs w:val="28"/>
        </w:rPr>
      </w:pPr>
      <w:r w:rsidRPr="005A32D2">
        <w:rPr>
          <w:rFonts w:cstheme="minorHAnsi"/>
          <w:sz w:val="28"/>
          <w:szCs w:val="28"/>
        </w:rPr>
        <w:t xml:space="preserve"> Таким чином, у 2018 році потребують розроблення, прийняття Верховною Радою України та запровадження на практиці такі нові законопроекти, як «Про фахову передвищу освіту», «Про освіту дорослих», «Про національну систему кваліфікацій», внесення змін та доповнень до </w:t>
      </w:r>
      <w:proofErr w:type="gramStart"/>
      <w:r w:rsidRPr="005A32D2">
        <w:rPr>
          <w:rFonts w:cstheme="minorHAnsi"/>
          <w:sz w:val="28"/>
          <w:szCs w:val="28"/>
        </w:rPr>
        <w:t>вс</w:t>
      </w:r>
      <w:proofErr w:type="gramEnd"/>
      <w:r w:rsidRPr="005A32D2">
        <w:rPr>
          <w:rFonts w:cstheme="minorHAnsi"/>
          <w:sz w:val="28"/>
          <w:szCs w:val="28"/>
        </w:rPr>
        <w:t xml:space="preserve">іх без виключення спеціальних законів освітньої сфери, внесення змін та доповнень до чинних законів, що прямо чи дотично регулюють сферу </w:t>
      </w:r>
      <w:proofErr w:type="gramStart"/>
      <w:r w:rsidRPr="005A32D2">
        <w:rPr>
          <w:rFonts w:cstheme="minorHAnsi"/>
          <w:sz w:val="28"/>
          <w:szCs w:val="28"/>
        </w:rPr>
        <w:t>п</w:t>
      </w:r>
      <w:proofErr w:type="gramEnd"/>
      <w:r w:rsidRPr="005A32D2">
        <w:rPr>
          <w:rFonts w:cstheme="minorHAnsi"/>
          <w:sz w:val="28"/>
          <w:szCs w:val="28"/>
        </w:rPr>
        <w:t xml:space="preserve">ідготовки кадрів та кваліфікацій («Про зайнятість населення», «Про проофесійний розвиток працівників», </w:t>
      </w:r>
      <w:r w:rsidRPr="005A32D2">
        <w:rPr>
          <w:rFonts w:eastAsia="Times New Roman" w:cstheme="minorHAnsi"/>
          <w:sz w:val="28"/>
          <w:szCs w:val="28"/>
        </w:rPr>
        <w:t>«Про зовнішню трудову міграцію»</w:t>
      </w:r>
      <w:r w:rsidRPr="005A32D2">
        <w:rPr>
          <w:rFonts w:cstheme="minorHAnsi"/>
          <w:sz w:val="28"/>
          <w:szCs w:val="28"/>
        </w:rPr>
        <w:t xml:space="preserve"> «</w:t>
      </w:r>
      <w:r w:rsidRPr="005A32D2">
        <w:rPr>
          <w:rFonts w:eastAsia="Times New Roman" w:cstheme="minorHAnsi"/>
          <w:sz w:val="28"/>
          <w:szCs w:val="28"/>
        </w:rPr>
        <w:t xml:space="preserve">Про організації роботодавців, їх об'єднання, права і гарантії  їх діяльності»,   «Про формування та розміщення державного замовлення на підготовку фахівців, наукових, науково-педагогічних та робітничих кадрів, </w:t>
      </w:r>
      <w:proofErr w:type="gramStart"/>
      <w:r w:rsidRPr="005A32D2">
        <w:rPr>
          <w:rFonts w:eastAsia="Times New Roman" w:cstheme="minorHAnsi"/>
          <w:sz w:val="28"/>
          <w:szCs w:val="28"/>
        </w:rPr>
        <w:t>п</w:t>
      </w:r>
      <w:proofErr w:type="gramEnd"/>
      <w:r w:rsidRPr="005A32D2">
        <w:rPr>
          <w:rFonts w:eastAsia="Times New Roman" w:cstheme="minorHAnsi"/>
          <w:sz w:val="28"/>
          <w:szCs w:val="28"/>
        </w:rPr>
        <w:t>ідвищення кваліфікації та перепідготовку кадрів», «Про соціальний діалог», «Про професійні спілки, їх права та гарантії діяльності», «Про стандартизацію»,«Про ліцензування видів господарської діяльності».</w:t>
      </w:r>
    </w:p>
    <w:p w:rsidR="005A32D2" w:rsidRPr="005A32D2" w:rsidRDefault="005A32D2" w:rsidP="005A32D2">
      <w:pPr>
        <w:spacing w:before="100" w:beforeAutospacing="1" w:after="100" w:afterAutospacing="1" w:line="240" w:lineRule="auto"/>
        <w:rPr>
          <w:rFonts w:eastAsia="Times New Roman" w:cstheme="minorHAnsi"/>
          <w:sz w:val="28"/>
          <w:szCs w:val="28"/>
          <w:lang w:val="uk-UA"/>
        </w:rPr>
      </w:pPr>
      <w:r w:rsidRPr="005A32D2">
        <w:rPr>
          <w:rFonts w:eastAsia="Times New Roman" w:cstheme="minorHAnsi"/>
          <w:sz w:val="28"/>
          <w:szCs w:val="28"/>
        </w:rPr>
        <w:t xml:space="preserve">Зауважимо, що проект Трудового кодексу України винесено на розгляд у другому читанні на засідання Верховної Ради України, проект Закону України «Про активізацію пошуку роботи безробітних та пошукачів роботи» знаходиться на громадському обговоренні на сайті Міністерства </w:t>
      </w:r>
      <w:proofErr w:type="gramStart"/>
      <w:r w:rsidRPr="005A32D2">
        <w:rPr>
          <w:rFonts w:eastAsia="Times New Roman" w:cstheme="minorHAnsi"/>
          <w:sz w:val="28"/>
          <w:szCs w:val="28"/>
        </w:rPr>
        <w:t>соц</w:t>
      </w:r>
      <w:proofErr w:type="gramEnd"/>
      <w:r w:rsidRPr="005A32D2">
        <w:rPr>
          <w:rFonts w:eastAsia="Times New Roman" w:cstheme="minorHAnsi"/>
          <w:sz w:val="28"/>
          <w:szCs w:val="28"/>
        </w:rPr>
        <w:t>іальної політики України та готується для обговорення на засіданні уряду, для підготовки проекту Закону України «Про внесення змін та доповнень до Закону України «Про вищу освіту» при Комітеті Верховно</w:t>
      </w:r>
      <w:proofErr w:type="gramStart"/>
      <w:r w:rsidRPr="005A32D2">
        <w:rPr>
          <w:rFonts w:eastAsia="Times New Roman" w:cstheme="minorHAnsi"/>
          <w:sz w:val="28"/>
          <w:szCs w:val="28"/>
        </w:rPr>
        <w:t>ї Р</w:t>
      </w:r>
      <w:proofErr w:type="gramEnd"/>
      <w:r w:rsidRPr="005A32D2">
        <w:rPr>
          <w:rFonts w:eastAsia="Times New Roman" w:cstheme="minorHAnsi"/>
          <w:sz w:val="28"/>
          <w:szCs w:val="28"/>
        </w:rPr>
        <w:t xml:space="preserve">ади України з </w:t>
      </w:r>
      <w:r w:rsidRPr="005A32D2">
        <w:rPr>
          <w:rFonts w:eastAsia="Times New Roman" w:cstheme="minorHAnsi"/>
          <w:sz w:val="28"/>
          <w:szCs w:val="28"/>
        </w:rPr>
        <w:lastRenderedPageBreak/>
        <w:t>питань науки і освіти створено робочу групу, МОН України закінчує формування робочих груп із залученням широкого кола стейкголдерів із розроблення проектів Законів України «Про професійну (професійно-технічну) освіту», «Про фахову передвищу освіту», «Про освіту дорослих» тощо.</w:t>
      </w:r>
    </w:p>
    <w:p w:rsidR="005A32D2" w:rsidRPr="005A32D2" w:rsidRDefault="005A32D2" w:rsidP="005A32D2">
      <w:pPr>
        <w:spacing w:line="240" w:lineRule="auto"/>
        <w:rPr>
          <w:rFonts w:cstheme="minorHAnsi"/>
          <w:sz w:val="28"/>
          <w:szCs w:val="28"/>
        </w:rPr>
      </w:pPr>
      <w:r w:rsidRPr="005A32D2">
        <w:rPr>
          <w:rFonts w:cstheme="minorHAnsi"/>
          <w:sz w:val="28"/>
          <w:szCs w:val="28"/>
        </w:rPr>
        <w:t xml:space="preserve">Як зазначалося раніше, ключовим законодавчим актом, що регулює Національну систему кваліфікацій став Закон України «Про освіту», прийнятий 5 вересня 2017 року. </w:t>
      </w:r>
      <w:proofErr w:type="gramStart"/>
      <w:r w:rsidRPr="005A32D2">
        <w:rPr>
          <w:rFonts w:cstheme="minorHAnsi"/>
          <w:sz w:val="28"/>
          <w:szCs w:val="28"/>
        </w:rPr>
        <w:t>У</w:t>
      </w:r>
      <w:proofErr w:type="gramEnd"/>
      <w:r w:rsidRPr="005A32D2">
        <w:rPr>
          <w:rFonts w:cstheme="minorHAnsi"/>
          <w:sz w:val="28"/>
          <w:szCs w:val="28"/>
        </w:rPr>
        <w:t xml:space="preserve"> Законі, окрім іншого, визначено:</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у статті 1 визначені ключові терміни та поняття, у тому числі дефініції термінів кваліфікація, компетентність, результати навчання тощо;</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у статті 8 прописано місце, роль та взаємозв’язок формальної, неформальної та інформальної освіти, можливість отримання у позашкільній освіті часткових кваліфікацій 0-3 рівнів НРК;</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у статті 10 виписано 13 рівнів освіти, прив’язаних до 11 рівнів НРК;</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стаття 34 «Кваліфікації» виділяє типи кваліфікацій – повні та часткові, освітні та професійні. Описано їх дефініції, траєкторії отримання, визначена роль нової інституції – кваліфікаційних центрів, процедура та порядок їх створення та функціонування;</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у статтях 35 і 36 викладено деталізований опис 11 рівнів НРК , її роль  у функціонуванні НСК. Закон виділяє можливість застосування у країні галузевих рамок кваліфікацій та визначає процедуру для реалізації стейкголдерами цієї можливості;</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у статті 37 уперше у вітчизняній правничій практиці дається визначення поняттю НСК;</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стаття 38 «Національне агентство кваліфікацій» розкриває механізм утворення цієї нової інституції, 17 її ключових функцій;</w:t>
      </w:r>
    </w:p>
    <w:p w:rsidR="005A32D2" w:rsidRPr="005A32D2" w:rsidRDefault="005A32D2" w:rsidP="005A32D2">
      <w:pPr>
        <w:pStyle w:val="a3"/>
        <w:numPr>
          <w:ilvl w:val="0"/>
          <w:numId w:val="2"/>
        </w:numPr>
        <w:rPr>
          <w:rFonts w:asciiTheme="minorHAnsi" w:hAnsiTheme="minorHAnsi" w:cstheme="minorHAnsi"/>
          <w:sz w:val="28"/>
          <w:szCs w:val="28"/>
          <w:lang w:val="uk-UA"/>
        </w:rPr>
      </w:pPr>
      <w:r w:rsidRPr="005A32D2">
        <w:rPr>
          <w:rFonts w:asciiTheme="minorHAnsi" w:hAnsiTheme="minorHAnsi" w:cstheme="minorHAnsi"/>
          <w:sz w:val="28"/>
          <w:szCs w:val="28"/>
          <w:lang w:val="uk-UA"/>
        </w:rPr>
        <w:t>стаття 39 «Професійні стандарти» дає визначення цьому терміну, виписує процедуру їх розроблення та запровадження на практиці;</w:t>
      </w:r>
    </w:p>
    <w:p w:rsidR="005A32D2" w:rsidRPr="005A32D2" w:rsidRDefault="005A32D2" w:rsidP="005A32D2">
      <w:pPr>
        <w:pStyle w:val="a3"/>
        <w:numPr>
          <w:ilvl w:val="0"/>
          <w:numId w:val="2"/>
        </w:numPr>
        <w:spacing w:after="120"/>
        <w:rPr>
          <w:rFonts w:asciiTheme="minorHAnsi" w:hAnsiTheme="minorHAnsi" w:cstheme="minorHAnsi"/>
          <w:sz w:val="28"/>
          <w:szCs w:val="28"/>
          <w:lang w:val="uk-UA"/>
        </w:rPr>
      </w:pPr>
      <w:r w:rsidRPr="005A32D2">
        <w:rPr>
          <w:rFonts w:asciiTheme="minorHAnsi" w:hAnsiTheme="minorHAnsi" w:cstheme="minorHAnsi"/>
          <w:sz w:val="28"/>
          <w:szCs w:val="28"/>
          <w:lang w:val="uk-UA"/>
        </w:rPr>
        <w:t>окремі положення, що стосуються питання функціонування НСК, виписані в статтях 32 «Стандарти освіти», 33 «Освітні програми», 40 «Документи про освіту», 47 «Зовнішнє незалежне оцінювання», 48 «Моніторинг якості освіти», 51 «Сертифікація педагогічних працівників» тощо.</w:t>
      </w:r>
    </w:p>
    <w:p w:rsidR="005A32D2" w:rsidRPr="005A32D2" w:rsidRDefault="005A32D2" w:rsidP="005A32D2">
      <w:pPr>
        <w:spacing w:after="120" w:line="240" w:lineRule="auto"/>
        <w:rPr>
          <w:rFonts w:cstheme="minorHAnsi"/>
          <w:sz w:val="28"/>
          <w:szCs w:val="28"/>
        </w:rPr>
      </w:pPr>
      <w:r w:rsidRPr="005A32D2">
        <w:rPr>
          <w:rFonts w:cstheme="minorHAnsi"/>
          <w:sz w:val="28"/>
          <w:szCs w:val="28"/>
          <w:lang w:val="uk-UA"/>
        </w:rPr>
        <w:t xml:space="preserve">6 грудня 2016 року Верховною Радою України прийнято ЗУ «Про внесення змін до деяких законодавчих актів України» (№ 1774- </w:t>
      </w:r>
      <w:r w:rsidRPr="005A32D2">
        <w:rPr>
          <w:rFonts w:cstheme="minorHAnsi"/>
          <w:sz w:val="28"/>
          <w:szCs w:val="28"/>
        </w:rPr>
        <w:t>VIII</w:t>
      </w:r>
      <w:r w:rsidRPr="005A32D2">
        <w:rPr>
          <w:rFonts w:cstheme="minorHAnsi"/>
          <w:sz w:val="28"/>
          <w:szCs w:val="28"/>
          <w:lang w:val="uk-UA"/>
        </w:rPr>
        <w:t xml:space="preserve">), яким, зокрема, внесено зміни до статті 96 Кодексу законів про працю та статті 6 ЗУ «Про оплату праці» стосовно того, що Порядок розроблення та затвердження професійних стандартів визначається Кабінетом Міністрів України, а Порядок розроблення та затвердження кваліфікаційних характеристик – центральним органом виконавчої влади, що забезпечує формування державної політики у </w:t>
      </w:r>
      <w:r w:rsidRPr="005A32D2">
        <w:rPr>
          <w:rFonts w:cstheme="minorHAnsi"/>
          <w:sz w:val="28"/>
          <w:szCs w:val="28"/>
          <w:lang w:val="uk-UA"/>
        </w:rPr>
        <w:lastRenderedPageBreak/>
        <w:t xml:space="preserve">сфері праці та соціальної політики. </w:t>
      </w:r>
      <w:proofErr w:type="gramStart"/>
      <w:r w:rsidRPr="005A32D2">
        <w:rPr>
          <w:rFonts w:cstheme="minorHAnsi"/>
          <w:sz w:val="28"/>
          <w:szCs w:val="28"/>
        </w:rPr>
        <w:t>Ц</w:t>
      </w:r>
      <w:proofErr w:type="gramEnd"/>
      <w:r w:rsidRPr="005A32D2">
        <w:rPr>
          <w:rFonts w:cstheme="minorHAnsi"/>
          <w:sz w:val="28"/>
          <w:szCs w:val="28"/>
        </w:rPr>
        <w:t>і норми ввійшли до проекту Трудового кодексу України (друге читання).</w:t>
      </w:r>
    </w:p>
    <w:p w:rsidR="005A32D2" w:rsidRPr="005A32D2" w:rsidRDefault="005A32D2" w:rsidP="005A32D2">
      <w:pPr>
        <w:rPr>
          <w:rFonts w:cstheme="minorHAnsi"/>
          <w:sz w:val="28"/>
          <w:szCs w:val="28"/>
        </w:rPr>
      </w:pPr>
      <w:r w:rsidRPr="005A32D2">
        <w:rPr>
          <w:rFonts w:cstheme="minorHAnsi"/>
          <w:sz w:val="28"/>
          <w:szCs w:val="28"/>
        </w:rPr>
        <w:t xml:space="preserve">На виконання  положень Розділу ХІІ «Прикінцеві та перехідні положення», норм та положень окремих статей Закону України «Про освіту» робочою групою </w:t>
      </w:r>
      <w:proofErr w:type="gramStart"/>
      <w:r w:rsidRPr="005A32D2">
        <w:rPr>
          <w:rFonts w:cstheme="minorHAnsi"/>
          <w:sz w:val="28"/>
          <w:szCs w:val="28"/>
        </w:rPr>
        <w:t>п</w:t>
      </w:r>
      <w:proofErr w:type="gramEnd"/>
      <w:r w:rsidRPr="005A32D2">
        <w:rPr>
          <w:rFonts w:cstheme="minorHAnsi"/>
          <w:sz w:val="28"/>
          <w:szCs w:val="28"/>
        </w:rPr>
        <w:t>ідготовлений проект постанови КМУ стосовно затвердження Статуту Національного агентства кваліфікацій, який проходить процедуру погодження та доопрацювання за зауваженнями ключових стейкголдерів.</w:t>
      </w:r>
    </w:p>
    <w:sectPr w:rsidR="005A32D2" w:rsidRPr="005A3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B13"/>
    <w:multiLevelType w:val="hybridMultilevel"/>
    <w:tmpl w:val="E83A7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5F2739"/>
    <w:multiLevelType w:val="hybridMultilevel"/>
    <w:tmpl w:val="581816AA"/>
    <w:lvl w:ilvl="0" w:tplc="D7D0CE42">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A32D2"/>
    <w:rsid w:val="005A3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2D2"/>
    <w:pPr>
      <w:spacing w:line="240" w:lineRule="auto"/>
      <w:ind w:left="720"/>
      <w:contextualSpacing/>
    </w:pPr>
    <w:rPr>
      <w:rFonts w:ascii="Arial" w:eastAsiaTheme="minorHAnsi" w:hAnsi="Arial" w:cs="Arial"/>
      <w:sz w:val="20"/>
      <w:szCs w:val="20"/>
      <w:lang w:val="en-GB" w:eastAsia="en-US"/>
    </w:rPr>
  </w:style>
  <w:style w:type="paragraph" w:customStyle="1" w:styleId="rvps2">
    <w:name w:val="rvps2"/>
    <w:basedOn w:val="a"/>
    <w:rsid w:val="005A3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2844</Words>
  <Characters>16211</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2018-01-10T13:09:00Z</dcterms:created>
  <dcterms:modified xsi:type="dcterms:W3CDTF">2018-01-10T13:16:00Z</dcterms:modified>
</cp:coreProperties>
</file>