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26" w:rsidRPr="006B6712" w:rsidRDefault="003D0E26" w:rsidP="00B232F2">
      <w:pPr>
        <w:ind w:firstLine="709"/>
      </w:pPr>
    </w:p>
    <w:p w:rsidR="00D575D3" w:rsidRPr="006B6712" w:rsidRDefault="00D575D3" w:rsidP="00B232F2">
      <w:pPr>
        <w:ind w:firstLine="709"/>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b/>
          <w:color w:val="FF0000"/>
          <w:sz w:val="40"/>
          <w:szCs w:val="40"/>
        </w:rPr>
      </w:pPr>
      <w:r w:rsidRPr="006B6712">
        <w:rPr>
          <w:rFonts w:ascii="Times New Roman" w:hAnsi="Times New Roman" w:cs="Times New Roman"/>
          <w:b/>
          <w:color w:val="FF0000"/>
          <w:sz w:val="40"/>
          <w:szCs w:val="40"/>
        </w:rPr>
        <w:t>Результати</w:t>
      </w:r>
    </w:p>
    <w:p w:rsidR="00D575D3" w:rsidRPr="006B6712" w:rsidRDefault="00D575D3" w:rsidP="00B232F2">
      <w:pPr>
        <w:ind w:firstLine="709"/>
        <w:jc w:val="center"/>
        <w:rPr>
          <w:rFonts w:ascii="Times New Roman" w:hAnsi="Times New Roman" w:cs="Times New Roman"/>
          <w:b/>
          <w:sz w:val="40"/>
          <w:szCs w:val="40"/>
        </w:rPr>
      </w:pPr>
      <w:r w:rsidRPr="006B6712">
        <w:rPr>
          <w:rFonts w:ascii="Times New Roman" w:hAnsi="Times New Roman" w:cs="Times New Roman"/>
          <w:b/>
          <w:color w:val="FF0000"/>
          <w:sz w:val="40"/>
          <w:szCs w:val="40"/>
        </w:rPr>
        <w:t xml:space="preserve">вивчення думок заінтересованих сторін щодо формування вітчизняної кваліфікаційної системи та </w:t>
      </w:r>
      <w:r w:rsidR="001615C2" w:rsidRPr="006B6712">
        <w:rPr>
          <w:rFonts w:ascii="Times New Roman" w:hAnsi="Times New Roman" w:cs="Times New Roman"/>
          <w:b/>
          <w:color w:val="FF0000"/>
          <w:sz w:val="40"/>
          <w:szCs w:val="40"/>
        </w:rPr>
        <w:t>їх</w:t>
      </w:r>
      <w:r w:rsidRPr="006B6712">
        <w:rPr>
          <w:rFonts w:ascii="Times New Roman" w:hAnsi="Times New Roman" w:cs="Times New Roman"/>
          <w:b/>
          <w:color w:val="FF0000"/>
          <w:sz w:val="40"/>
          <w:szCs w:val="40"/>
        </w:rPr>
        <w:t>н</w:t>
      </w:r>
      <w:r w:rsidR="001615C2" w:rsidRPr="006B6712">
        <w:rPr>
          <w:rFonts w:ascii="Times New Roman" w:hAnsi="Times New Roman" w:cs="Times New Roman"/>
          <w:b/>
          <w:color w:val="FF0000"/>
          <w:sz w:val="40"/>
          <w:szCs w:val="40"/>
        </w:rPr>
        <w:t>і</w:t>
      </w:r>
      <w:r w:rsidRPr="006B6712">
        <w:rPr>
          <w:rFonts w:ascii="Times New Roman" w:hAnsi="Times New Roman" w:cs="Times New Roman"/>
          <w:b/>
          <w:color w:val="FF0000"/>
          <w:sz w:val="40"/>
          <w:szCs w:val="40"/>
        </w:rPr>
        <w:t>х пропозицій відповідного спрямування</w:t>
      </w: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2E36E3" w:rsidRPr="006B6712" w:rsidRDefault="002E36E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rPr>
      </w:pPr>
    </w:p>
    <w:p w:rsidR="00D575D3" w:rsidRPr="006B6712" w:rsidRDefault="00D575D3" w:rsidP="00B232F2">
      <w:pPr>
        <w:ind w:firstLine="709"/>
        <w:jc w:val="center"/>
        <w:rPr>
          <w:rFonts w:ascii="Times New Roman" w:hAnsi="Times New Roman" w:cs="Times New Roman"/>
          <w:b/>
        </w:rPr>
      </w:pPr>
    </w:p>
    <w:p w:rsidR="00D575D3" w:rsidRPr="006B6712" w:rsidRDefault="00D575D3" w:rsidP="00B232F2">
      <w:pPr>
        <w:ind w:firstLine="709"/>
        <w:jc w:val="center"/>
        <w:rPr>
          <w:rFonts w:ascii="Times New Roman" w:hAnsi="Times New Roman" w:cs="Times New Roman"/>
          <w:b/>
        </w:rPr>
      </w:pPr>
    </w:p>
    <w:p w:rsidR="00D575D3" w:rsidRPr="006B6712" w:rsidRDefault="00D575D3" w:rsidP="00B232F2">
      <w:pPr>
        <w:ind w:firstLine="709"/>
        <w:jc w:val="center"/>
        <w:rPr>
          <w:rFonts w:ascii="Times New Roman" w:hAnsi="Times New Roman" w:cs="Times New Roman"/>
          <w:b/>
        </w:rPr>
      </w:pPr>
    </w:p>
    <w:p w:rsidR="00D575D3" w:rsidRPr="006B6712" w:rsidRDefault="00D575D3" w:rsidP="00B232F2">
      <w:pPr>
        <w:ind w:firstLine="709"/>
        <w:jc w:val="center"/>
        <w:rPr>
          <w:rFonts w:ascii="Times New Roman" w:hAnsi="Times New Roman" w:cs="Times New Roman"/>
          <w:b/>
          <w:color w:val="FF0000"/>
          <w:sz w:val="32"/>
          <w:szCs w:val="32"/>
        </w:rPr>
      </w:pPr>
      <w:r w:rsidRPr="006B6712">
        <w:rPr>
          <w:rFonts w:ascii="Times New Roman" w:hAnsi="Times New Roman" w:cs="Times New Roman"/>
          <w:b/>
          <w:color w:val="FF0000"/>
          <w:sz w:val="32"/>
          <w:szCs w:val="32"/>
        </w:rPr>
        <w:t>Київ – 5 липня 2016 року</w:t>
      </w:r>
    </w:p>
    <w:p w:rsidR="003E10D4" w:rsidRPr="006B6712" w:rsidRDefault="003E10D4" w:rsidP="003E10D4">
      <w:pPr>
        <w:tabs>
          <w:tab w:val="right" w:leader="dot" w:pos="9498"/>
        </w:tabs>
        <w:jc w:val="center"/>
        <w:rPr>
          <w:rFonts w:ascii="Times New Roman" w:hAnsi="Times New Roman" w:cs="Times New Roman"/>
          <w:b/>
          <w:sz w:val="28"/>
          <w:szCs w:val="28"/>
        </w:rPr>
      </w:pPr>
      <w:r w:rsidRPr="006B6712">
        <w:rPr>
          <w:rFonts w:ascii="Times New Roman" w:hAnsi="Times New Roman" w:cs="Times New Roman"/>
          <w:b/>
          <w:sz w:val="28"/>
          <w:szCs w:val="28"/>
        </w:rPr>
        <w:lastRenderedPageBreak/>
        <w:t>Зміст</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1. Загальна інформація про проведення опитування заінтересованих сторін</w:t>
      </w:r>
      <w:r w:rsidRPr="006B6712">
        <w:rPr>
          <w:rFonts w:ascii="Times New Roman" w:hAnsi="Times New Roman" w:cs="Times New Roman"/>
          <w:sz w:val="24"/>
          <w:szCs w:val="24"/>
        </w:rPr>
        <w:tab/>
        <w:t>3</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2. Готовність заінтересованих сторін до розширеної участі в системі кваліфікацій</w:t>
      </w:r>
      <w:r w:rsidRPr="006B6712">
        <w:rPr>
          <w:rFonts w:ascii="Times New Roman" w:hAnsi="Times New Roman" w:cs="Times New Roman"/>
          <w:sz w:val="24"/>
          <w:szCs w:val="24"/>
        </w:rPr>
        <w:tab/>
        <w:t>4</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 xml:space="preserve">3. Оцінювання рівня </w:t>
      </w:r>
      <w:proofErr w:type="spellStart"/>
      <w:r w:rsidRPr="006B6712">
        <w:rPr>
          <w:rFonts w:ascii="Times New Roman" w:hAnsi="Times New Roman" w:cs="Times New Roman"/>
          <w:sz w:val="24"/>
          <w:szCs w:val="24"/>
        </w:rPr>
        <w:t>задіяності</w:t>
      </w:r>
      <w:proofErr w:type="spellEnd"/>
      <w:r w:rsidRPr="006B6712">
        <w:rPr>
          <w:rFonts w:ascii="Times New Roman" w:hAnsi="Times New Roman" w:cs="Times New Roman"/>
          <w:sz w:val="24"/>
          <w:szCs w:val="24"/>
        </w:rPr>
        <w:t xml:space="preserve">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у процесах проектування і розробки кваліфікацій</w:t>
      </w:r>
      <w:r w:rsidRPr="006B6712">
        <w:rPr>
          <w:rFonts w:ascii="Times New Roman" w:hAnsi="Times New Roman" w:cs="Times New Roman"/>
          <w:sz w:val="24"/>
          <w:szCs w:val="24"/>
        </w:rPr>
        <w:tab/>
        <w:t>7</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 xml:space="preserve">4. Оцінювання перспектив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у здійсненні результативного внеску в проектування і розробку кваліфікацій в Україні</w:t>
      </w:r>
      <w:r w:rsidRPr="006B6712">
        <w:rPr>
          <w:rFonts w:ascii="Times New Roman" w:hAnsi="Times New Roman" w:cs="Times New Roman"/>
          <w:sz w:val="24"/>
          <w:szCs w:val="24"/>
        </w:rPr>
        <w:tab/>
        <w:t>8</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5. Складання карти інтересів зацікавлених сторін</w:t>
      </w:r>
      <w:r w:rsidRPr="006B6712">
        <w:rPr>
          <w:rFonts w:ascii="Times New Roman" w:hAnsi="Times New Roman" w:cs="Times New Roman"/>
          <w:sz w:val="24"/>
          <w:szCs w:val="24"/>
        </w:rPr>
        <w:tab/>
        <w:t>11</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6. Види діалогу із заінтересованими сторонами</w:t>
      </w:r>
      <w:r w:rsidRPr="006B6712">
        <w:rPr>
          <w:rFonts w:ascii="Times New Roman" w:hAnsi="Times New Roman" w:cs="Times New Roman"/>
          <w:sz w:val="24"/>
          <w:szCs w:val="24"/>
        </w:rPr>
        <w:tab/>
        <w:t>14</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7. Сприяння залученню заінтересованих сторін</w:t>
      </w:r>
      <w:r w:rsidRPr="006B6712">
        <w:rPr>
          <w:rFonts w:ascii="Times New Roman" w:hAnsi="Times New Roman" w:cs="Times New Roman"/>
          <w:sz w:val="24"/>
          <w:szCs w:val="24"/>
        </w:rPr>
        <w:tab/>
        <w:t>15</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8. Формалізація участі заінтересованих сторін</w:t>
      </w:r>
      <w:r w:rsidRPr="006B6712">
        <w:rPr>
          <w:rFonts w:ascii="Times New Roman" w:hAnsi="Times New Roman" w:cs="Times New Roman"/>
          <w:sz w:val="24"/>
          <w:szCs w:val="24"/>
        </w:rPr>
        <w:tab/>
        <w:t>16</w:t>
      </w:r>
    </w:p>
    <w:p w:rsidR="003E10D4" w:rsidRPr="006B6712" w:rsidRDefault="003E10D4" w:rsidP="003E10D4">
      <w:pPr>
        <w:tabs>
          <w:tab w:val="right" w:leader="dot" w:pos="9498"/>
        </w:tabs>
        <w:rPr>
          <w:rFonts w:ascii="Times New Roman" w:hAnsi="Times New Roman" w:cs="Times New Roman"/>
          <w:sz w:val="24"/>
          <w:szCs w:val="24"/>
        </w:rPr>
      </w:pPr>
      <w:r w:rsidRPr="006B6712">
        <w:rPr>
          <w:rFonts w:ascii="Times New Roman" w:hAnsi="Times New Roman" w:cs="Times New Roman"/>
          <w:sz w:val="24"/>
          <w:szCs w:val="24"/>
        </w:rPr>
        <w:t>Додаток. Список представників заінтересованих сторін, які прийняли участь в експертному опитуванні з питань стану і перспектив розвитку «світу» кваліфікацій в Україні</w:t>
      </w:r>
      <w:r w:rsidR="00F429FC" w:rsidRPr="006B6712">
        <w:rPr>
          <w:rFonts w:ascii="Times New Roman" w:hAnsi="Times New Roman" w:cs="Times New Roman"/>
          <w:sz w:val="24"/>
          <w:szCs w:val="24"/>
        </w:rPr>
        <w:tab/>
        <w:t>20</w:t>
      </w:r>
    </w:p>
    <w:p w:rsidR="003E10D4" w:rsidRPr="006B6712" w:rsidRDefault="003E10D4" w:rsidP="003E10D4">
      <w:pPr>
        <w:tabs>
          <w:tab w:val="right" w:leader="dot" w:pos="9498"/>
        </w:tabs>
        <w:rPr>
          <w:rFonts w:ascii="Times New Roman" w:hAnsi="Times New Roman" w:cs="Times New Roman"/>
          <w:sz w:val="24"/>
          <w:szCs w:val="24"/>
        </w:rPr>
      </w:pPr>
    </w:p>
    <w:p w:rsidR="002E36E3" w:rsidRPr="006B6712" w:rsidRDefault="002E36E3" w:rsidP="003E10D4">
      <w:pPr>
        <w:sectPr w:rsidR="002E36E3" w:rsidRPr="006B6712" w:rsidSect="00D575D3">
          <w:footerReference w:type="default" r:id="rId8"/>
          <w:headerReference w:type="first" r:id="rId9"/>
          <w:pgSz w:w="11906" w:h="16838"/>
          <w:pgMar w:top="850" w:right="850" w:bottom="850" w:left="1417" w:header="708" w:footer="708" w:gutter="0"/>
          <w:cols w:space="708"/>
          <w:titlePg/>
          <w:docGrid w:linePitch="360"/>
        </w:sectPr>
      </w:pPr>
    </w:p>
    <w:p w:rsidR="002E36E3" w:rsidRPr="006B6712" w:rsidRDefault="00232BEE" w:rsidP="00B232F2">
      <w:pPr>
        <w:ind w:firstLine="709"/>
        <w:rPr>
          <w:rFonts w:ascii="Times New Roman" w:hAnsi="Times New Roman" w:cs="Times New Roman"/>
          <w:b/>
          <w:sz w:val="24"/>
          <w:szCs w:val="24"/>
        </w:rPr>
      </w:pPr>
      <w:r w:rsidRPr="006B6712">
        <w:rPr>
          <w:rFonts w:ascii="Times New Roman" w:hAnsi="Times New Roman" w:cs="Times New Roman"/>
          <w:b/>
          <w:sz w:val="28"/>
          <w:szCs w:val="28"/>
        </w:rPr>
        <w:lastRenderedPageBreak/>
        <w:t>1</w:t>
      </w:r>
      <w:r w:rsidR="002E36E3" w:rsidRPr="006B6712">
        <w:rPr>
          <w:rFonts w:ascii="Times New Roman" w:hAnsi="Times New Roman" w:cs="Times New Roman"/>
          <w:b/>
          <w:sz w:val="28"/>
          <w:szCs w:val="28"/>
        </w:rPr>
        <w:t>. Загальна інформація про проведення опитування заінтересованих сторін</w:t>
      </w:r>
      <w:r w:rsidR="002E36E3" w:rsidRPr="006B6712">
        <w:rPr>
          <w:rFonts w:ascii="Times New Roman" w:hAnsi="Times New Roman" w:cs="Times New Roman"/>
          <w:b/>
          <w:sz w:val="24"/>
          <w:szCs w:val="24"/>
        </w:rPr>
        <w:t>.</w:t>
      </w:r>
    </w:p>
    <w:p w:rsidR="002E36E3" w:rsidRPr="006B6712" w:rsidRDefault="002E36E3" w:rsidP="00B232F2">
      <w:pPr>
        <w:ind w:firstLine="709"/>
        <w:rPr>
          <w:rFonts w:ascii="Times New Roman" w:hAnsi="Times New Roman" w:cs="Times New Roman"/>
          <w:sz w:val="24"/>
          <w:szCs w:val="24"/>
        </w:rPr>
      </w:pPr>
      <w:r w:rsidRPr="006B6712">
        <w:rPr>
          <w:rFonts w:ascii="Times New Roman" w:hAnsi="Times New Roman" w:cs="Times New Roman"/>
          <w:sz w:val="24"/>
          <w:szCs w:val="24"/>
        </w:rPr>
        <w:t>З метою більш ефективного та результативного проведення Семінару під егідою ЄФО «Затвердження Плану заходів щодо впровадження Національної рамки кваліфікацій (НРК) в Україні на 2016 – 2020 роки</w:t>
      </w:r>
      <w:r w:rsidR="000D6290" w:rsidRPr="006B6712">
        <w:rPr>
          <w:rFonts w:ascii="Times New Roman" w:hAnsi="Times New Roman" w:cs="Times New Roman"/>
          <w:sz w:val="24"/>
          <w:szCs w:val="24"/>
        </w:rPr>
        <w:t>»</w:t>
      </w:r>
      <w:r w:rsidRPr="006B6712">
        <w:rPr>
          <w:rFonts w:ascii="Times New Roman" w:hAnsi="Times New Roman" w:cs="Times New Roman"/>
          <w:sz w:val="24"/>
          <w:szCs w:val="24"/>
        </w:rPr>
        <w:t xml:space="preserve">, який відбудеться 5.07.2016 р., у період з 3 по 30 червня </w:t>
      </w:r>
      <w:proofErr w:type="spellStart"/>
      <w:r w:rsidRPr="006B6712">
        <w:rPr>
          <w:rFonts w:ascii="Times New Roman" w:hAnsi="Times New Roman" w:cs="Times New Roman"/>
          <w:sz w:val="24"/>
          <w:szCs w:val="24"/>
        </w:rPr>
        <w:t>п.р</w:t>
      </w:r>
      <w:proofErr w:type="spellEnd"/>
      <w:r w:rsidRPr="006B6712">
        <w:rPr>
          <w:rFonts w:ascii="Times New Roman" w:hAnsi="Times New Roman" w:cs="Times New Roman"/>
          <w:sz w:val="24"/>
          <w:szCs w:val="24"/>
        </w:rPr>
        <w:t>. було проведене опитування</w:t>
      </w:r>
      <w:r w:rsidR="000D6290" w:rsidRPr="006B6712">
        <w:rPr>
          <w:rFonts w:ascii="Times New Roman" w:hAnsi="Times New Roman" w:cs="Times New Roman"/>
          <w:sz w:val="24"/>
          <w:szCs w:val="24"/>
        </w:rPr>
        <w:t xml:space="preserve"> представників</w:t>
      </w:r>
      <w:r w:rsidRPr="006B6712">
        <w:rPr>
          <w:rFonts w:ascii="Times New Roman" w:hAnsi="Times New Roman" w:cs="Times New Roman"/>
          <w:sz w:val="24"/>
          <w:szCs w:val="24"/>
        </w:rPr>
        <w:t xml:space="preserve"> заінтересованих сторін. Їм також </w:t>
      </w:r>
      <w:r w:rsidR="000D6290" w:rsidRPr="006B6712">
        <w:rPr>
          <w:rFonts w:ascii="Times New Roman" w:hAnsi="Times New Roman" w:cs="Times New Roman"/>
          <w:sz w:val="24"/>
          <w:szCs w:val="24"/>
        </w:rPr>
        <w:t xml:space="preserve"> було за</w:t>
      </w:r>
      <w:r w:rsidRPr="006B6712">
        <w:rPr>
          <w:rFonts w:ascii="Times New Roman" w:hAnsi="Times New Roman" w:cs="Times New Roman"/>
          <w:sz w:val="24"/>
          <w:szCs w:val="24"/>
        </w:rPr>
        <w:t>п</w:t>
      </w:r>
      <w:r w:rsidR="000D6290" w:rsidRPr="006B6712">
        <w:rPr>
          <w:rFonts w:ascii="Times New Roman" w:hAnsi="Times New Roman" w:cs="Times New Roman"/>
          <w:sz w:val="24"/>
          <w:szCs w:val="24"/>
        </w:rPr>
        <w:t>р</w:t>
      </w:r>
      <w:r w:rsidRPr="006B6712">
        <w:rPr>
          <w:rFonts w:ascii="Times New Roman" w:hAnsi="Times New Roman" w:cs="Times New Roman"/>
          <w:sz w:val="24"/>
          <w:szCs w:val="24"/>
        </w:rPr>
        <w:t>о</w:t>
      </w:r>
      <w:r w:rsidR="000D6290" w:rsidRPr="006B6712">
        <w:rPr>
          <w:rFonts w:ascii="Times New Roman" w:hAnsi="Times New Roman" w:cs="Times New Roman"/>
          <w:sz w:val="24"/>
          <w:szCs w:val="24"/>
        </w:rPr>
        <w:t>по</w:t>
      </w:r>
      <w:r w:rsidRPr="006B6712">
        <w:rPr>
          <w:rFonts w:ascii="Times New Roman" w:hAnsi="Times New Roman" w:cs="Times New Roman"/>
          <w:sz w:val="24"/>
          <w:szCs w:val="24"/>
        </w:rPr>
        <w:t>н</w:t>
      </w:r>
      <w:r w:rsidR="000D6290" w:rsidRPr="006B6712">
        <w:rPr>
          <w:rFonts w:ascii="Times New Roman" w:hAnsi="Times New Roman" w:cs="Times New Roman"/>
          <w:sz w:val="24"/>
          <w:szCs w:val="24"/>
        </w:rPr>
        <w:t>овано</w:t>
      </w:r>
      <w:r w:rsidRPr="006B6712">
        <w:rPr>
          <w:rFonts w:ascii="Times New Roman" w:hAnsi="Times New Roman" w:cs="Times New Roman"/>
          <w:sz w:val="24"/>
          <w:szCs w:val="24"/>
        </w:rPr>
        <w:t xml:space="preserve"> надати свої пропозиції до проекту Плану, який розсилався в електронному вигляді, листами від МОН України (на 12 центральних органів виконавчої влади, профільні комітети ВРУ – членів Міжвідомчої робочої групи з питань розроблення та впровадження НРК, створеної постановою КМУ від 29.12.2010 р. за № 1225). Опитувальник та проект Плану розміщені на сайтах МОН України і Інституту професійних кваліфікацій.</w:t>
      </w:r>
    </w:p>
    <w:p w:rsidR="000D6290" w:rsidRPr="006B6712" w:rsidRDefault="002E36E3" w:rsidP="000D629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Усього було запропонована участь у цій роботі 177 юридичним та фізичним особам, у т.ч. </w:t>
      </w:r>
      <w:r w:rsidR="000D6290" w:rsidRPr="006B6712">
        <w:rPr>
          <w:rFonts w:ascii="Times New Roman" w:hAnsi="Times New Roman" w:cs="Times New Roman"/>
          <w:sz w:val="24"/>
          <w:szCs w:val="24"/>
        </w:rPr>
        <w:t xml:space="preserve">:  </w:t>
      </w:r>
    </w:p>
    <w:p w:rsidR="002E36E3" w:rsidRPr="006B6712" w:rsidRDefault="000D6290" w:rsidP="000D629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че</w:t>
      </w:r>
      <w:r w:rsidR="002E36E3" w:rsidRPr="006B6712">
        <w:rPr>
          <w:rFonts w:ascii="Times New Roman" w:hAnsi="Times New Roman" w:cs="Times New Roman"/>
          <w:sz w:val="24"/>
          <w:szCs w:val="24"/>
        </w:rPr>
        <w:t>рез розсилання листів Федерації роботодавців 29 територіальним та 24 галузевим організаціям ФРУ, 32 асоційованим та 4 партнерським організаціям; через розсилання листів МОН України (12 ЦОВВ та комітетів ВРУ), електронною поштою 58 постійни</w:t>
      </w:r>
      <w:r w:rsidR="007063B5" w:rsidRPr="006B6712">
        <w:rPr>
          <w:rFonts w:ascii="Times New Roman" w:hAnsi="Times New Roman" w:cs="Times New Roman"/>
          <w:sz w:val="24"/>
          <w:szCs w:val="24"/>
        </w:rPr>
        <w:t>м</w:t>
      </w:r>
      <w:r w:rsidR="002E36E3" w:rsidRPr="006B6712">
        <w:rPr>
          <w:rFonts w:ascii="Times New Roman" w:hAnsi="Times New Roman" w:cs="Times New Roman"/>
          <w:sz w:val="24"/>
          <w:szCs w:val="24"/>
        </w:rPr>
        <w:t xml:space="preserve"> учасник</w:t>
      </w:r>
      <w:r w:rsidR="007063B5" w:rsidRPr="006B6712">
        <w:rPr>
          <w:rFonts w:ascii="Times New Roman" w:hAnsi="Times New Roman" w:cs="Times New Roman"/>
          <w:sz w:val="24"/>
          <w:szCs w:val="24"/>
        </w:rPr>
        <w:t>ам</w:t>
      </w:r>
      <w:r w:rsidR="002E36E3" w:rsidRPr="006B6712">
        <w:rPr>
          <w:rFonts w:ascii="Times New Roman" w:hAnsi="Times New Roman" w:cs="Times New Roman"/>
          <w:sz w:val="24"/>
          <w:szCs w:val="24"/>
        </w:rPr>
        <w:t xml:space="preserve"> семінарів ЄФО за останні 3 роки</w:t>
      </w:r>
      <w:r w:rsidR="007063B5" w:rsidRPr="006B6712">
        <w:rPr>
          <w:rFonts w:ascii="Times New Roman" w:hAnsi="Times New Roman" w:cs="Times New Roman"/>
          <w:sz w:val="24"/>
          <w:szCs w:val="24"/>
        </w:rPr>
        <w:t>;</w:t>
      </w:r>
      <w:r w:rsidR="002E36E3" w:rsidRPr="006B6712">
        <w:rPr>
          <w:rFonts w:ascii="Times New Roman" w:hAnsi="Times New Roman" w:cs="Times New Roman"/>
          <w:sz w:val="24"/>
          <w:szCs w:val="24"/>
        </w:rPr>
        <w:t xml:space="preserve"> 28 експертів були </w:t>
      </w:r>
      <w:proofErr w:type="spellStart"/>
      <w:r w:rsidR="002E36E3" w:rsidRPr="006B6712">
        <w:rPr>
          <w:rFonts w:ascii="Times New Roman" w:hAnsi="Times New Roman" w:cs="Times New Roman"/>
          <w:sz w:val="24"/>
          <w:szCs w:val="24"/>
        </w:rPr>
        <w:t>проінтерв’юйован</w:t>
      </w:r>
      <w:r w:rsidR="007063B5" w:rsidRPr="006B6712">
        <w:rPr>
          <w:rFonts w:ascii="Times New Roman" w:hAnsi="Times New Roman" w:cs="Times New Roman"/>
          <w:sz w:val="24"/>
          <w:szCs w:val="24"/>
        </w:rPr>
        <w:t>о</w:t>
      </w:r>
      <w:proofErr w:type="spellEnd"/>
      <w:r w:rsidR="002E36E3" w:rsidRPr="006B6712">
        <w:rPr>
          <w:rFonts w:ascii="Times New Roman" w:hAnsi="Times New Roman" w:cs="Times New Roman"/>
          <w:sz w:val="24"/>
          <w:szCs w:val="24"/>
        </w:rPr>
        <w:t xml:space="preserve"> безпосередньо.</w:t>
      </w:r>
    </w:p>
    <w:p w:rsidR="002E36E3"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Відгукнулося на запропоновану роботу 44 </w:t>
      </w:r>
      <w:r w:rsidR="007063B5" w:rsidRPr="006B6712">
        <w:rPr>
          <w:rFonts w:ascii="Times New Roman" w:hAnsi="Times New Roman" w:cs="Times New Roman"/>
          <w:sz w:val="24"/>
          <w:szCs w:val="24"/>
        </w:rPr>
        <w:t xml:space="preserve"> представника </w:t>
      </w:r>
      <w:proofErr w:type="spellStart"/>
      <w:r w:rsidRPr="006B6712">
        <w:rPr>
          <w:rFonts w:ascii="Times New Roman" w:hAnsi="Times New Roman" w:cs="Times New Roman"/>
          <w:sz w:val="24"/>
          <w:szCs w:val="24"/>
        </w:rPr>
        <w:t>стейкхолдер</w:t>
      </w:r>
      <w:r w:rsidR="007063B5" w:rsidRPr="006B6712">
        <w:rPr>
          <w:rFonts w:ascii="Times New Roman" w:hAnsi="Times New Roman" w:cs="Times New Roman"/>
          <w:sz w:val="24"/>
          <w:szCs w:val="24"/>
        </w:rPr>
        <w:t>ів</w:t>
      </w:r>
      <w:proofErr w:type="spellEnd"/>
      <w:r w:rsidRPr="006B6712">
        <w:rPr>
          <w:rFonts w:ascii="Times New Roman" w:hAnsi="Times New Roman" w:cs="Times New Roman"/>
          <w:sz w:val="24"/>
          <w:szCs w:val="24"/>
        </w:rPr>
        <w:t xml:space="preserve"> або 24,9% від чисельності тих, до кого зверталися.</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За своєю функціонально-виробничою приналежністю експерти розподілені за 6 групами (див. Рис. 1).</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1. Представники </w:t>
      </w:r>
      <w:r w:rsidR="007063B5" w:rsidRPr="006B6712">
        <w:rPr>
          <w:rFonts w:ascii="Times New Roman" w:hAnsi="Times New Roman" w:cs="Times New Roman"/>
          <w:sz w:val="24"/>
          <w:szCs w:val="24"/>
        </w:rPr>
        <w:t>Ц</w:t>
      </w:r>
      <w:r w:rsidRPr="006B6712">
        <w:rPr>
          <w:rFonts w:ascii="Times New Roman" w:hAnsi="Times New Roman" w:cs="Times New Roman"/>
          <w:sz w:val="24"/>
          <w:szCs w:val="24"/>
        </w:rPr>
        <w:t>ОВВ.</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2. Представники об'єднань організацій роботодавців і профспілок, підпорядкованих їм підрозділів, крупних підприємств (далі – соціальні партнери).</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3. Представники </w:t>
      </w:r>
      <w:proofErr w:type="spellStart"/>
      <w:r w:rsidRPr="006B6712">
        <w:rPr>
          <w:rFonts w:ascii="Times New Roman" w:hAnsi="Times New Roman" w:cs="Times New Roman"/>
          <w:sz w:val="24"/>
          <w:szCs w:val="24"/>
        </w:rPr>
        <w:t>ВНЗів</w:t>
      </w:r>
      <w:proofErr w:type="spellEnd"/>
      <w:r w:rsidRPr="006B6712">
        <w:rPr>
          <w:rFonts w:ascii="Times New Roman" w:hAnsi="Times New Roman" w:cs="Times New Roman"/>
          <w:sz w:val="24"/>
          <w:szCs w:val="24"/>
        </w:rPr>
        <w:t>.</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4. Представники інших навчальних закладів, навчально-виробничих центрів, органів незалежної сертифікації персоналу.</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5. Представники професійних асоціацій та інших громадських об’єднань відповідного спрямування (далі – професійні асоціації).</w:t>
      </w:r>
    </w:p>
    <w:p w:rsidR="007D1706" w:rsidRPr="006B6712" w:rsidRDefault="007D1706" w:rsidP="00B232F2">
      <w:pPr>
        <w:ind w:firstLine="709"/>
        <w:rPr>
          <w:rFonts w:ascii="Times New Roman" w:hAnsi="Times New Roman" w:cs="Times New Roman"/>
          <w:sz w:val="24"/>
          <w:szCs w:val="24"/>
        </w:rPr>
      </w:pPr>
      <w:r w:rsidRPr="006B6712">
        <w:rPr>
          <w:rFonts w:ascii="Times New Roman" w:hAnsi="Times New Roman" w:cs="Times New Roman"/>
          <w:sz w:val="24"/>
          <w:szCs w:val="24"/>
        </w:rPr>
        <w:t>6. Наукові установи.</w:t>
      </w:r>
    </w:p>
    <w:p w:rsidR="007D1706" w:rsidRPr="006B6712" w:rsidRDefault="00A95F7E" w:rsidP="00B232F2">
      <w:pPr>
        <w:ind w:firstLine="709"/>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5F7E" w:rsidRPr="006B6712" w:rsidRDefault="00F31F8E" w:rsidP="00B232F2">
      <w:pPr>
        <w:ind w:firstLine="709"/>
        <w:rPr>
          <w:rFonts w:ascii="Times New Roman" w:hAnsi="Times New Roman" w:cs="Times New Roman"/>
          <w:b/>
          <w:sz w:val="24"/>
          <w:szCs w:val="24"/>
        </w:rPr>
      </w:pPr>
      <w:r w:rsidRPr="006B6712">
        <w:rPr>
          <w:rFonts w:ascii="Times New Roman" w:hAnsi="Times New Roman" w:cs="Times New Roman"/>
          <w:b/>
          <w:sz w:val="24"/>
          <w:szCs w:val="24"/>
        </w:rPr>
        <w:t>Рис. 1. Розподіл експертів за узагальненими групами (осіб)</w:t>
      </w:r>
    </w:p>
    <w:p w:rsidR="00F31F8E" w:rsidRPr="006B6712" w:rsidRDefault="00F31F8E" w:rsidP="00B232F2">
      <w:pPr>
        <w:ind w:firstLine="709"/>
        <w:rPr>
          <w:rFonts w:ascii="Times New Roman" w:hAnsi="Times New Roman" w:cs="Times New Roman"/>
          <w:sz w:val="24"/>
          <w:szCs w:val="24"/>
        </w:rPr>
      </w:pPr>
      <w:r w:rsidRPr="006B6712">
        <w:rPr>
          <w:rFonts w:ascii="Times New Roman" w:hAnsi="Times New Roman" w:cs="Times New Roman"/>
          <w:sz w:val="24"/>
          <w:szCs w:val="24"/>
        </w:rPr>
        <w:t>Повний перелік експертів наведено в Додатку.</w:t>
      </w:r>
    </w:p>
    <w:p w:rsidR="00F31F8E" w:rsidRPr="006B6712" w:rsidRDefault="00F31F8E" w:rsidP="00B232F2">
      <w:pPr>
        <w:ind w:firstLine="709"/>
        <w:rPr>
          <w:rFonts w:ascii="Times New Roman" w:hAnsi="Times New Roman" w:cs="Times New Roman"/>
          <w:sz w:val="24"/>
          <w:szCs w:val="24"/>
        </w:rPr>
      </w:pPr>
      <w:r w:rsidRPr="006B6712">
        <w:rPr>
          <w:rFonts w:ascii="Times New Roman" w:hAnsi="Times New Roman" w:cs="Times New Roman"/>
          <w:sz w:val="24"/>
          <w:szCs w:val="24"/>
        </w:rPr>
        <w:t>Запропонований опитувальник складається із</w:t>
      </w:r>
      <w:r w:rsidR="007063B5" w:rsidRPr="006B6712">
        <w:rPr>
          <w:rFonts w:ascii="Times New Roman" w:hAnsi="Times New Roman" w:cs="Times New Roman"/>
          <w:sz w:val="24"/>
          <w:szCs w:val="24"/>
        </w:rPr>
        <w:t>:</w:t>
      </w:r>
      <w:r w:rsidRPr="006B6712">
        <w:rPr>
          <w:rFonts w:ascii="Times New Roman" w:hAnsi="Times New Roman" w:cs="Times New Roman"/>
          <w:sz w:val="24"/>
          <w:szCs w:val="24"/>
        </w:rPr>
        <w:t xml:space="preserve"> 26 запитань, згрупованих у 5 змістовних блоків</w:t>
      </w:r>
      <w:r w:rsidR="007063B5" w:rsidRPr="006B6712">
        <w:rPr>
          <w:rFonts w:ascii="Times New Roman" w:hAnsi="Times New Roman" w:cs="Times New Roman"/>
          <w:sz w:val="24"/>
          <w:szCs w:val="24"/>
        </w:rPr>
        <w:t>;</w:t>
      </w:r>
      <w:r w:rsidRPr="006B6712">
        <w:rPr>
          <w:rFonts w:ascii="Times New Roman" w:hAnsi="Times New Roman" w:cs="Times New Roman"/>
          <w:sz w:val="24"/>
          <w:szCs w:val="24"/>
        </w:rPr>
        <w:t xml:space="preserve"> 2 блок</w:t>
      </w:r>
      <w:r w:rsidR="007063B5" w:rsidRPr="006B6712">
        <w:rPr>
          <w:rFonts w:ascii="Times New Roman" w:hAnsi="Times New Roman" w:cs="Times New Roman"/>
          <w:sz w:val="24"/>
          <w:szCs w:val="24"/>
        </w:rPr>
        <w:t xml:space="preserve">ів </w:t>
      </w:r>
      <w:r w:rsidRPr="006B6712">
        <w:rPr>
          <w:rFonts w:ascii="Times New Roman" w:hAnsi="Times New Roman" w:cs="Times New Roman"/>
          <w:sz w:val="24"/>
          <w:szCs w:val="24"/>
        </w:rPr>
        <w:t>з оцінювання ролі</w:t>
      </w:r>
      <w:r w:rsidR="007063B5" w:rsidRPr="006B6712">
        <w:rPr>
          <w:rFonts w:ascii="Times New Roman" w:hAnsi="Times New Roman" w:cs="Times New Roman"/>
          <w:sz w:val="24"/>
          <w:szCs w:val="24"/>
        </w:rPr>
        <w:t xml:space="preserve">  28 </w:t>
      </w:r>
      <w:proofErr w:type="spellStart"/>
      <w:r w:rsidR="007063B5" w:rsidRPr="006B6712">
        <w:rPr>
          <w:rFonts w:ascii="Times New Roman" w:hAnsi="Times New Roman" w:cs="Times New Roman"/>
          <w:sz w:val="24"/>
          <w:szCs w:val="24"/>
        </w:rPr>
        <w:t>стейкхолдерів</w:t>
      </w:r>
      <w:proofErr w:type="spellEnd"/>
      <w:r w:rsidR="007063B5" w:rsidRPr="006B6712">
        <w:rPr>
          <w:rFonts w:ascii="Times New Roman" w:hAnsi="Times New Roman" w:cs="Times New Roman"/>
          <w:sz w:val="24"/>
          <w:szCs w:val="24"/>
        </w:rPr>
        <w:t xml:space="preserve"> сьогодні і в майбутньому;</w:t>
      </w:r>
      <w:r w:rsidRPr="006B6712">
        <w:rPr>
          <w:rFonts w:ascii="Times New Roman" w:hAnsi="Times New Roman" w:cs="Times New Roman"/>
          <w:sz w:val="24"/>
          <w:szCs w:val="24"/>
        </w:rPr>
        <w:t xml:space="preserve"> 13 відкритих запитань.</w:t>
      </w:r>
    </w:p>
    <w:p w:rsidR="00F31F8E" w:rsidRPr="006B6712" w:rsidRDefault="00F31F8E"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Слід зазначити, що, з одного боку, опитувальник є громіздким, специфічним і </w:t>
      </w:r>
      <w:proofErr w:type="spellStart"/>
      <w:r w:rsidRPr="006B6712">
        <w:rPr>
          <w:rFonts w:ascii="Times New Roman" w:hAnsi="Times New Roman" w:cs="Times New Roman"/>
          <w:sz w:val="24"/>
          <w:szCs w:val="24"/>
        </w:rPr>
        <w:t>праце</w:t>
      </w:r>
      <w:r w:rsidR="007063B5" w:rsidRPr="006B6712">
        <w:rPr>
          <w:rFonts w:ascii="Times New Roman" w:hAnsi="Times New Roman" w:cs="Times New Roman"/>
          <w:sz w:val="24"/>
          <w:szCs w:val="24"/>
        </w:rPr>
        <w:t>-</w:t>
      </w:r>
      <w:proofErr w:type="spellEnd"/>
      <w:r w:rsidRPr="006B6712">
        <w:rPr>
          <w:rFonts w:ascii="Times New Roman" w:hAnsi="Times New Roman" w:cs="Times New Roman"/>
          <w:sz w:val="24"/>
          <w:szCs w:val="24"/>
        </w:rPr>
        <w:t xml:space="preserve"> містким у заповненні, потребує певної професійної підготовки, знання термінів і понять, поінформованості в царині кваліфікацій (на що звертали увагу окремі експерти), а з іншого, він є типовим для країн, які охоплені проектами ЄФО, тобто дозволяє </w:t>
      </w:r>
      <w:proofErr w:type="spellStart"/>
      <w:r w:rsidRPr="006B6712">
        <w:rPr>
          <w:rFonts w:ascii="Times New Roman" w:hAnsi="Times New Roman" w:cs="Times New Roman"/>
          <w:sz w:val="24"/>
          <w:szCs w:val="24"/>
        </w:rPr>
        <w:t>співставляти</w:t>
      </w:r>
      <w:proofErr w:type="spellEnd"/>
      <w:r w:rsidRPr="006B6712">
        <w:rPr>
          <w:rFonts w:ascii="Times New Roman" w:hAnsi="Times New Roman" w:cs="Times New Roman"/>
          <w:sz w:val="24"/>
          <w:szCs w:val="24"/>
        </w:rPr>
        <w:t xml:space="preserve"> результати і враховувати по</w:t>
      </w:r>
      <w:r w:rsidR="007063B5" w:rsidRPr="006B6712">
        <w:rPr>
          <w:rFonts w:ascii="Times New Roman" w:hAnsi="Times New Roman" w:cs="Times New Roman"/>
          <w:sz w:val="24"/>
          <w:szCs w:val="24"/>
        </w:rPr>
        <w:t>милки</w:t>
      </w:r>
      <w:r w:rsidRPr="006B6712">
        <w:rPr>
          <w:rFonts w:ascii="Times New Roman" w:hAnsi="Times New Roman" w:cs="Times New Roman"/>
          <w:sz w:val="24"/>
          <w:szCs w:val="24"/>
        </w:rPr>
        <w:t xml:space="preserve"> та досягнення близьких </w:t>
      </w:r>
      <w:r w:rsidR="007063B5" w:rsidRPr="006B6712">
        <w:rPr>
          <w:rFonts w:ascii="Times New Roman" w:hAnsi="Times New Roman" w:cs="Times New Roman"/>
          <w:sz w:val="24"/>
          <w:szCs w:val="24"/>
        </w:rPr>
        <w:t xml:space="preserve"> (та не зовсім) </w:t>
      </w:r>
      <w:r w:rsidRPr="006B6712">
        <w:rPr>
          <w:rFonts w:ascii="Times New Roman" w:hAnsi="Times New Roman" w:cs="Times New Roman"/>
          <w:sz w:val="24"/>
          <w:szCs w:val="24"/>
        </w:rPr>
        <w:t xml:space="preserve">сусідів. Крім того, цей опитувальник зорієнтований на вивчення проблеми у часовому проміжку, тобто вивчати зміни, що </w:t>
      </w:r>
      <w:r w:rsidR="007063B5" w:rsidRPr="006B6712">
        <w:rPr>
          <w:rFonts w:ascii="Times New Roman" w:hAnsi="Times New Roman" w:cs="Times New Roman"/>
          <w:sz w:val="24"/>
          <w:szCs w:val="24"/>
        </w:rPr>
        <w:t xml:space="preserve"> динамічно </w:t>
      </w:r>
      <w:r w:rsidRPr="006B6712">
        <w:rPr>
          <w:rFonts w:ascii="Times New Roman" w:hAnsi="Times New Roman" w:cs="Times New Roman"/>
          <w:sz w:val="24"/>
          <w:szCs w:val="24"/>
        </w:rPr>
        <w:t>відбуваються.</w:t>
      </w:r>
    </w:p>
    <w:p w:rsidR="0003383D" w:rsidRPr="006B6712" w:rsidRDefault="0003383D" w:rsidP="00B232F2">
      <w:pPr>
        <w:ind w:firstLine="709"/>
        <w:rPr>
          <w:rFonts w:ascii="Times New Roman" w:hAnsi="Times New Roman" w:cs="Times New Roman"/>
          <w:b/>
          <w:sz w:val="24"/>
          <w:szCs w:val="24"/>
        </w:rPr>
      </w:pPr>
    </w:p>
    <w:p w:rsidR="00F31F8E" w:rsidRPr="006B6712" w:rsidRDefault="00F31F8E" w:rsidP="00B232F2">
      <w:pPr>
        <w:ind w:firstLine="709"/>
        <w:rPr>
          <w:rFonts w:ascii="Times New Roman" w:hAnsi="Times New Roman" w:cs="Times New Roman"/>
          <w:b/>
          <w:sz w:val="28"/>
          <w:szCs w:val="28"/>
        </w:rPr>
      </w:pPr>
      <w:r w:rsidRPr="006B6712">
        <w:rPr>
          <w:rFonts w:ascii="Times New Roman" w:hAnsi="Times New Roman" w:cs="Times New Roman"/>
          <w:b/>
          <w:sz w:val="28"/>
          <w:szCs w:val="28"/>
        </w:rPr>
        <w:t>2. Готовність заінтересованих сторін до розширеної участі в системі кваліфікацій.</w:t>
      </w:r>
    </w:p>
    <w:p w:rsidR="00F31F8E" w:rsidRPr="006B6712" w:rsidRDefault="00F31F8E" w:rsidP="00B232F2">
      <w:pPr>
        <w:ind w:firstLine="709"/>
        <w:rPr>
          <w:rFonts w:ascii="Times New Roman" w:hAnsi="Times New Roman" w:cs="Times New Roman"/>
          <w:sz w:val="24"/>
          <w:szCs w:val="24"/>
        </w:rPr>
      </w:pPr>
      <w:r w:rsidRPr="006B6712">
        <w:rPr>
          <w:rFonts w:ascii="Times New Roman" w:hAnsi="Times New Roman" w:cs="Times New Roman"/>
          <w:sz w:val="24"/>
          <w:szCs w:val="24"/>
        </w:rPr>
        <w:t>До цього блоку опитувальника ввійшло 6 запитань.</w:t>
      </w:r>
    </w:p>
    <w:p w:rsidR="00F31F8E" w:rsidRPr="006B6712" w:rsidRDefault="00F31F8E" w:rsidP="00B232F2">
      <w:pPr>
        <w:ind w:firstLine="709"/>
        <w:rPr>
          <w:rFonts w:ascii="Times New Roman" w:hAnsi="Times New Roman" w:cs="Times New Roman"/>
          <w:sz w:val="24"/>
          <w:szCs w:val="24"/>
        </w:rPr>
      </w:pPr>
      <w:r w:rsidRPr="006B6712">
        <w:rPr>
          <w:rFonts w:ascii="Times New Roman" w:hAnsi="Times New Roman" w:cs="Times New Roman"/>
          <w:sz w:val="24"/>
          <w:szCs w:val="24"/>
        </w:rPr>
        <w:t>В ц</w:t>
      </w:r>
      <w:r w:rsidR="007063B5" w:rsidRPr="006B6712">
        <w:rPr>
          <w:rFonts w:ascii="Times New Roman" w:hAnsi="Times New Roman" w:cs="Times New Roman"/>
          <w:sz w:val="24"/>
          <w:szCs w:val="24"/>
        </w:rPr>
        <w:t xml:space="preserve">ілому </w:t>
      </w:r>
      <w:r w:rsidRPr="006B6712">
        <w:rPr>
          <w:rFonts w:ascii="Times New Roman" w:hAnsi="Times New Roman" w:cs="Times New Roman"/>
          <w:sz w:val="24"/>
          <w:szCs w:val="24"/>
        </w:rPr>
        <w:t xml:space="preserve">експерти вказують на </w:t>
      </w:r>
      <w:r w:rsidR="007063B5" w:rsidRPr="006B6712">
        <w:rPr>
          <w:rFonts w:ascii="Times New Roman" w:hAnsi="Times New Roman" w:cs="Times New Roman"/>
          <w:sz w:val="24"/>
          <w:szCs w:val="24"/>
        </w:rPr>
        <w:t xml:space="preserve">суттєву </w:t>
      </w:r>
      <w:r w:rsidRPr="006B6712">
        <w:rPr>
          <w:rFonts w:ascii="Times New Roman" w:hAnsi="Times New Roman" w:cs="Times New Roman"/>
          <w:sz w:val="24"/>
          <w:szCs w:val="24"/>
        </w:rPr>
        <w:t xml:space="preserve">непідготовленість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до відповідної діяльності (див. Рис. 2).</w:t>
      </w:r>
    </w:p>
    <w:p w:rsidR="00A95F7E" w:rsidRPr="006B6712" w:rsidRDefault="002106AB" w:rsidP="00B232F2">
      <w:pPr>
        <w:ind w:firstLine="709"/>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06AB" w:rsidRPr="006B6712" w:rsidRDefault="00866927" w:rsidP="00B232F2">
      <w:pPr>
        <w:ind w:firstLine="709"/>
        <w:rPr>
          <w:rFonts w:ascii="Times New Roman" w:hAnsi="Times New Roman" w:cs="Times New Roman"/>
          <w:b/>
          <w:sz w:val="24"/>
          <w:szCs w:val="24"/>
        </w:rPr>
      </w:pPr>
      <w:r w:rsidRPr="006B6712">
        <w:rPr>
          <w:rFonts w:ascii="Times New Roman" w:hAnsi="Times New Roman" w:cs="Times New Roman"/>
          <w:b/>
          <w:sz w:val="24"/>
          <w:szCs w:val="24"/>
        </w:rPr>
        <w:t>Рис. 2. Розподіл відповідей респондентів на 6 запитань 1 блоку «Готовність до розширеної участі заінтересованих сторін», %.</w:t>
      </w:r>
    </w:p>
    <w:p w:rsidR="00866927" w:rsidRPr="006B6712" w:rsidRDefault="00866927" w:rsidP="00B232F2">
      <w:pPr>
        <w:ind w:firstLine="709"/>
        <w:rPr>
          <w:rFonts w:ascii="Times New Roman" w:hAnsi="Times New Roman" w:cs="Times New Roman"/>
          <w:sz w:val="24"/>
          <w:szCs w:val="24"/>
        </w:rPr>
      </w:pPr>
      <w:r w:rsidRPr="006B6712">
        <w:rPr>
          <w:rFonts w:ascii="Times New Roman" w:hAnsi="Times New Roman" w:cs="Times New Roman"/>
          <w:sz w:val="24"/>
          <w:szCs w:val="24"/>
        </w:rPr>
        <w:t>За групами експертів найбільш песимістичними є представники ЦОВВ (</w:t>
      </w:r>
      <w:r w:rsidR="001D5708" w:rsidRPr="006B6712">
        <w:rPr>
          <w:rFonts w:ascii="Times New Roman" w:hAnsi="Times New Roman" w:cs="Times New Roman"/>
          <w:sz w:val="24"/>
          <w:szCs w:val="24"/>
        </w:rPr>
        <w:t xml:space="preserve"> лише </w:t>
      </w:r>
      <w:r w:rsidRPr="006B6712">
        <w:rPr>
          <w:rFonts w:ascii="Times New Roman" w:hAnsi="Times New Roman" w:cs="Times New Roman"/>
          <w:sz w:val="24"/>
          <w:szCs w:val="24"/>
        </w:rPr>
        <w:t>10,0% дають стверджува</w:t>
      </w:r>
      <w:r w:rsidR="001D5708" w:rsidRPr="006B6712">
        <w:rPr>
          <w:rFonts w:ascii="Times New Roman" w:hAnsi="Times New Roman" w:cs="Times New Roman"/>
          <w:sz w:val="24"/>
          <w:szCs w:val="24"/>
        </w:rPr>
        <w:t>льну</w:t>
      </w:r>
      <w:r w:rsidRPr="006B6712">
        <w:rPr>
          <w:rFonts w:ascii="Times New Roman" w:hAnsi="Times New Roman" w:cs="Times New Roman"/>
          <w:sz w:val="24"/>
          <w:szCs w:val="24"/>
        </w:rPr>
        <w:t xml:space="preserve"> відповідь) і наукових установ (13,3%). Найбільшими оптимістами виступають експерти з групи інших навчальних закладів, </w:t>
      </w:r>
      <w:r w:rsidR="001D5708" w:rsidRPr="006B6712">
        <w:rPr>
          <w:rFonts w:ascii="Times New Roman" w:hAnsi="Times New Roman" w:cs="Times New Roman"/>
          <w:sz w:val="24"/>
          <w:szCs w:val="24"/>
        </w:rPr>
        <w:t>у</w:t>
      </w:r>
      <w:r w:rsidRPr="006B6712">
        <w:rPr>
          <w:rFonts w:ascii="Times New Roman" w:hAnsi="Times New Roman" w:cs="Times New Roman"/>
          <w:sz w:val="24"/>
          <w:szCs w:val="24"/>
        </w:rPr>
        <w:t xml:space="preserve"> тому числі на виробництві (30,6%).</w:t>
      </w:r>
    </w:p>
    <w:p w:rsidR="00866927" w:rsidRPr="006B6712" w:rsidRDefault="00866927" w:rsidP="00B232F2">
      <w:pPr>
        <w:ind w:firstLine="709"/>
        <w:rPr>
          <w:rFonts w:ascii="Times New Roman" w:hAnsi="Times New Roman" w:cs="Times New Roman"/>
          <w:sz w:val="24"/>
          <w:szCs w:val="24"/>
        </w:rPr>
      </w:pPr>
      <w:r w:rsidRPr="006B6712">
        <w:rPr>
          <w:rFonts w:ascii="Times New Roman" w:hAnsi="Times New Roman" w:cs="Times New Roman"/>
          <w:sz w:val="24"/>
          <w:szCs w:val="24"/>
        </w:rPr>
        <w:t>Безпосередньо серед запитань цього блоку найбільш негативна оцінка була зроблена опитуваними за такими, як:</w:t>
      </w:r>
    </w:p>
    <w:p w:rsidR="00866927" w:rsidRPr="006B6712" w:rsidRDefault="00866927" w:rsidP="00B232F2">
      <w:pPr>
        <w:ind w:firstLine="709"/>
        <w:rPr>
          <w:rFonts w:ascii="Times New Roman" w:hAnsi="Times New Roman" w:cs="Times New Roman"/>
          <w:sz w:val="24"/>
          <w:szCs w:val="24"/>
        </w:rPr>
      </w:pPr>
      <w:r w:rsidRPr="006B6712">
        <w:rPr>
          <w:rFonts w:ascii="Times New Roman" w:hAnsi="Times New Roman" w:cs="Times New Roman"/>
          <w:sz w:val="24"/>
          <w:szCs w:val="24"/>
        </w:rPr>
        <w:t>«Чи є чітко визначеним, який державний орган відіграє провідну роль у формування політики щодо реформи системи кваліфікацій? (45,5% указують, що цього немає), «Чи визначено ролі різних державних органів у проектуванні та розроблені кваліфікацій?» (43,2% відповідно).</w:t>
      </w:r>
    </w:p>
    <w:p w:rsidR="00866927" w:rsidRPr="006B6712" w:rsidRDefault="00866927" w:rsidP="00B232F2">
      <w:pPr>
        <w:ind w:firstLine="709"/>
        <w:rPr>
          <w:rFonts w:ascii="Times New Roman" w:hAnsi="Times New Roman" w:cs="Times New Roman"/>
          <w:sz w:val="24"/>
          <w:szCs w:val="24"/>
        </w:rPr>
      </w:pPr>
      <w:r w:rsidRPr="006B6712">
        <w:rPr>
          <w:rFonts w:ascii="Times New Roman" w:hAnsi="Times New Roman" w:cs="Times New Roman"/>
          <w:sz w:val="24"/>
          <w:szCs w:val="24"/>
        </w:rPr>
        <w:t>Суттєво переважає оцінка експертів як «все неоднозначно» за такими запитаннями: «Чи готовий уряд до збільшення рівня залучення зовнішніх заінтересованих сторін?» (65,9%), «Чи вживає уряд заходів, спрямованих і на розширення участі заінтересованих сторін у системі кваліфікацій?» (52,3%).</w:t>
      </w:r>
    </w:p>
    <w:p w:rsidR="005A6E39" w:rsidRPr="006B6712" w:rsidRDefault="001D5708" w:rsidP="00B232F2">
      <w:pPr>
        <w:ind w:firstLine="709"/>
        <w:rPr>
          <w:rFonts w:ascii="Times New Roman" w:hAnsi="Times New Roman" w:cs="Times New Roman"/>
          <w:sz w:val="24"/>
          <w:szCs w:val="24"/>
        </w:rPr>
      </w:pPr>
      <w:r w:rsidRPr="006B6712">
        <w:rPr>
          <w:rFonts w:ascii="Times New Roman" w:hAnsi="Times New Roman" w:cs="Times New Roman"/>
          <w:sz w:val="24"/>
          <w:szCs w:val="24"/>
        </w:rPr>
        <w:t>Має місце в</w:t>
      </w:r>
      <w:r w:rsidR="00866927" w:rsidRPr="006B6712">
        <w:rPr>
          <w:rFonts w:ascii="Times New Roman" w:hAnsi="Times New Roman" w:cs="Times New Roman"/>
          <w:sz w:val="24"/>
          <w:szCs w:val="24"/>
        </w:rPr>
        <w:t>ідносно високий рівень підтверджувальної позитивної оцінки респондентами таких запитань: «Чи виражають публічно неурядові заінтересовані сторони (громадські організації) свою думку (позицію)</w:t>
      </w:r>
      <w:r w:rsidR="0015032B" w:rsidRPr="006B6712">
        <w:rPr>
          <w:rFonts w:ascii="Times New Roman" w:hAnsi="Times New Roman" w:cs="Times New Roman"/>
          <w:sz w:val="24"/>
          <w:szCs w:val="24"/>
        </w:rPr>
        <w:t xml:space="preserve"> щодо актуальності професійних кваліфікацій?» (40,9%), «Чи вважається здобуття професійної (професійно-технічної) освіти п</w:t>
      </w:r>
      <w:r w:rsidR="00C40D6C" w:rsidRPr="006B6712">
        <w:rPr>
          <w:rFonts w:ascii="Times New Roman" w:hAnsi="Times New Roman" w:cs="Times New Roman"/>
          <w:sz w:val="24"/>
          <w:szCs w:val="24"/>
        </w:rPr>
        <w:t>ривабливим для учнів та їхніх ба</w:t>
      </w:r>
      <w:r w:rsidR="0015032B" w:rsidRPr="006B6712">
        <w:rPr>
          <w:rFonts w:ascii="Times New Roman" w:hAnsi="Times New Roman" w:cs="Times New Roman"/>
          <w:sz w:val="24"/>
          <w:szCs w:val="24"/>
        </w:rPr>
        <w:t xml:space="preserve">тьків?» (31,8%). За цим блоком експертам також було запропоновано 2 відкриті запитання. На ці запитання (як і на </w:t>
      </w:r>
      <w:r w:rsidRPr="006B6712">
        <w:rPr>
          <w:rFonts w:ascii="Times New Roman" w:hAnsi="Times New Roman" w:cs="Times New Roman"/>
          <w:sz w:val="24"/>
          <w:szCs w:val="24"/>
        </w:rPr>
        <w:t xml:space="preserve">більшість  11 </w:t>
      </w:r>
      <w:r w:rsidR="0015032B" w:rsidRPr="006B6712">
        <w:rPr>
          <w:rFonts w:ascii="Times New Roman" w:hAnsi="Times New Roman" w:cs="Times New Roman"/>
          <w:sz w:val="24"/>
          <w:szCs w:val="24"/>
        </w:rPr>
        <w:t>інш</w:t>
      </w:r>
      <w:r w:rsidRPr="006B6712">
        <w:rPr>
          <w:rFonts w:ascii="Times New Roman" w:hAnsi="Times New Roman" w:cs="Times New Roman"/>
          <w:sz w:val="24"/>
          <w:szCs w:val="24"/>
        </w:rPr>
        <w:t>их</w:t>
      </w:r>
      <w:r w:rsidR="0015032B" w:rsidRPr="006B6712">
        <w:rPr>
          <w:rFonts w:ascii="Times New Roman" w:hAnsi="Times New Roman" w:cs="Times New Roman"/>
          <w:sz w:val="24"/>
          <w:szCs w:val="24"/>
        </w:rPr>
        <w:t>) близько 2/3 респондентів дали свою відповідь.</w:t>
      </w:r>
      <w:r w:rsidR="005A6E39" w:rsidRPr="006B6712">
        <w:rPr>
          <w:rFonts w:ascii="Times New Roman" w:hAnsi="Times New Roman" w:cs="Times New Roman"/>
          <w:sz w:val="24"/>
          <w:szCs w:val="24"/>
        </w:rPr>
        <w:br w:type="page"/>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На відкрите запитання «Якою мірою недостатнє залучення зацікавлених сторін є перешкодою для проведення реформ в сфері кваліфікацій?» опитувані вказували на те, що:</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не вдається створити державний координаційний орган із кваліфікацій;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xml:space="preserve">- думки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не враховуються</w:t>
      </w:r>
      <w:r w:rsidR="001D5708" w:rsidRPr="006B6712">
        <w:rPr>
          <w:rFonts w:ascii="Times New Roman" w:hAnsi="Times New Roman" w:cs="Times New Roman"/>
          <w:sz w:val="24"/>
          <w:szCs w:val="24"/>
        </w:rPr>
        <w:t xml:space="preserve"> владою</w:t>
      </w:r>
      <w:r w:rsidRPr="006B6712">
        <w:rPr>
          <w:rFonts w:ascii="Times New Roman" w:hAnsi="Times New Roman" w:cs="Times New Roman"/>
          <w:sz w:val="24"/>
          <w:szCs w:val="24"/>
        </w:rPr>
        <w:t>;</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xml:space="preserve">- низька </w:t>
      </w:r>
      <w:proofErr w:type="spellStart"/>
      <w:r w:rsidRPr="006B6712">
        <w:rPr>
          <w:rFonts w:ascii="Times New Roman" w:hAnsi="Times New Roman" w:cs="Times New Roman"/>
          <w:sz w:val="24"/>
          <w:szCs w:val="24"/>
        </w:rPr>
        <w:t>залученість</w:t>
      </w:r>
      <w:proofErr w:type="spellEnd"/>
      <w:r w:rsidRPr="006B6712">
        <w:rPr>
          <w:rFonts w:ascii="Times New Roman" w:hAnsi="Times New Roman" w:cs="Times New Roman"/>
          <w:sz w:val="24"/>
          <w:szCs w:val="24"/>
        </w:rPr>
        <w:t xml:space="preserve"> роботодавців та крупних підприємців, професійних асоціацій;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втрата якісних характеристик робочої сили, відставання від змін, що відбуваються у світі в цій царині;</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збільшується «прірва» між системою підготовки кадрів і потребами роботодавців;</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подовжується падіння якості освітніх послуг;</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xml:space="preserve">- низька </w:t>
      </w:r>
      <w:proofErr w:type="spellStart"/>
      <w:r w:rsidRPr="006B6712">
        <w:rPr>
          <w:rFonts w:ascii="Times New Roman" w:hAnsi="Times New Roman" w:cs="Times New Roman"/>
          <w:sz w:val="24"/>
          <w:szCs w:val="24"/>
        </w:rPr>
        <w:t>залученість</w:t>
      </w:r>
      <w:proofErr w:type="spellEnd"/>
      <w:r w:rsidRPr="006B6712">
        <w:rPr>
          <w:rFonts w:ascii="Times New Roman" w:hAnsi="Times New Roman" w:cs="Times New Roman"/>
          <w:sz w:val="24"/>
          <w:szCs w:val="24"/>
        </w:rPr>
        <w:t xml:space="preserve"> до реформи незалежних органів сертифікації персоналу, використання їх як майданчиків для оцінювання, присудження (підтвердження) професійних кваліфікацій;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xml:space="preserve">- зберігається монополізація </w:t>
      </w:r>
      <w:r w:rsidR="001D5708" w:rsidRPr="006B6712">
        <w:rPr>
          <w:rFonts w:ascii="Times New Roman" w:hAnsi="Times New Roman" w:cs="Times New Roman"/>
          <w:sz w:val="24"/>
          <w:szCs w:val="24"/>
        </w:rPr>
        <w:t>(</w:t>
      </w:r>
      <w:r w:rsidRPr="006B6712">
        <w:rPr>
          <w:rFonts w:ascii="Times New Roman" w:hAnsi="Times New Roman" w:cs="Times New Roman"/>
          <w:sz w:val="24"/>
          <w:szCs w:val="24"/>
        </w:rPr>
        <w:t>з боку влади</w:t>
      </w:r>
      <w:r w:rsidR="001D5708" w:rsidRPr="006B6712">
        <w:rPr>
          <w:rFonts w:ascii="Times New Roman" w:hAnsi="Times New Roman" w:cs="Times New Roman"/>
          <w:sz w:val="24"/>
          <w:szCs w:val="24"/>
        </w:rPr>
        <w:t>)</w:t>
      </w:r>
      <w:r w:rsidRPr="006B6712">
        <w:rPr>
          <w:rFonts w:ascii="Times New Roman" w:hAnsi="Times New Roman" w:cs="Times New Roman"/>
          <w:sz w:val="24"/>
          <w:szCs w:val="24"/>
        </w:rPr>
        <w:t xml:space="preserve"> реформи в сфері підготовки кадрів;</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реформа не має публічної підтримки і використовується у вузьких інтересах організацій роботодавців. На «узбіччі» цього процесу залишаються інтереси громадськості, молоді, батьків, професійних організацій, навчальних закладів;</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не враховується наявний досвід, не впроваджуються передові вітчизняні практики, не залучаються фахівці з громадських організацій;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відсутня взаємодія щодо змісту освітніх програм між викладачами і роботодавцями;</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не сформульовано та не представлено повного спектру думок, а те, що надається, практично не враховується;</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xml:space="preserve">- відсутність об’єктивної інформації з боку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щодо кваліфікацій;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звуженість ринку праці, відсутність робочих місць, усунення держави від цієї проблеми, відсутність державної політики стимулювання створення робочих місць і забезпечення справедливих міжгалузевих пропорцій в аспекті</w:t>
      </w:r>
      <w:r w:rsidR="001D5708" w:rsidRPr="006B6712">
        <w:rPr>
          <w:rFonts w:ascii="Times New Roman" w:hAnsi="Times New Roman" w:cs="Times New Roman"/>
          <w:sz w:val="24"/>
          <w:szCs w:val="24"/>
        </w:rPr>
        <w:t xml:space="preserve"> оплати</w:t>
      </w:r>
      <w:r w:rsidRPr="006B6712">
        <w:rPr>
          <w:rFonts w:ascii="Times New Roman" w:hAnsi="Times New Roman" w:cs="Times New Roman"/>
          <w:sz w:val="24"/>
          <w:szCs w:val="24"/>
        </w:rPr>
        <w:t xml:space="preserve"> праці, в основі яких лежить визнання кваліфікацій.</w:t>
      </w:r>
    </w:p>
    <w:p w:rsidR="005A6E39" w:rsidRPr="006B6712" w:rsidRDefault="005A6E39" w:rsidP="00B232F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мають зацікавлені сторони достатній потенціал для надання підтримки державним органам влади у питаннях розвитку системи кваліфікацій?» більше 2/3 дають стверджувальну відповідь. Зазначається, що найбільший потенціал у наукових установ і заклад</w:t>
      </w:r>
      <w:r w:rsidR="001D5708" w:rsidRPr="006B6712">
        <w:rPr>
          <w:rFonts w:ascii="Times New Roman" w:hAnsi="Times New Roman" w:cs="Times New Roman"/>
          <w:sz w:val="24"/>
          <w:szCs w:val="24"/>
        </w:rPr>
        <w:t>ів</w:t>
      </w:r>
      <w:r w:rsidRPr="006B6712">
        <w:rPr>
          <w:rFonts w:ascii="Times New Roman" w:hAnsi="Times New Roman" w:cs="Times New Roman"/>
          <w:sz w:val="24"/>
          <w:szCs w:val="24"/>
        </w:rPr>
        <w:t xml:space="preserve"> освіти, громадському русі. Великий потенціал бізнесу потребує створення державою відповідних стимулів. Головна зацікавлена сторона – органи державної влади – проявляють пасивність.</w:t>
      </w:r>
    </w:p>
    <w:p w:rsidR="00866927" w:rsidRPr="006B6712" w:rsidRDefault="00866927" w:rsidP="00B232F2">
      <w:pPr>
        <w:ind w:firstLine="709"/>
        <w:rPr>
          <w:rFonts w:ascii="Times New Roman" w:hAnsi="Times New Roman" w:cs="Times New Roman"/>
          <w:sz w:val="24"/>
          <w:szCs w:val="24"/>
        </w:rPr>
      </w:pPr>
    </w:p>
    <w:p w:rsidR="00232BEE" w:rsidRPr="006B6712" w:rsidRDefault="00232BEE" w:rsidP="00B232F2">
      <w:pPr>
        <w:ind w:firstLine="709"/>
        <w:rPr>
          <w:rFonts w:ascii="Times New Roman" w:hAnsi="Times New Roman" w:cs="Times New Roman"/>
          <w:sz w:val="24"/>
          <w:szCs w:val="24"/>
        </w:rPr>
      </w:pPr>
      <w:r w:rsidRPr="006B6712">
        <w:rPr>
          <w:rFonts w:ascii="Times New Roman" w:hAnsi="Times New Roman" w:cs="Times New Roman"/>
          <w:sz w:val="24"/>
          <w:szCs w:val="24"/>
        </w:rPr>
        <w:br w:type="page"/>
      </w:r>
    </w:p>
    <w:p w:rsidR="005A6E39" w:rsidRPr="006B6712" w:rsidRDefault="00232BEE" w:rsidP="00B232F2">
      <w:pPr>
        <w:ind w:firstLine="709"/>
        <w:rPr>
          <w:rFonts w:ascii="Times New Roman" w:hAnsi="Times New Roman" w:cs="Times New Roman"/>
          <w:b/>
          <w:sz w:val="28"/>
          <w:szCs w:val="28"/>
        </w:rPr>
      </w:pPr>
      <w:r w:rsidRPr="006B6712">
        <w:rPr>
          <w:rFonts w:ascii="Times New Roman" w:hAnsi="Times New Roman" w:cs="Times New Roman"/>
          <w:b/>
          <w:sz w:val="28"/>
          <w:szCs w:val="28"/>
        </w:rPr>
        <w:lastRenderedPageBreak/>
        <w:t xml:space="preserve">3. Оцінювання рівня </w:t>
      </w:r>
      <w:proofErr w:type="spellStart"/>
      <w:r w:rsidRPr="006B6712">
        <w:rPr>
          <w:rFonts w:ascii="Times New Roman" w:hAnsi="Times New Roman" w:cs="Times New Roman"/>
          <w:b/>
          <w:sz w:val="28"/>
          <w:szCs w:val="28"/>
        </w:rPr>
        <w:t>задіяності</w:t>
      </w:r>
      <w:proofErr w:type="spellEnd"/>
      <w:r w:rsidRPr="006B6712">
        <w:rPr>
          <w:rFonts w:ascii="Times New Roman" w:hAnsi="Times New Roman" w:cs="Times New Roman"/>
          <w:b/>
          <w:sz w:val="28"/>
          <w:szCs w:val="28"/>
        </w:rPr>
        <w:t xml:space="preserve"> </w:t>
      </w:r>
      <w:proofErr w:type="spellStart"/>
      <w:r w:rsidRPr="006B6712">
        <w:rPr>
          <w:rFonts w:ascii="Times New Roman" w:hAnsi="Times New Roman" w:cs="Times New Roman"/>
          <w:b/>
          <w:sz w:val="28"/>
          <w:szCs w:val="28"/>
        </w:rPr>
        <w:t>стейкхолдерів</w:t>
      </w:r>
      <w:proofErr w:type="spellEnd"/>
      <w:r w:rsidRPr="006B6712">
        <w:rPr>
          <w:rFonts w:ascii="Times New Roman" w:hAnsi="Times New Roman" w:cs="Times New Roman"/>
          <w:b/>
          <w:sz w:val="28"/>
          <w:szCs w:val="28"/>
        </w:rPr>
        <w:t xml:space="preserve"> у процесах проектування  розробки кваліфікацій.</w:t>
      </w:r>
    </w:p>
    <w:p w:rsidR="00232BEE" w:rsidRPr="006B6712" w:rsidRDefault="00232BEE"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У другому блоці опитувальника експертам було запропоновано дати оцінку 28 заінтересованим сторонам, задіяним в процесах проектування і розробки кваліфікацій в Україні. Слід зазначити, що незалежно від приналежності експертів </w:t>
      </w:r>
      <w:r w:rsidR="006D5756" w:rsidRPr="006B6712">
        <w:rPr>
          <w:rFonts w:ascii="Times New Roman" w:hAnsi="Times New Roman" w:cs="Times New Roman"/>
          <w:sz w:val="24"/>
          <w:szCs w:val="24"/>
        </w:rPr>
        <w:t xml:space="preserve">до тої чи іншої із 6 груп представників, вони досить об’єктивно та неупереджено провели </w:t>
      </w:r>
      <w:proofErr w:type="spellStart"/>
      <w:r w:rsidR="006D5756" w:rsidRPr="006B6712">
        <w:rPr>
          <w:rFonts w:ascii="Times New Roman" w:hAnsi="Times New Roman" w:cs="Times New Roman"/>
          <w:sz w:val="24"/>
          <w:szCs w:val="24"/>
        </w:rPr>
        <w:t>ранжування</w:t>
      </w:r>
      <w:proofErr w:type="spellEnd"/>
      <w:r w:rsidR="006D5756" w:rsidRPr="006B6712">
        <w:rPr>
          <w:rFonts w:ascii="Times New Roman" w:hAnsi="Times New Roman" w:cs="Times New Roman"/>
          <w:sz w:val="24"/>
          <w:szCs w:val="24"/>
        </w:rPr>
        <w:t xml:space="preserve"> </w:t>
      </w:r>
      <w:proofErr w:type="spellStart"/>
      <w:r w:rsidR="006D5756" w:rsidRPr="006B6712">
        <w:rPr>
          <w:rFonts w:ascii="Times New Roman" w:hAnsi="Times New Roman" w:cs="Times New Roman"/>
          <w:sz w:val="24"/>
          <w:szCs w:val="24"/>
        </w:rPr>
        <w:t>стейкхолдерів</w:t>
      </w:r>
      <w:proofErr w:type="spellEnd"/>
      <w:r w:rsidR="006D5756" w:rsidRPr="006B6712">
        <w:rPr>
          <w:rFonts w:ascii="Times New Roman" w:hAnsi="Times New Roman" w:cs="Times New Roman"/>
          <w:sz w:val="24"/>
          <w:szCs w:val="24"/>
        </w:rPr>
        <w:t xml:space="preserve"> (Рис. 3).</w:t>
      </w:r>
    </w:p>
    <w:p w:rsidR="006D5756" w:rsidRPr="006B6712" w:rsidRDefault="006D575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Слід указати на вкрай високі оцінки роботи (половина експертів та більше) таким заінтересованим сторонам, як МОН (70,5%), СПО роботодавців (59,0%), </w:t>
      </w:r>
      <w:proofErr w:type="spellStart"/>
      <w:r w:rsidRPr="006B6712">
        <w:rPr>
          <w:rFonts w:ascii="Times New Roman" w:hAnsi="Times New Roman" w:cs="Times New Roman"/>
          <w:sz w:val="24"/>
          <w:szCs w:val="24"/>
        </w:rPr>
        <w:t>Мінсоцполітики</w:t>
      </w:r>
      <w:proofErr w:type="spellEnd"/>
      <w:r w:rsidRPr="006B6712">
        <w:rPr>
          <w:rFonts w:ascii="Times New Roman" w:hAnsi="Times New Roman" w:cs="Times New Roman"/>
          <w:sz w:val="24"/>
          <w:szCs w:val="24"/>
        </w:rPr>
        <w:t xml:space="preserve"> (58,8%) і міжнародним організаціям (56,8%).</w:t>
      </w:r>
    </w:p>
    <w:p w:rsidR="006D5756" w:rsidRPr="006B6712" w:rsidRDefault="006D575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«Кидається в очі» низька оцінка діяльності важливих у системі кваліфікацій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а саме:</w:t>
      </w:r>
    </w:p>
    <w:p w:rsidR="006D5756" w:rsidRPr="006B6712" w:rsidRDefault="006D5756" w:rsidP="00B232F2">
      <w:pPr>
        <w:ind w:firstLine="709"/>
        <w:rPr>
          <w:rFonts w:ascii="Times New Roman" w:hAnsi="Times New Roman" w:cs="Times New Roman"/>
          <w:sz w:val="24"/>
          <w:szCs w:val="24"/>
        </w:rPr>
      </w:pPr>
      <w:proofErr w:type="spellStart"/>
      <w:r w:rsidRPr="006B6712">
        <w:rPr>
          <w:rFonts w:ascii="Times New Roman" w:hAnsi="Times New Roman" w:cs="Times New Roman"/>
          <w:sz w:val="24"/>
          <w:szCs w:val="24"/>
        </w:rPr>
        <w:t>Мінекономрозвитку</w:t>
      </w:r>
      <w:proofErr w:type="spellEnd"/>
      <w:r w:rsidRPr="006B6712">
        <w:rPr>
          <w:rFonts w:ascii="Times New Roman" w:hAnsi="Times New Roman" w:cs="Times New Roman"/>
          <w:sz w:val="24"/>
          <w:szCs w:val="24"/>
        </w:rPr>
        <w:t xml:space="preserve"> України (27,3%), інші профільні ЦОВВ (15,9%), галузеві об’єднання роботодавців і профспілок (!) (15,9%), СПО профспілок (!) (6,8%), торгово-промислових палат (!!!) (2,3%). Низькі оцінки НАЗЯВО (11,4%) та Національного агентства з кваліфікацій (6,8%) пояснюється тим, що перша інституція так і не </w:t>
      </w:r>
      <w:proofErr w:type="spellStart"/>
      <w:r w:rsidRPr="006B6712">
        <w:rPr>
          <w:rFonts w:ascii="Times New Roman" w:hAnsi="Times New Roman" w:cs="Times New Roman"/>
          <w:sz w:val="24"/>
          <w:szCs w:val="24"/>
        </w:rPr>
        <w:t>зафункціонувала</w:t>
      </w:r>
      <w:proofErr w:type="spellEnd"/>
      <w:r w:rsidRPr="006B6712">
        <w:rPr>
          <w:rFonts w:ascii="Times New Roman" w:hAnsi="Times New Roman" w:cs="Times New Roman"/>
          <w:sz w:val="24"/>
          <w:szCs w:val="24"/>
        </w:rPr>
        <w:t>, а друга – потребує створення.</w:t>
      </w:r>
    </w:p>
    <w:p w:rsidR="006D5756" w:rsidRPr="006B6712" w:rsidRDefault="006D5756" w:rsidP="00B232F2">
      <w:pPr>
        <w:ind w:firstLine="709"/>
        <w:rPr>
          <w:rFonts w:ascii="Times New Roman" w:hAnsi="Times New Roman" w:cs="Times New Roman"/>
          <w:sz w:val="24"/>
          <w:szCs w:val="24"/>
        </w:rPr>
      </w:pPr>
      <w:r w:rsidRPr="006B6712">
        <w:rPr>
          <w:rFonts w:ascii="Times New Roman" w:hAnsi="Times New Roman" w:cs="Times New Roman"/>
          <w:sz w:val="24"/>
          <w:szCs w:val="24"/>
        </w:rPr>
        <w:t>Слід зазначити, що має місце досить високий рівень оцінювання діяльності науковців (45,5%), підприємств і професійних об’єднань (по 43,2%),</w:t>
      </w:r>
      <w:r w:rsidR="001D5708" w:rsidRPr="006B6712">
        <w:rPr>
          <w:rFonts w:ascii="Times New Roman" w:hAnsi="Times New Roman" w:cs="Times New Roman"/>
          <w:sz w:val="24"/>
          <w:szCs w:val="24"/>
        </w:rPr>
        <w:t xml:space="preserve"> та</w:t>
      </w:r>
      <w:r w:rsidRPr="006B6712">
        <w:rPr>
          <w:rFonts w:ascii="Times New Roman" w:hAnsi="Times New Roman" w:cs="Times New Roman"/>
          <w:sz w:val="24"/>
          <w:szCs w:val="24"/>
        </w:rPr>
        <w:t xml:space="preserve"> </w:t>
      </w:r>
      <w:proofErr w:type="spellStart"/>
      <w:r w:rsidRPr="006B6712">
        <w:rPr>
          <w:rFonts w:ascii="Times New Roman" w:hAnsi="Times New Roman" w:cs="Times New Roman"/>
          <w:sz w:val="24"/>
          <w:szCs w:val="24"/>
        </w:rPr>
        <w:t>ВНЗів</w:t>
      </w:r>
      <w:proofErr w:type="spellEnd"/>
      <w:r w:rsidRPr="006B6712">
        <w:rPr>
          <w:rFonts w:ascii="Times New Roman" w:hAnsi="Times New Roman" w:cs="Times New Roman"/>
          <w:sz w:val="24"/>
          <w:szCs w:val="24"/>
        </w:rPr>
        <w:t xml:space="preserve"> (38,6%).</w:t>
      </w:r>
    </w:p>
    <w:p w:rsidR="006D5756" w:rsidRPr="006B6712" w:rsidRDefault="006D5756"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Експерти майже не </w:t>
      </w:r>
      <w:r w:rsidR="001D5708" w:rsidRPr="006B6712">
        <w:rPr>
          <w:rFonts w:ascii="Times New Roman" w:hAnsi="Times New Roman" w:cs="Times New Roman"/>
          <w:sz w:val="24"/>
          <w:szCs w:val="24"/>
        </w:rPr>
        <w:t>«</w:t>
      </w:r>
      <w:r w:rsidRPr="006B6712">
        <w:rPr>
          <w:rFonts w:ascii="Times New Roman" w:hAnsi="Times New Roman" w:cs="Times New Roman"/>
          <w:sz w:val="24"/>
          <w:szCs w:val="24"/>
        </w:rPr>
        <w:t>бачать</w:t>
      </w:r>
      <w:r w:rsidR="001D5708" w:rsidRPr="006B6712">
        <w:rPr>
          <w:rFonts w:ascii="Times New Roman" w:hAnsi="Times New Roman" w:cs="Times New Roman"/>
          <w:sz w:val="24"/>
          <w:szCs w:val="24"/>
        </w:rPr>
        <w:t>»</w:t>
      </w:r>
      <w:r w:rsidRPr="006B6712">
        <w:rPr>
          <w:rFonts w:ascii="Times New Roman" w:hAnsi="Times New Roman" w:cs="Times New Roman"/>
          <w:sz w:val="24"/>
          <w:szCs w:val="24"/>
        </w:rPr>
        <w:t xml:space="preserve"> відповідних результатів  діяльності представників мігрантів (11,4%), асоціацій вчителів і педагогів та інструкторів (методистів) (по 9,1%), представників учнів та студентів</w:t>
      </w:r>
      <w:r w:rsidR="001D5708" w:rsidRPr="006B6712">
        <w:rPr>
          <w:rFonts w:ascii="Times New Roman" w:hAnsi="Times New Roman" w:cs="Times New Roman"/>
          <w:sz w:val="24"/>
          <w:szCs w:val="24"/>
        </w:rPr>
        <w:t xml:space="preserve"> (6,8%)</w:t>
      </w:r>
      <w:r w:rsidR="00E03D26" w:rsidRPr="006B6712">
        <w:rPr>
          <w:rFonts w:ascii="Times New Roman" w:hAnsi="Times New Roman" w:cs="Times New Roman"/>
          <w:sz w:val="24"/>
          <w:szCs w:val="24"/>
        </w:rPr>
        <w:t>.</w:t>
      </w:r>
    </w:p>
    <w:p w:rsidR="00B232F2" w:rsidRPr="006B6712" w:rsidRDefault="00E03D26" w:rsidP="00B232F2">
      <w:pPr>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6248400" cy="57912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6E39" w:rsidRPr="006B6712" w:rsidRDefault="00B232F2" w:rsidP="00B232F2">
      <w:pPr>
        <w:ind w:firstLine="709"/>
        <w:rPr>
          <w:rFonts w:ascii="Times New Roman" w:hAnsi="Times New Roman" w:cs="Times New Roman"/>
          <w:b/>
          <w:sz w:val="24"/>
          <w:szCs w:val="24"/>
        </w:rPr>
      </w:pPr>
      <w:r w:rsidRPr="006B6712">
        <w:rPr>
          <w:rFonts w:ascii="Times New Roman" w:hAnsi="Times New Roman" w:cs="Times New Roman"/>
          <w:b/>
          <w:sz w:val="24"/>
          <w:szCs w:val="24"/>
        </w:rPr>
        <w:t>Рис. 3. Питома вага позитивних оцінок діяльності заінтересованих сторін стосовно проектування і розробки кваліфікацій в Україні, %.</w:t>
      </w:r>
    </w:p>
    <w:p w:rsidR="0003383D" w:rsidRPr="006B6712" w:rsidRDefault="0003383D" w:rsidP="00B232F2">
      <w:pPr>
        <w:ind w:firstLine="709"/>
        <w:rPr>
          <w:rFonts w:ascii="Times New Roman" w:hAnsi="Times New Roman" w:cs="Times New Roman"/>
          <w:sz w:val="24"/>
          <w:szCs w:val="24"/>
        </w:rPr>
      </w:pPr>
    </w:p>
    <w:p w:rsidR="0003383D" w:rsidRPr="006B6712" w:rsidRDefault="0003383D" w:rsidP="00B232F2">
      <w:pPr>
        <w:ind w:firstLine="709"/>
        <w:rPr>
          <w:rFonts w:ascii="Times New Roman" w:hAnsi="Times New Roman" w:cs="Times New Roman"/>
          <w:b/>
          <w:sz w:val="28"/>
          <w:szCs w:val="28"/>
        </w:rPr>
      </w:pPr>
      <w:r w:rsidRPr="006B6712">
        <w:rPr>
          <w:rFonts w:ascii="Times New Roman" w:hAnsi="Times New Roman" w:cs="Times New Roman"/>
          <w:b/>
          <w:sz w:val="28"/>
          <w:szCs w:val="28"/>
        </w:rPr>
        <w:t xml:space="preserve">4. Оцінювання перспектив </w:t>
      </w:r>
      <w:proofErr w:type="spellStart"/>
      <w:r w:rsidRPr="006B6712">
        <w:rPr>
          <w:rFonts w:ascii="Times New Roman" w:hAnsi="Times New Roman" w:cs="Times New Roman"/>
          <w:b/>
          <w:sz w:val="28"/>
          <w:szCs w:val="28"/>
        </w:rPr>
        <w:t>стейкхолдерів</w:t>
      </w:r>
      <w:proofErr w:type="spellEnd"/>
      <w:r w:rsidRPr="006B6712">
        <w:rPr>
          <w:rFonts w:ascii="Times New Roman" w:hAnsi="Times New Roman" w:cs="Times New Roman"/>
          <w:b/>
          <w:sz w:val="28"/>
          <w:szCs w:val="28"/>
        </w:rPr>
        <w:t xml:space="preserve"> у здійснені результативного внеску в проектуванн</w:t>
      </w:r>
      <w:r w:rsidR="00E16D62" w:rsidRPr="006B6712">
        <w:rPr>
          <w:rFonts w:ascii="Times New Roman" w:hAnsi="Times New Roman" w:cs="Times New Roman"/>
          <w:b/>
          <w:sz w:val="28"/>
          <w:szCs w:val="28"/>
        </w:rPr>
        <w:t>я</w:t>
      </w:r>
      <w:r w:rsidRPr="006B6712">
        <w:rPr>
          <w:rFonts w:ascii="Times New Roman" w:hAnsi="Times New Roman" w:cs="Times New Roman"/>
          <w:b/>
          <w:sz w:val="28"/>
          <w:szCs w:val="28"/>
        </w:rPr>
        <w:t xml:space="preserve"> і розроб</w:t>
      </w:r>
      <w:r w:rsidR="00E16D62" w:rsidRPr="006B6712">
        <w:rPr>
          <w:rFonts w:ascii="Times New Roman" w:hAnsi="Times New Roman" w:cs="Times New Roman"/>
          <w:b/>
          <w:sz w:val="28"/>
          <w:szCs w:val="28"/>
        </w:rPr>
        <w:t>ку</w:t>
      </w:r>
      <w:r w:rsidRPr="006B6712">
        <w:rPr>
          <w:rFonts w:ascii="Times New Roman" w:hAnsi="Times New Roman" w:cs="Times New Roman"/>
          <w:b/>
          <w:sz w:val="28"/>
          <w:szCs w:val="28"/>
        </w:rPr>
        <w:t xml:space="preserve"> кваліфікацій в Україні.</w:t>
      </w:r>
    </w:p>
    <w:p w:rsidR="0003383D" w:rsidRPr="006B6712" w:rsidRDefault="0003383D" w:rsidP="00B232F2">
      <w:pPr>
        <w:ind w:firstLine="709"/>
        <w:rPr>
          <w:rFonts w:ascii="Times New Roman" w:hAnsi="Times New Roman" w:cs="Times New Roman"/>
          <w:sz w:val="24"/>
          <w:szCs w:val="24"/>
        </w:rPr>
      </w:pPr>
      <w:r w:rsidRPr="006B6712">
        <w:rPr>
          <w:rFonts w:ascii="Times New Roman" w:hAnsi="Times New Roman" w:cs="Times New Roman"/>
          <w:sz w:val="24"/>
          <w:szCs w:val="24"/>
        </w:rPr>
        <w:t>Експертам було запропоновано оцінити значущість заінтересованих сторін у розбудові системи кваліфікацій в Україні. Слід зазначити, що респонденти вказують високі очікування до активної участі в майбутньому</w:t>
      </w:r>
      <w:r w:rsidR="00E16D62" w:rsidRPr="006B6712">
        <w:rPr>
          <w:rFonts w:ascii="Times New Roman" w:hAnsi="Times New Roman" w:cs="Times New Roman"/>
          <w:sz w:val="24"/>
          <w:szCs w:val="24"/>
        </w:rPr>
        <w:t xml:space="preserve"> для</w:t>
      </w:r>
      <w:r w:rsidRPr="006B6712">
        <w:rPr>
          <w:rFonts w:ascii="Times New Roman" w:hAnsi="Times New Roman" w:cs="Times New Roman"/>
          <w:sz w:val="24"/>
          <w:szCs w:val="24"/>
        </w:rPr>
        <w:t xml:space="preserve"> більшості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Тільки представникам мігрантів, іншим державним установам та торгово-промисловим палатам визначено менше третини позитивних індикаторів (11,4, 22,7 і 29,5% відповідно).</w:t>
      </w:r>
    </w:p>
    <w:p w:rsidR="0003383D" w:rsidRPr="006B6712" w:rsidRDefault="0003383D"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Найбільш високі очікування респонденти пов’язують із діяльністю </w:t>
      </w:r>
      <w:proofErr w:type="spellStart"/>
      <w:r w:rsidRPr="006B6712">
        <w:rPr>
          <w:rFonts w:ascii="Times New Roman" w:hAnsi="Times New Roman" w:cs="Times New Roman"/>
          <w:sz w:val="24"/>
          <w:szCs w:val="24"/>
        </w:rPr>
        <w:t>Мінсоцполітики</w:t>
      </w:r>
      <w:proofErr w:type="spellEnd"/>
      <w:r w:rsidRPr="006B6712">
        <w:rPr>
          <w:rFonts w:ascii="Times New Roman" w:hAnsi="Times New Roman" w:cs="Times New Roman"/>
          <w:sz w:val="24"/>
          <w:szCs w:val="24"/>
        </w:rPr>
        <w:t xml:space="preserve"> України, СПО роботодавців (по 84,1%), МОН України</w:t>
      </w:r>
      <w:r w:rsidR="00E16D62" w:rsidRPr="006B6712">
        <w:rPr>
          <w:rFonts w:ascii="Times New Roman" w:hAnsi="Times New Roman" w:cs="Times New Roman"/>
          <w:sz w:val="24"/>
          <w:szCs w:val="24"/>
        </w:rPr>
        <w:t>,</w:t>
      </w:r>
      <w:r w:rsidRPr="006B6712">
        <w:rPr>
          <w:rFonts w:ascii="Times New Roman" w:hAnsi="Times New Roman" w:cs="Times New Roman"/>
          <w:sz w:val="24"/>
          <w:szCs w:val="24"/>
        </w:rPr>
        <w:t xml:space="preserve"> Національного агентства з кваліфікацій, галузевих об’єднань роботодавців і профспілок (по 81,8%), професійних </w:t>
      </w:r>
      <w:r w:rsidRPr="006B6712">
        <w:rPr>
          <w:rFonts w:ascii="Times New Roman" w:hAnsi="Times New Roman" w:cs="Times New Roman"/>
          <w:sz w:val="24"/>
          <w:szCs w:val="24"/>
        </w:rPr>
        <w:lastRenderedPageBreak/>
        <w:t>об’єднань (79,5%), міжнародних організацій (77,3%), організацій, які присуджують кваліфікації, та наукових співробітників (по 72,7%).</w:t>
      </w:r>
    </w:p>
    <w:p w:rsidR="0003383D" w:rsidRPr="006B6712" w:rsidRDefault="0003383D"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Важливою характеристикою рівня очікування експертів від діяльності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у майбутньому виступа</w:t>
      </w:r>
      <w:r w:rsidR="00C45A5C" w:rsidRPr="006B6712">
        <w:rPr>
          <w:rFonts w:ascii="Times New Roman" w:hAnsi="Times New Roman" w:cs="Times New Roman"/>
          <w:sz w:val="24"/>
          <w:szCs w:val="24"/>
        </w:rPr>
        <w:t>є співвідношення цих оцінок із попередніми.</w:t>
      </w:r>
    </w:p>
    <w:p w:rsidR="00C45A5C" w:rsidRPr="006B6712" w:rsidRDefault="00C45A5C" w:rsidP="00B232F2">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За найвищими показниками приросту оцінок очікування до оцінювання фактичних результатів діяльності слід виділити таких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як:</w:t>
      </w:r>
    </w:p>
    <w:p w:rsidR="00C45A5C" w:rsidRPr="006B6712" w:rsidRDefault="00C45A5C" w:rsidP="00C45A5C">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торгово-промислові палати, Національне агентство з кваліфікацій, СПО об’єднань  профспілок, </w:t>
      </w:r>
      <w:r w:rsidR="00E16D62" w:rsidRPr="006B6712">
        <w:rPr>
          <w:rFonts w:ascii="Times New Roman" w:hAnsi="Times New Roman" w:cs="Times New Roman"/>
          <w:sz w:val="24"/>
          <w:szCs w:val="24"/>
        </w:rPr>
        <w:t xml:space="preserve">НАЗЯВО, галузеві об’єднання роботодавців і профспілок, </w:t>
      </w:r>
      <w:r w:rsidRPr="006B6712">
        <w:rPr>
          <w:rFonts w:ascii="Times New Roman" w:hAnsi="Times New Roman" w:cs="Times New Roman"/>
          <w:sz w:val="24"/>
          <w:szCs w:val="24"/>
        </w:rPr>
        <w:t xml:space="preserve">представники учнів і студентів (Рис.4). Звертаємо увагу на те, що саме представникам цих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(за оцінками експертів) необхідно плідно попрацювати, щоб виправдати виказану </w:t>
      </w:r>
      <w:r w:rsidR="00E16D62" w:rsidRPr="006B6712">
        <w:rPr>
          <w:rFonts w:ascii="Times New Roman" w:hAnsi="Times New Roman" w:cs="Times New Roman"/>
          <w:sz w:val="24"/>
          <w:szCs w:val="24"/>
        </w:rPr>
        <w:t xml:space="preserve"> їм </w:t>
      </w:r>
      <w:r w:rsidRPr="006B6712">
        <w:rPr>
          <w:rFonts w:ascii="Times New Roman" w:hAnsi="Times New Roman" w:cs="Times New Roman"/>
          <w:sz w:val="24"/>
          <w:szCs w:val="24"/>
        </w:rPr>
        <w:t>довіру та підтвердити позначені очікування.</w:t>
      </w:r>
    </w:p>
    <w:p w:rsidR="00B232F2" w:rsidRPr="006B6712" w:rsidRDefault="006D4804" w:rsidP="00B232F2">
      <w:pPr>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5486400" cy="42005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32F2" w:rsidRPr="006B6712" w:rsidRDefault="00676DD7" w:rsidP="00B232F2">
      <w:pPr>
        <w:ind w:firstLine="709"/>
        <w:rPr>
          <w:rFonts w:ascii="Times New Roman" w:hAnsi="Times New Roman" w:cs="Times New Roman"/>
          <w:sz w:val="24"/>
          <w:szCs w:val="24"/>
        </w:rPr>
      </w:pPr>
      <w:r w:rsidRPr="006B6712">
        <w:rPr>
          <w:rFonts w:ascii="Times New Roman" w:hAnsi="Times New Roman" w:cs="Times New Roman"/>
          <w:b/>
          <w:sz w:val="24"/>
          <w:szCs w:val="24"/>
        </w:rPr>
        <w:t xml:space="preserve">Рис. 4. Максимальні перевищення позитивних оцінок очікування над оцінками фактичної результативності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sz w:val="24"/>
          <w:szCs w:val="24"/>
        </w:rPr>
        <w:t>.</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Експерти, які визначили максимальну оцінку зацікавленим сторонам, які могли б здійснити результативний внесок у проектування і розробку кваліфікацій в Україні, конкретизували його (внесок) таким чином:</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w:t>
      </w:r>
      <w:proofErr w:type="spellStart"/>
      <w:r w:rsidRPr="006B6712">
        <w:rPr>
          <w:rFonts w:ascii="Times New Roman" w:hAnsi="Times New Roman" w:cs="Times New Roman"/>
          <w:sz w:val="24"/>
          <w:szCs w:val="24"/>
        </w:rPr>
        <w:t>Мінсоцполітики</w:t>
      </w:r>
      <w:proofErr w:type="spellEnd"/>
      <w:r w:rsidRPr="006B6712">
        <w:rPr>
          <w:rFonts w:ascii="Times New Roman" w:hAnsi="Times New Roman" w:cs="Times New Roman"/>
          <w:sz w:val="24"/>
          <w:szCs w:val="24"/>
        </w:rPr>
        <w:t xml:space="preserve"> – в частині оновлення </w:t>
      </w:r>
      <w:proofErr w:type="spellStart"/>
      <w:r w:rsidRPr="006B6712">
        <w:rPr>
          <w:rFonts w:ascii="Times New Roman" w:hAnsi="Times New Roman" w:cs="Times New Roman"/>
          <w:sz w:val="24"/>
          <w:szCs w:val="24"/>
        </w:rPr>
        <w:t>кваліфвимог</w:t>
      </w:r>
      <w:proofErr w:type="spellEnd"/>
      <w:r w:rsidRPr="006B6712">
        <w:rPr>
          <w:rFonts w:ascii="Times New Roman" w:hAnsi="Times New Roman" w:cs="Times New Roman"/>
          <w:sz w:val="24"/>
          <w:szCs w:val="24"/>
        </w:rPr>
        <w:t xml:space="preserve"> та Класифікатору професій; Мінекономіки, ФРУ, ТПП, професійні асоціації</w:t>
      </w:r>
      <w:r w:rsidR="006663ED" w:rsidRPr="006B6712">
        <w:rPr>
          <w:rFonts w:ascii="Times New Roman" w:hAnsi="Times New Roman" w:cs="Times New Roman"/>
          <w:sz w:val="24"/>
          <w:szCs w:val="24"/>
        </w:rPr>
        <w:t xml:space="preserve"> -</w:t>
      </w:r>
      <w:r w:rsidRPr="006B6712">
        <w:rPr>
          <w:rFonts w:ascii="Times New Roman" w:hAnsi="Times New Roman" w:cs="Times New Roman"/>
          <w:sz w:val="24"/>
          <w:szCs w:val="24"/>
        </w:rPr>
        <w:t xml:space="preserve"> стосовно формування системи визначення потреби в кваліфікаціях та їх створення;</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МОН, інші ЦОВВ – щодо створення нормативно-правової бази, проведення консультацій тощо;</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 xml:space="preserve">- усі разом – стосовно створення реального координатора, здатного послідовно і гнучко вести впродовж 4-5 років діяльність із формування </w:t>
      </w:r>
      <w:proofErr w:type="spellStart"/>
      <w:r w:rsidRPr="006B6712">
        <w:rPr>
          <w:rFonts w:ascii="Times New Roman" w:hAnsi="Times New Roman" w:cs="Times New Roman"/>
          <w:sz w:val="24"/>
          <w:szCs w:val="24"/>
        </w:rPr>
        <w:t>інстуціональної</w:t>
      </w:r>
      <w:proofErr w:type="spellEnd"/>
      <w:r w:rsidRPr="006B6712">
        <w:rPr>
          <w:rFonts w:ascii="Times New Roman" w:hAnsi="Times New Roman" w:cs="Times New Roman"/>
          <w:sz w:val="24"/>
          <w:szCs w:val="24"/>
        </w:rPr>
        <w:t xml:space="preserve"> структури НСК;</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Українська асоціація якості – щодо спроможності зробити внесок в частині специфічних знань щодо кваліфікацій у сфері сучасного менеджменту;</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незалежні органи сертифікації персоналу – стосовно можливості приймати участь у розробці, здійснювати оцінку та підтверджувати кваліфікації їхнім отримувачам</w:t>
      </w:r>
      <w:r w:rsidR="001D5723" w:rsidRPr="006B6712">
        <w:rPr>
          <w:rFonts w:ascii="Times New Roman" w:hAnsi="Times New Roman" w:cs="Times New Roman"/>
          <w:sz w:val="24"/>
          <w:szCs w:val="24"/>
        </w:rPr>
        <w:t xml:space="preserve"> </w:t>
      </w:r>
      <w:r w:rsidR="006663ED" w:rsidRPr="006B6712">
        <w:rPr>
          <w:rFonts w:ascii="Times New Roman" w:hAnsi="Times New Roman" w:cs="Times New Roman"/>
          <w:sz w:val="24"/>
          <w:szCs w:val="24"/>
        </w:rPr>
        <w:t xml:space="preserve">за </w:t>
      </w:r>
      <w:r w:rsidR="001D5723" w:rsidRPr="006B6712">
        <w:rPr>
          <w:rFonts w:ascii="Times New Roman" w:hAnsi="Times New Roman" w:cs="Times New Roman"/>
          <w:sz w:val="24"/>
          <w:szCs w:val="24"/>
        </w:rPr>
        <w:t>відповідними професіями / спеціальностями</w:t>
      </w:r>
      <w:r w:rsidRPr="006B6712">
        <w:rPr>
          <w:rFonts w:ascii="Times New Roman" w:hAnsi="Times New Roman" w:cs="Times New Roman"/>
          <w:sz w:val="24"/>
          <w:szCs w:val="24"/>
        </w:rPr>
        <w:t>, у т.ч. чере</w:t>
      </w:r>
      <w:r w:rsidR="001D5723" w:rsidRPr="006B6712">
        <w:rPr>
          <w:rFonts w:ascii="Times New Roman" w:hAnsi="Times New Roman" w:cs="Times New Roman"/>
          <w:sz w:val="24"/>
          <w:szCs w:val="24"/>
        </w:rPr>
        <w:t xml:space="preserve">з сертифікацію, яка </w:t>
      </w:r>
      <w:proofErr w:type="spellStart"/>
      <w:r w:rsidR="001D5723" w:rsidRPr="006B6712">
        <w:rPr>
          <w:rFonts w:ascii="Times New Roman" w:hAnsi="Times New Roman" w:cs="Times New Roman"/>
          <w:sz w:val="24"/>
          <w:szCs w:val="24"/>
        </w:rPr>
        <w:t>визнаається</w:t>
      </w:r>
      <w:proofErr w:type="spellEnd"/>
      <w:r w:rsidRPr="006B6712">
        <w:rPr>
          <w:rFonts w:ascii="Times New Roman" w:hAnsi="Times New Roman" w:cs="Times New Roman"/>
          <w:sz w:val="24"/>
          <w:szCs w:val="24"/>
        </w:rPr>
        <w:t xml:space="preserve"> в ЄС;</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професійні асоціації </w:t>
      </w:r>
      <w:r w:rsidR="001D5723" w:rsidRPr="006B6712">
        <w:rPr>
          <w:rFonts w:ascii="Times New Roman" w:hAnsi="Times New Roman" w:cs="Times New Roman"/>
          <w:sz w:val="24"/>
          <w:szCs w:val="24"/>
        </w:rPr>
        <w:t xml:space="preserve">– </w:t>
      </w:r>
      <w:r w:rsidRPr="006B6712">
        <w:rPr>
          <w:rFonts w:ascii="Times New Roman" w:hAnsi="Times New Roman" w:cs="Times New Roman"/>
          <w:sz w:val="24"/>
          <w:szCs w:val="24"/>
        </w:rPr>
        <w:t xml:space="preserve">в частині розробки </w:t>
      </w:r>
      <w:proofErr w:type="spellStart"/>
      <w:r w:rsidRPr="006B6712">
        <w:rPr>
          <w:rFonts w:ascii="Times New Roman" w:hAnsi="Times New Roman" w:cs="Times New Roman"/>
          <w:sz w:val="24"/>
          <w:szCs w:val="24"/>
        </w:rPr>
        <w:t>профстандартів</w:t>
      </w:r>
      <w:proofErr w:type="spellEnd"/>
      <w:r w:rsidRPr="006B6712">
        <w:rPr>
          <w:rFonts w:ascii="Times New Roman" w:hAnsi="Times New Roman" w:cs="Times New Roman"/>
          <w:sz w:val="24"/>
          <w:szCs w:val="24"/>
        </w:rPr>
        <w:t xml:space="preserve"> та розвитку мережі центрів з оцінювання професійних кваліфікацій;</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органи державної влади </w:t>
      </w:r>
      <w:r w:rsidR="00862BAE" w:rsidRPr="006B6712">
        <w:rPr>
          <w:rFonts w:ascii="Times New Roman" w:hAnsi="Times New Roman" w:cs="Times New Roman"/>
          <w:sz w:val="24"/>
          <w:szCs w:val="24"/>
        </w:rPr>
        <w:t xml:space="preserve">– щодо </w:t>
      </w:r>
      <w:proofErr w:type="spellStart"/>
      <w:r w:rsidRPr="006B6712">
        <w:rPr>
          <w:rFonts w:ascii="Times New Roman" w:hAnsi="Times New Roman" w:cs="Times New Roman"/>
          <w:sz w:val="24"/>
          <w:szCs w:val="24"/>
        </w:rPr>
        <w:t>координ</w:t>
      </w:r>
      <w:r w:rsidR="00862BAE" w:rsidRPr="006B6712">
        <w:rPr>
          <w:rFonts w:ascii="Times New Roman" w:hAnsi="Times New Roman" w:cs="Times New Roman"/>
          <w:sz w:val="24"/>
          <w:szCs w:val="24"/>
        </w:rPr>
        <w:t>ацїї</w:t>
      </w:r>
      <w:proofErr w:type="spellEnd"/>
      <w:r w:rsidR="001170C2" w:rsidRPr="006B6712">
        <w:rPr>
          <w:rFonts w:ascii="Times New Roman" w:hAnsi="Times New Roman" w:cs="Times New Roman"/>
          <w:sz w:val="24"/>
          <w:szCs w:val="24"/>
        </w:rPr>
        <w:t>, надання повноважень, виділення коштів</w:t>
      </w:r>
      <w:r w:rsidRPr="006B6712">
        <w:rPr>
          <w:rFonts w:ascii="Times New Roman" w:hAnsi="Times New Roman" w:cs="Times New Roman"/>
          <w:sz w:val="24"/>
          <w:szCs w:val="24"/>
        </w:rPr>
        <w:t xml:space="preserve">, </w:t>
      </w:r>
      <w:r w:rsidR="001170C2" w:rsidRPr="006B6712">
        <w:rPr>
          <w:rFonts w:ascii="Times New Roman" w:hAnsi="Times New Roman" w:cs="Times New Roman"/>
          <w:sz w:val="24"/>
          <w:szCs w:val="24"/>
        </w:rPr>
        <w:t>відповідальності</w:t>
      </w:r>
      <w:r w:rsidRPr="006B6712">
        <w:rPr>
          <w:rFonts w:ascii="Times New Roman" w:hAnsi="Times New Roman" w:cs="Times New Roman"/>
          <w:sz w:val="24"/>
          <w:szCs w:val="24"/>
        </w:rPr>
        <w:t>, залуч</w:t>
      </w:r>
      <w:r w:rsidR="001170C2" w:rsidRPr="006B6712">
        <w:rPr>
          <w:rFonts w:ascii="Times New Roman" w:hAnsi="Times New Roman" w:cs="Times New Roman"/>
          <w:sz w:val="24"/>
          <w:szCs w:val="24"/>
        </w:rPr>
        <w:t>ення</w:t>
      </w:r>
      <w:r w:rsidR="006663ED" w:rsidRPr="006B6712">
        <w:rPr>
          <w:rFonts w:ascii="Times New Roman" w:hAnsi="Times New Roman" w:cs="Times New Roman"/>
          <w:sz w:val="24"/>
          <w:szCs w:val="24"/>
        </w:rPr>
        <w:t xml:space="preserve"> </w:t>
      </w:r>
      <w:r w:rsidR="001170C2" w:rsidRPr="006B6712">
        <w:rPr>
          <w:rFonts w:ascii="Times New Roman" w:hAnsi="Times New Roman" w:cs="Times New Roman"/>
          <w:sz w:val="24"/>
          <w:szCs w:val="24"/>
        </w:rPr>
        <w:t xml:space="preserve">лідерів до створення НСК; </w:t>
      </w:r>
      <w:r w:rsidRPr="006B6712">
        <w:rPr>
          <w:rFonts w:ascii="Times New Roman" w:hAnsi="Times New Roman" w:cs="Times New Roman"/>
          <w:sz w:val="24"/>
          <w:szCs w:val="24"/>
        </w:rPr>
        <w:t xml:space="preserve">незалежні організації та фахівці – </w:t>
      </w:r>
      <w:r w:rsidR="001170C2" w:rsidRPr="006B6712">
        <w:rPr>
          <w:rFonts w:ascii="Times New Roman" w:hAnsi="Times New Roman" w:cs="Times New Roman"/>
          <w:sz w:val="24"/>
          <w:szCs w:val="24"/>
        </w:rPr>
        <w:t>передавання свого</w:t>
      </w:r>
      <w:r w:rsidRPr="006B6712">
        <w:rPr>
          <w:rFonts w:ascii="Times New Roman" w:hAnsi="Times New Roman" w:cs="Times New Roman"/>
          <w:sz w:val="24"/>
          <w:szCs w:val="24"/>
        </w:rPr>
        <w:t xml:space="preserve"> досвід</w:t>
      </w:r>
      <w:r w:rsidR="001170C2" w:rsidRPr="006B6712">
        <w:rPr>
          <w:rFonts w:ascii="Times New Roman" w:hAnsi="Times New Roman" w:cs="Times New Roman"/>
          <w:sz w:val="24"/>
          <w:szCs w:val="24"/>
        </w:rPr>
        <w:t>у</w:t>
      </w:r>
      <w:r w:rsidRPr="006B6712">
        <w:rPr>
          <w:rFonts w:ascii="Times New Roman" w:hAnsi="Times New Roman" w:cs="Times New Roman"/>
          <w:sz w:val="24"/>
          <w:szCs w:val="24"/>
        </w:rPr>
        <w:t xml:space="preserve">, </w:t>
      </w:r>
      <w:r w:rsidR="001170C2" w:rsidRPr="006B6712">
        <w:rPr>
          <w:rFonts w:ascii="Times New Roman" w:hAnsi="Times New Roman" w:cs="Times New Roman"/>
          <w:sz w:val="24"/>
          <w:szCs w:val="24"/>
        </w:rPr>
        <w:t>надання людських ресурсів, відповідальності</w:t>
      </w:r>
      <w:r w:rsidRPr="006B6712">
        <w:rPr>
          <w:rFonts w:ascii="Times New Roman" w:hAnsi="Times New Roman" w:cs="Times New Roman"/>
          <w:sz w:val="24"/>
          <w:szCs w:val="24"/>
        </w:rPr>
        <w:t xml:space="preserve"> за напрямки діяльності;</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усі визначені </w:t>
      </w:r>
      <w:proofErr w:type="spellStart"/>
      <w:r w:rsidRPr="006B6712">
        <w:rPr>
          <w:rFonts w:ascii="Times New Roman" w:hAnsi="Times New Roman" w:cs="Times New Roman"/>
          <w:sz w:val="24"/>
          <w:szCs w:val="24"/>
        </w:rPr>
        <w:t>стейкхолдери</w:t>
      </w:r>
      <w:proofErr w:type="spellEnd"/>
      <w:r w:rsidRPr="006B6712">
        <w:rPr>
          <w:rFonts w:ascii="Times New Roman" w:hAnsi="Times New Roman" w:cs="Times New Roman"/>
          <w:sz w:val="24"/>
          <w:szCs w:val="24"/>
        </w:rPr>
        <w:t xml:space="preserve"> </w:t>
      </w:r>
      <w:r w:rsidR="001170C2" w:rsidRPr="006B6712">
        <w:rPr>
          <w:rFonts w:ascii="Times New Roman" w:hAnsi="Times New Roman" w:cs="Times New Roman"/>
          <w:sz w:val="24"/>
          <w:szCs w:val="24"/>
        </w:rPr>
        <w:t>– щодо прийняття участі</w:t>
      </w:r>
      <w:r w:rsidRPr="006B6712">
        <w:rPr>
          <w:rFonts w:ascii="Times New Roman" w:hAnsi="Times New Roman" w:cs="Times New Roman"/>
          <w:sz w:val="24"/>
          <w:szCs w:val="24"/>
        </w:rPr>
        <w:t xml:space="preserve"> у всіх заходах із розбудови НСК, виписаних у проекті Плану;</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МОН </w:t>
      </w:r>
      <w:r w:rsidR="001170C2" w:rsidRPr="006B6712">
        <w:rPr>
          <w:rFonts w:ascii="Times New Roman" w:hAnsi="Times New Roman" w:cs="Times New Roman"/>
          <w:sz w:val="24"/>
          <w:szCs w:val="24"/>
        </w:rPr>
        <w:t xml:space="preserve">– </w:t>
      </w:r>
      <w:r w:rsidRPr="006B6712">
        <w:rPr>
          <w:rFonts w:ascii="Times New Roman" w:hAnsi="Times New Roman" w:cs="Times New Roman"/>
          <w:sz w:val="24"/>
          <w:szCs w:val="24"/>
        </w:rPr>
        <w:t xml:space="preserve">в частині інтеграції (об’єднання, укрупнення) навчальних закладів навколо найбільш успішних і передових </w:t>
      </w:r>
      <w:proofErr w:type="spellStart"/>
      <w:r w:rsidRPr="006B6712">
        <w:rPr>
          <w:rFonts w:ascii="Times New Roman" w:hAnsi="Times New Roman" w:cs="Times New Roman"/>
          <w:sz w:val="24"/>
          <w:szCs w:val="24"/>
        </w:rPr>
        <w:t>ВНЗів</w:t>
      </w:r>
      <w:proofErr w:type="spellEnd"/>
      <w:r w:rsidRPr="006B6712">
        <w:rPr>
          <w:rFonts w:ascii="Times New Roman" w:hAnsi="Times New Roman" w:cs="Times New Roman"/>
          <w:sz w:val="24"/>
          <w:szCs w:val="24"/>
        </w:rPr>
        <w:t xml:space="preserve"> за регіональною ознакою;</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w:t>
      </w:r>
      <w:r w:rsidR="001170C2" w:rsidRPr="006B6712">
        <w:rPr>
          <w:rFonts w:ascii="Times New Roman" w:hAnsi="Times New Roman" w:cs="Times New Roman"/>
          <w:sz w:val="24"/>
          <w:szCs w:val="24"/>
        </w:rPr>
        <w:t xml:space="preserve">усі разом – стосовно </w:t>
      </w:r>
      <w:r w:rsidRPr="006B6712">
        <w:rPr>
          <w:rFonts w:ascii="Times New Roman" w:hAnsi="Times New Roman" w:cs="Times New Roman"/>
          <w:sz w:val="24"/>
          <w:szCs w:val="24"/>
        </w:rPr>
        <w:t>обмін</w:t>
      </w:r>
      <w:r w:rsidR="001170C2" w:rsidRPr="006B6712">
        <w:rPr>
          <w:rFonts w:ascii="Times New Roman" w:hAnsi="Times New Roman" w:cs="Times New Roman"/>
          <w:sz w:val="24"/>
          <w:szCs w:val="24"/>
        </w:rPr>
        <w:t>у</w:t>
      </w:r>
      <w:r w:rsidRPr="006B6712">
        <w:rPr>
          <w:rFonts w:ascii="Times New Roman" w:hAnsi="Times New Roman" w:cs="Times New Roman"/>
          <w:sz w:val="24"/>
          <w:szCs w:val="24"/>
        </w:rPr>
        <w:t xml:space="preserve"> досвідом, у т.ч. міжнародним, вивчення наукових, практичних, пошуково-дослідницьких засад створення системи кваліфікацій, оцінювання результативності визначення перших професійних кваліф</w:t>
      </w:r>
      <w:r w:rsidR="001170C2" w:rsidRPr="006B6712">
        <w:rPr>
          <w:rFonts w:ascii="Times New Roman" w:hAnsi="Times New Roman" w:cs="Times New Roman"/>
          <w:sz w:val="24"/>
          <w:szCs w:val="24"/>
        </w:rPr>
        <w:t>ікацій, запроваджених в Україні, аналіз існуючого стану справ, міжнародного досвіду.</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Серед наявних потреб щодо розвитку потенціалу цієї групи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експерти виділяють:</w:t>
      </w:r>
    </w:p>
    <w:p w:rsidR="001170C2" w:rsidRPr="006B6712" w:rsidRDefault="001170C2"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законодавче визнання професійних організацій, в т.ч. тих, що є членами міжнародних професійних організацій</w:t>
      </w:r>
      <w:r w:rsidR="006663ED" w:rsidRPr="006B6712">
        <w:rPr>
          <w:rFonts w:ascii="Times New Roman" w:hAnsi="Times New Roman" w:cs="Times New Roman"/>
          <w:sz w:val="24"/>
          <w:szCs w:val="24"/>
        </w:rPr>
        <w:t>,</w:t>
      </w:r>
      <w:r w:rsidRPr="006B6712">
        <w:rPr>
          <w:rFonts w:ascii="Times New Roman" w:hAnsi="Times New Roman" w:cs="Times New Roman"/>
          <w:sz w:val="24"/>
          <w:szCs w:val="24"/>
        </w:rPr>
        <w:t xml:space="preserve"> як учасників впливу на формування професійних </w:t>
      </w:r>
      <w:proofErr w:type="spellStart"/>
      <w:r w:rsidRPr="006B6712">
        <w:rPr>
          <w:rFonts w:ascii="Times New Roman" w:hAnsi="Times New Roman" w:cs="Times New Roman"/>
          <w:sz w:val="24"/>
          <w:szCs w:val="24"/>
        </w:rPr>
        <w:t>компетентностей</w:t>
      </w:r>
      <w:proofErr w:type="spellEnd"/>
      <w:r w:rsidRPr="006B6712">
        <w:rPr>
          <w:rFonts w:ascii="Times New Roman" w:hAnsi="Times New Roman" w:cs="Times New Roman"/>
          <w:sz w:val="24"/>
          <w:szCs w:val="24"/>
        </w:rPr>
        <w:t xml:space="preserve"> у процесі отримання вищої та професійної освіти;</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підтримку на протязі початкового періоду в організаційно-інституціональних питаннях;</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розширення кількості учасників, створення груп (мережі) за профільним</w:t>
      </w:r>
      <w:r w:rsidR="006663ED" w:rsidRPr="006B6712">
        <w:rPr>
          <w:rFonts w:ascii="Times New Roman" w:hAnsi="Times New Roman" w:cs="Times New Roman"/>
          <w:sz w:val="24"/>
          <w:szCs w:val="24"/>
        </w:rPr>
        <w:t>и</w:t>
      </w:r>
      <w:r w:rsidRPr="006B6712">
        <w:rPr>
          <w:rFonts w:ascii="Times New Roman" w:hAnsi="Times New Roman" w:cs="Times New Roman"/>
          <w:sz w:val="24"/>
          <w:szCs w:val="24"/>
        </w:rPr>
        <w:t xml:space="preserve"> професійним</w:t>
      </w:r>
      <w:r w:rsidR="006663ED" w:rsidRPr="006B6712">
        <w:rPr>
          <w:rFonts w:ascii="Times New Roman" w:hAnsi="Times New Roman" w:cs="Times New Roman"/>
          <w:sz w:val="24"/>
          <w:szCs w:val="24"/>
        </w:rPr>
        <w:t>и</w:t>
      </w:r>
      <w:r w:rsidRPr="006B6712">
        <w:rPr>
          <w:rFonts w:ascii="Times New Roman" w:hAnsi="Times New Roman" w:cs="Times New Roman"/>
          <w:sz w:val="24"/>
          <w:szCs w:val="24"/>
        </w:rPr>
        <w:t xml:space="preserve"> спрямуванням</w:t>
      </w:r>
      <w:r w:rsidR="006663ED" w:rsidRPr="006B6712">
        <w:rPr>
          <w:rFonts w:ascii="Times New Roman" w:hAnsi="Times New Roman" w:cs="Times New Roman"/>
          <w:sz w:val="24"/>
          <w:szCs w:val="24"/>
        </w:rPr>
        <w:t>и</w:t>
      </w:r>
      <w:r w:rsidRPr="006B6712">
        <w:rPr>
          <w:rFonts w:ascii="Times New Roman" w:hAnsi="Times New Roman" w:cs="Times New Roman"/>
          <w:sz w:val="24"/>
          <w:szCs w:val="24"/>
        </w:rPr>
        <w:t>;</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надання інформаційно-методичних та методологічних матеріалів відповідного спрямування;</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фінансова підтримка з боку держави, принаймні, перші 5 років функціонування НСК;</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формування в Україні державного розуміння, центру відповідальності та достатнього фінансування реформи системи кваліфікацій;</w:t>
      </w:r>
    </w:p>
    <w:p w:rsidR="001E76D5" w:rsidRPr="006B6712" w:rsidRDefault="001E76D5" w:rsidP="001E76D5">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створення єдиної мережі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w:t>
      </w:r>
    </w:p>
    <w:p w:rsidR="001170C2" w:rsidRPr="006B6712" w:rsidRDefault="001E76D5" w:rsidP="001170C2">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переформатування частини </w:t>
      </w:r>
      <w:proofErr w:type="spellStart"/>
      <w:r w:rsidRPr="006B6712">
        <w:rPr>
          <w:rFonts w:ascii="Times New Roman" w:hAnsi="Times New Roman" w:cs="Times New Roman"/>
          <w:sz w:val="24"/>
          <w:szCs w:val="24"/>
        </w:rPr>
        <w:t>Мі</w:t>
      </w:r>
      <w:r w:rsidR="001170C2" w:rsidRPr="006B6712">
        <w:rPr>
          <w:rFonts w:ascii="Times New Roman" w:hAnsi="Times New Roman" w:cs="Times New Roman"/>
          <w:sz w:val="24"/>
          <w:szCs w:val="24"/>
        </w:rPr>
        <w:t>нсоцполітики</w:t>
      </w:r>
      <w:proofErr w:type="spellEnd"/>
      <w:r w:rsidR="001170C2" w:rsidRPr="006B6712">
        <w:rPr>
          <w:rFonts w:ascii="Times New Roman" w:hAnsi="Times New Roman" w:cs="Times New Roman"/>
          <w:sz w:val="24"/>
          <w:szCs w:val="24"/>
        </w:rPr>
        <w:t xml:space="preserve"> в Мінпраці України;</w:t>
      </w:r>
    </w:p>
    <w:p w:rsidR="001170C2" w:rsidRPr="006B6712" w:rsidRDefault="001170C2" w:rsidP="001170C2">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навчання експертів у сфері кваліфікацій;</w:t>
      </w:r>
    </w:p>
    <w:p w:rsidR="007F6710" w:rsidRPr="006B6712" w:rsidRDefault="001170C2" w:rsidP="001170C2">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 xml:space="preserve">- досягнення порозуміння між ключовими </w:t>
      </w:r>
      <w:proofErr w:type="spellStart"/>
      <w:r w:rsidRPr="006B6712">
        <w:rPr>
          <w:rFonts w:ascii="Times New Roman" w:hAnsi="Times New Roman" w:cs="Times New Roman"/>
          <w:sz w:val="24"/>
          <w:szCs w:val="24"/>
        </w:rPr>
        <w:t>стейкхолдерами</w:t>
      </w:r>
      <w:proofErr w:type="spellEnd"/>
      <w:r w:rsidRPr="006B6712">
        <w:rPr>
          <w:rFonts w:ascii="Times New Roman" w:hAnsi="Times New Roman" w:cs="Times New Roman"/>
          <w:sz w:val="24"/>
          <w:szCs w:val="24"/>
        </w:rPr>
        <w:t xml:space="preserve"> процесу. </w:t>
      </w:r>
    </w:p>
    <w:p w:rsidR="007F6710" w:rsidRPr="006B6712" w:rsidRDefault="007F6710" w:rsidP="007F6710">
      <w:pPr>
        <w:rPr>
          <w:rFonts w:ascii="Times New Roman" w:hAnsi="Times New Roman" w:cs="Times New Roman"/>
          <w:sz w:val="24"/>
          <w:szCs w:val="24"/>
        </w:rPr>
      </w:pPr>
    </w:p>
    <w:p w:rsidR="003E10D4" w:rsidRPr="006B6712" w:rsidRDefault="003E10D4" w:rsidP="007F6710">
      <w:pPr>
        <w:rPr>
          <w:rFonts w:ascii="Times New Roman" w:hAnsi="Times New Roman" w:cs="Times New Roman"/>
          <w:sz w:val="24"/>
          <w:szCs w:val="24"/>
        </w:rPr>
      </w:pPr>
    </w:p>
    <w:p w:rsidR="001E76D5" w:rsidRPr="006B6712" w:rsidRDefault="007F6710" w:rsidP="00E17175">
      <w:pPr>
        <w:ind w:firstLine="709"/>
        <w:rPr>
          <w:rFonts w:ascii="Times New Roman" w:hAnsi="Times New Roman" w:cs="Times New Roman"/>
          <w:b/>
          <w:sz w:val="28"/>
          <w:szCs w:val="28"/>
        </w:rPr>
      </w:pPr>
      <w:r w:rsidRPr="006B6712">
        <w:rPr>
          <w:rFonts w:ascii="Times New Roman" w:hAnsi="Times New Roman" w:cs="Times New Roman"/>
          <w:b/>
          <w:sz w:val="28"/>
          <w:szCs w:val="28"/>
        </w:rPr>
        <w:t>5. Складання карти інтересів зацікавлених сторін.</w:t>
      </w:r>
    </w:p>
    <w:p w:rsidR="007F6710" w:rsidRPr="006B6712" w:rsidRDefault="007F6710" w:rsidP="00E17175">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У цьому блоці, який складається із 7 запитань, експертам було запропоновано дати оцінку фактичного стану </w:t>
      </w:r>
      <w:r w:rsidR="006663ED" w:rsidRPr="006B6712">
        <w:rPr>
          <w:rFonts w:ascii="Times New Roman" w:hAnsi="Times New Roman" w:cs="Times New Roman"/>
          <w:sz w:val="24"/>
          <w:szCs w:val="24"/>
        </w:rPr>
        <w:t>справ із</w:t>
      </w:r>
      <w:r w:rsidRPr="006B6712">
        <w:rPr>
          <w:rFonts w:ascii="Times New Roman" w:hAnsi="Times New Roman" w:cs="Times New Roman"/>
          <w:sz w:val="24"/>
          <w:szCs w:val="24"/>
        </w:rPr>
        <w:t xml:space="preserve"> кваліфікаціями в Україні. Більшість представників, незалежно від їх</w:t>
      </w:r>
      <w:r w:rsidR="00D963E4" w:rsidRPr="006B6712">
        <w:rPr>
          <w:rFonts w:ascii="Times New Roman" w:hAnsi="Times New Roman" w:cs="Times New Roman"/>
          <w:sz w:val="24"/>
          <w:szCs w:val="24"/>
        </w:rPr>
        <w:t>нього</w:t>
      </w:r>
      <w:r w:rsidRPr="006B6712">
        <w:rPr>
          <w:rFonts w:ascii="Times New Roman" w:hAnsi="Times New Roman" w:cs="Times New Roman"/>
          <w:sz w:val="24"/>
          <w:szCs w:val="24"/>
        </w:rPr>
        <w:t xml:space="preserve"> відношення до тієї чи іншої групи, в цілому дають низьку оцінку цьому процесу в Україні.</w:t>
      </w:r>
    </w:p>
    <w:p w:rsidR="007F6710" w:rsidRPr="006B6712" w:rsidRDefault="007F6710" w:rsidP="00E17175">
      <w:pPr>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визначено всі відповідні зацікавлені сторони у розвитку кваліфікацій в Україні?» відповіді розподілилися наступним чином (Рис. 5).</w:t>
      </w:r>
    </w:p>
    <w:p w:rsidR="003841C0" w:rsidRPr="006B6712" w:rsidRDefault="007F6710" w:rsidP="00E17175">
      <w:pPr>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41C0" w:rsidRPr="006B6712" w:rsidRDefault="003841C0" w:rsidP="00E17175">
      <w:pPr>
        <w:tabs>
          <w:tab w:val="left" w:pos="3630"/>
        </w:tabs>
        <w:ind w:firstLine="709"/>
        <w:rPr>
          <w:rFonts w:ascii="Times New Roman" w:hAnsi="Times New Roman" w:cs="Times New Roman"/>
          <w:sz w:val="24"/>
          <w:szCs w:val="24"/>
        </w:rPr>
      </w:pPr>
      <w:r w:rsidRPr="006B6712">
        <w:rPr>
          <w:rFonts w:ascii="Times New Roman" w:hAnsi="Times New Roman" w:cs="Times New Roman"/>
          <w:sz w:val="24"/>
          <w:szCs w:val="24"/>
        </w:rPr>
        <w:t>Рис</w:t>
      </w:r>
      <w:r w:rsidRPr="006B6712">
        <w:rPr>
          <w:rFonts w:ascii="Times New Roman" w:hAnsi="Times New Roman" w:cs="Times New Roman"/>
          <w:b/>
          <w:sz w:val="24"/>
          <w:szCs w:val="24"/>
        </w:rPr>
        <w:t xml:space="preserve">. 5 Розподіл оцінок стану з відбором (підбором)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w:t>
      </w:r>
    </w:p>
    <w:p w:rsidR="003841C0" w:rsidRPr="006B6712" w:rsidRDefault="003841C0" w:rsidP="00E17175">
      <w:pPr>
        <w:tabs>
          <w:tab w:val="left" w:pos="3630"/>
        </w:tabs>
        <w:ind w:firstLine="709"/>
        <w:rPr>
          <w:rFonts w:ascii="Times New Roman" w:hAnsi="Times New Roman" w:cs="Times New Roman"/>
          <w:sz w:val="24"/>
          <w:szCs w:val="24"/>
        </w:rPr>
      </w:pPr>
      <w:r w:rsidRPr="006B6712">
        <w:rPr>
          <w:rFonts w:ascii="Times New Roman" w:hAnsi="Times New Roman" w:cs="Times New Roman"/>
          <w:sz w:val="24"/>
          <w:szCs w:val="24"/>
        </w:rPr>
        <w:t>Оцінка респондентами наявності формальної процедури вивчення потреб та інтересів заінтересованих сторін показана на Рис. 6.</w:t>
      </w:r>
    </w:p>
    <w:p w:rsidR="007F6710" w:rsidRPr="006B6712" w:rsidRDefault="003841C0" w:rsidP="00E17175">
      <w:pPr>
        <w:tabs>
          <w:tab w:val="left" w:pos="3630"/>
        </w:tabs>
        <w:ind w:firstLine="709"/>
        <w:rPr>
          <w:rFonts w:ascii="Times New Roman" w:hAnsi="Times New Roman" w:cs="Times New Roman"/>
          <w:sz w:val="24"/>
          <w:szCs w:val="24"/>
        </w:rPr>
      </w:pPr>
      <w:r w:rsidRPr="006B6712">
        <w:rPr>
          <w:rFonts w:ascii="Times New Roman" w:hAnsi="Times New Roman" w:cs="Times New Roman"/>
          <w:sz w:val="24"/>
          <w:szCs w:val="24"/>
        </w:rPr>
        <w:tab/>
      </w:r>
      <w:r w:rsidRPr="006B6712">
        <w:rPr>
          <w:rFonts w:ascii="Times New Roman" w:hAnsi="Times New Roman" w:cs="Times New Roman"/>
          <w:noProof/>
          <w:sz w:val="24"/>
          <w:szCs w:val="24"/>
        </w:rPr>
        <w:drawing>
          <wp:inline distT="0" distB="0" distL="0" distR="0">
            <wp:extent cx="3990975" cy="2495550"/>
            <wp:effectExtent l="19050" t="0" r="9525"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41C0" w:rsidRPr="006B6712" w:rsidRDefault="00224420" w:rsidP="00E17175">
      <w:pPr>
        <w:tabs>
          <w:tab w:val="left" w:pos="3630"/>
        </w:tabs>
        <w:ind w:firstLine="709"/>
        <w:rPr>
          <w:rFonts w:ascii="Times New Roman" w:hAnsi="Times New Roman" w:cs="Times New Roman"/>
          <w:b/>
          <w:sz w:val="24"/>
          <w:szCs w:val="24"/>
        </w:rPr>
      </w:pPr>
      <w:r w:rsidRPr="006B6712">
        <w:rPr>
          <w:rFonts w:ascii="Times New Roman" w:hAnsi="Times New Roman" w:cs="Times New Roman"/>
          <w:b/>
          <w:sz w:val="24"/>
          <w:szCs w:val="24"/>
        </w:rPr>
        <w:lastRenderedPageBreak/>
        <w:t xml:space="preserve">Рис. 6. Розподіл відповідей експертів щодо наявності в Україні формальної процедури вивчення потреб та інтересів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w:t>
      </w:r>
    </w:p>
    <w:p w:rsidR="00E17175" w:rsidRPr="006B6712" w:rsidRDefault="00E17175" w:rsidP="00E17175">
      <w:pPr>
        <w:tabs>
          <w:tab w:val="left" w:pos="3630"/>
        </w:tabs>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вивчення потреб та інтересів заінтересованих сторін проводиться періодично?» експерти відповіли наступним чином (Рис. 7).</w:t>
      </w:r>
    </w:p>
    <w:p w:rsidR="00E17175" w:rsidRPr="006B6712" w:rsidRDefault="00E17175" w:rsidP="00E17175">
      <w:pPr>
        <w:tabs>
          <w:tab w:val="left" w:pos="3630"/>
        </w:tabs>
        <w:ind w:firstLine="709"/>
        <w:rPr>
          <w:rFonts w:ascii="Times New Roman" w:hAnsi="Times New Roman" w:cs="Times New Roman"/>
          <w:sz w:val="24"/>
          <w:szCs w:val="24"/>
        </w:rPr>
      </w:pPr>
    </w:p>
    <w:p w:rsidR="00E17175" w:rsidRPr="006B6712" w:rsidRDefault="00E17175" w:rsidP="00E17175">
      <w:pPr>
        <w:tabs>
          <w:tab w:val="left" w:pos="3630"/>
        </w:tabs>
        <w:ind w:firstLine="709"/>
        <w:rPr>
          <w:rFonts w:ascii="Times New Roman" w:hAnsi="Times New Roman" w:cs="Times New Roman"/>
          <w:sz w:val="24"/>
          <w:szCs w:val="24"/>
        </w:rPr>
      </w:pPr>
    </w:p>
    <w:p w:rsidR="00044135" w:rsidRPr="006B6712" w:rsidRDefault="00E17175" w:rsidP="00E17175">
      <w:pPr>
        <w:tabs>
          <w:tab w:val="left" w:pos="3630"/>
        </w:tabs>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7175" w:rsidRPr="006B6712" w:rsidRDefault="00044135" w:rsidP="00044135">
      <w:pPr>
        <w:tabs>
          <w:tab w:val="left" w:pos="0"/>
        </w:tabs>
        <w:rPr>
          <w:rFonts w:ascii="Times New Roman" w:hAnsi="Times New Roman" w:cs="Times New Roman"/>
          <w:b/>
          <w:sz w:val="24"/>
          <w:szCs w:val="24"/>
        </w:rPr>
      </w:pPr>
      <w:r w:rsidRPr="006B6712">
        <w:rPr>
          <w:rFonts w:ascii="Times New Roman" w:hAnsi="Times New Roman" w:cs="Times New Roman"/>
          <w:sz w:val="24"/>
          <w:szCs w:val="24"/>
        </w:rPr>
        <w:tab/>
      </w:r>
      <w:r w:rsidRPr="006B6712">
        <w:rPr>
          <w:rFonts w:ascii="Times New Roman" w:hAnsi="Times New Roman" w:cs="Times New Roman"/>
          <w:b/>
          <w:sz w:val="24"/>
          <w:szCs w:val="24"/>
        </w:rPr>
        <w:t xml:space="preserve">Рис. 7. Розподіл відповідей респондентів стосовно періодичності вивчення потреб та інтересів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w:t>
      </w:r>
    </w:p>
    <w:p w:rsidR="00044135" w:rsidRPr="006B6712" w:rsidRDefault="00044135" w:rsidP="00044135">
      <w:pPr>
        <w:tabs>
          <w:tab w:val="left" w:pos="3195"/>
        </w:tabs>
        <w:ind w:firstLine="709"/>
        <w:rPr>
          <w:rFonts w:ascii="Times New Roman" w:hAnsi="Times New Roman" w:cs="Times New Roman"/>
          <w:sz w:val="24"/>
          <w:szCs w:val="24"/>
        </w:rPr>
      </w:pPr>
      <w:r w:rsidRPr="006B6712">
        <w:rPr>
          <w:rFonts w:ascii="Times New Roman" w:hAnsi="Times New Roman" w:cs="Times New Roman"/>
          <w:sz w:val="24"/>
          <w:szCs w:val="24"/>
        </w:rPr>
        <w:t>Результати оцінювання експертами зорієнтованості комунікацій та інших засобів інформування на різні групи заінтересованих сторін показані на Рис. 8.</w:t>
      </w:r>
    </w:p>
    <w:p w:rsidR="00044135" w:rsidRPr="006B6712" w:rsidRDefault="00044135" w:rsidP="00044135">
      <w:pPr>
        <w:tabs>
          <w:tab w:val="left" w:pos="3195"/>
        </w:tabs>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4135" w:rsidRPr="006B6712" w:rsidRDefault="00044135" w:rsidP="00044135">
      <w:pPr>
        <w:tabs>
          <w:tab w:val="left" w:pos="709"/>
        </w:tabs>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Рис. 8. Розподіл відповідей опитуваних щодо оцінки зорієнтованості комунікацій на різні групи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w:t>
      </w:r>
    </w:p>
    <w:p w:rsidR="00044135" w:rsidRPr="006B6712" w:rsidRDefault="00044135" w:rsidP="00044135">
      <w:pPr>
        <w:tabs>
          <w:tab w:val="left" w:pos="709"/>
        </w:tabs>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налагоджено систематичний зворотний зв’язок від заінтересованих сторін?” відповіді розподілен</w:t>
      </w:r>
      <w:r w:rsidR="00D963E4" w:rsidRPr="006B6712">
        <w:rPr>
          <w:rFonts w:ascii="Times New Roman" w:hAnsi="Times New Roman" w:cs="Times New Roman"/>
          <w:sz w:val="24"/>
          <w:szCs w:val="24"/>
        </w:rPr>
        <w:t>і</w:t>
      </w:r>
      <w:r w:rsidRPr="006B6712">
        <w:rPr>
          <w:rFonts w:ascii="Times New Roman" w:hAnsi="Times New Roman" w:cs="Times New Roman"/>
          <w:sz w:val="24"/>
          <w:szCs w:val="24"/>
        </w:rPr>
        <w:t xml:space="preserve"> наступним чином (Рис. 9).</w:t>
      </w:r>
    </w:p>
    <w:p w:rsidR="00044135" w:rsidRPr="006B6712" w:rsidRDefault="00AE5D24" w:rsidP="00044135">
      <w:pPr>
        <w:tabs>
          <w:tab w:val="left" w:pos="709"/>
        </w:tabs>
        <w:ind w:firstLine="709"/>
        <w:rPr>
          <w:rFonts w:ascii="Times New Roman" w:hAnsi="Times New Roman" w:cs="Times New Roman"/>
          <w:sz w:val="24"/>
          <w:szCs w:val="24"/>
        </w:rPr>
      </w:pPr>
      <w:bookmarkStart w:id="0" w:name="_GoBack"/>
      <w:bookmarkEnd w:id="0"/>
      <w:r w:rsidRPr="006B6712">
        <w:rPr>
          <w:rFonts w:ascii="Times New Roman" w:hAnsi="Times New Roman" w:cs="Times New Roman"/>
          <w:noProof/>
          <w:sz w:val="24"/>
          <w:szCs w:val="24"/>
        </w:rPr>
        <w:lastRenderedPageBreak/>
        <w:drawing>
          <wp:inline distT="0" distB="0" distL="0" distR="0">
            <wp:extent cx="3990975" cy="2495550"/>
            <wp:effectExtent l="19050" t="0" r="952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5D24" w:rsidRPr="006B6712" w:rsidRDefault="001B1465" w:rsidP="00044135">
      <w:pPr>
        <w:tabs>
          <w:tab w:val="left" w:pos="709"/>
        </w:tabs>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Рис. 9. Розподіл відповідей респондентів стосовно налагодженості систематичного </w:t>
      </w:r>
      <w:proofErr w:type="spellStart"/>
      <w:r w:rsidRPr="006B6712">
        <w:rPr>
          <w:rFonts w:ascii="Times New Roman" w:hAnsi="Times New Roman" w:cs="Times New Roman"/>
          <w:b/>
          <w:sz w:val="24"/>
          <w:szCs w:val="24"/>
        </w:rPr>
        <w:t>зворотнього</w:t>
      </w:r>
      <w:proofErr w:type="spellEnd"/>
      <w:r w:rsidRPr="006B6712">
        <w:rPr>
          <w:rFonts w:ascii="Times New Roman" w:hAnsi="Times New Roman" w:cs="Times New Roman"/>
          <w:b/>
          <w:sz w:val="24"/>
          <w:szCs w:val="24"/>
        </w:rPr>
        <w:t xml:space="preserve"> зв’язку від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w:t>
      </w:r>
    </w:p>
    <w:p w:rsidR="00044135" w:rsidRPr="006B6712" w:rsidRDefault="00EC718C" w:rsidP="00044135">
      <w:pPr>
        <w:tabs>
          <w:tab w:val="left" w:pos="1770"/>
        </w:tabs>
        <w:ind w:firstLine="709"/>
        <w:rPr>
          <w:rFonts w:ascii="Times New Roman" w:hAnsi="Times New Roman" w:cs="Times New Roman"/>
          <w:sz w:val="24"/>
          <w:szCs w:val="24"/>
        </w:rPr>
      </w:pPr>
      <w:r w:rsidRPr="006B6712">
        <w:rPr>
          <w:rFonts w:ascii="Times New Roman" w:hAnsi="Times New Roman" w:cs="Times New Roman"/>
          <w:sz w:val="24"/>
          <w:szCs w:val="24"/>
        </w:rPr>
        <w:t>Розподіл відповідей експертів стосовно ведення в країні центральної бази даних заінтересованих сторін з контактною інформацією показаний на Рис. 10.</w:t>
      </w:r>
    </w:p>
    <w:p w:rsidR="00EC718C" w:rsidRPr="006B6712" w:rsidRDefault="00EC718C" w:rsidP="00044135">
      <w:pPr>
        <w:tabs>
          <w:tab w:val="left" w:pos="1770"/>
        </w:tabs>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718C" w:rsidRPr="006B6712" w:rsidRDefault="00EC718C" w:rsidP="00EC718C">
      <w:pPr>
        <w:ind w:firstLine="709"/>
        <w:rPr>
          <w:rFonts w:ascii="Times New Roman" w:hAnsi="Times New Roman" w:cs="Times New Roman"/>
          <w:b/>
          <w:sz w:val="24"/>
          <w:szCs w:val="24"/>
        </w:rPr>
      </w:pPr>
      <w:r w:rsidRPr="006B6712">
        <w:rPr>
          <w:rFonts w:ascii="Times New Roman" w:hAnsi="Times New Roman" w:cs="Times New Roman"/>
          <w:sz w:val="24"/>
          <w:szCs w:val="24"/>
        </w:rPr>
        <w:tab/>
      </w:r>
      <w:r w:rsidRPr="006B6712">
        <w:rPr>
          <w:rFonts w:ascii="Times New Roman" w:hAnsi="Times New Roman" w:cs="Times New Roman"/>
          <w:b/>
          <w:sz w:val="24"/>
          <w:szCs w:val="24"/>
        </w:rPr>
        <w:t xml:space="preserve">Рис. 10. Розподіл відповідей опитуваних щодо ведення центральної бази даних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xml:space="preserve"> з контактною інформацією, %</w:t>
      </w:r>
    </w:p>
    <w:p w:rsidR="00EC718C" w:rsidRPr="006B6712" w:rsidRDefault="00EC718C" w:rsidP="00EC718C">
      <w:pPr>
        <w:ind w:firstLine="709"/>
        <w:rPr>
          <w:rFonts w:ascii="Times New Roman" w:hAnsi="Times New Roman" w:cs="Times New Roman"/>
          <w:sz w:val="24"/>
          <w:szCs w:val="24"/>
        </w:rPr>
      </w:pPr>
      <w:r w:rsidRPr="006B6712">
        <w:rPr>
          <w:rFonts w:ascii="Times New Roman" w:hAnsi="Times New Roman" w:cs="Times New Roman"/>
          <w:sz w:val="24"/>
          <w:szCs w:val="24"/>
        </w:rPr>
        <w:t>Відповіді експертів на запитання: «Чи здійснюється взаємодія із заінтересованими сторонами через соціальні мережі» розподілилися наступним чином (Рис. 11).</w:t>
      </w:r>
    </w:p>
    <w:p w:rsidR="00EC718C" w:rsidRPr="006B6712" w:rsidRDefault="00EC718C" w:rsidP="00EC718C">
      <w:pPr>
        <w:ind w:firstLine="709"/>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3990975" cy="2066925"/>
            <wp:effectExtent l="19050" t="0" r="9525"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718C" w:rsidRPr="006B6712" w:rsidRDefault="00EC718C" w:rsidP="00EC718C">
      <w:pPr>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Рис. 11. Розподіл відповідей респондентів щодо оцінки здійснення взаємодії </w:t>
      </w:r>
      <w:proofErr w:type="spellStart"/>
      <w:r w:rsidRPr="006B6712">
        <w:rPr>
          <w:rFonts w:ascii="Times New Roman" w:hAnsi="Times New Roman" w:cs="Times New Roman"/>
          <w:b/>
          <w:sz w:val="24"/>
          <w:szCs w:val="24"/>
        </w:rPr>
        <w:t>стейкхолдерів</w:t>
      </w:r>
      <w:proofErr w:type="spellEnd"/>
      <w:r w:rsidRPr="006B6712">
        <w:rPr>
          <w:rFonts w:ascii="Times New Roman" w:hAnsi="Times New Roman" w:cs="Times New Roman"/>
          <w:b/>
          <w:sz w:val="24"/>
          <w:szCs w:val="24"/>
        </w:rPr>
        <w:t xml:space="preserve"> через соціальні мережі, %.</w:t>
      </w:r>
    </w:p>
    <w:p w:rsidR="00556842" w:rsidRPr="006B6712" w:rsidRDefault="00556842" w:rsidP="0055684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На відкрите запитання «Яким чином здійснюється інформування зацікавлених сторін про питання, пов’язані з кваліфікаціями?” дало відповідь менше чверті експертів. Серед епізодичних джерел інформації вони виділяють:</w:t>
      </w:r>
    </w:p>
    <w:p w:rsidR="00556842" w:rsidRPr="006B6712" w:rsidRDefault="00556842" w:rsidP="0055684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ФРУ;</w:t>
      </w:r>
    </w:p>
    <w:p w:rsidR="00556842" w:rsidRPr="006B6712" w:rsidRDefault="00556842" w:rsidP="0055684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сайти МОН</w:t>
      </w:r>
      <w:r w:rsidR="00C03CDB" w:rsidRPr="006B6712">
        <w:rPr>
          <w:rFonts w:ascii="Times New Roman" w:hAnsi="Times New Roman" w:cs="Times New Roman"/>
          <w:sz w:val="24"/>
          <w:szCs w:val="24"/>
        </w:rPr>
        <w:t xml:space="preserve">, </w:t>
      </w:r>
      <w:proofErr w:type="spellStart"/>
      <w:r w:rsidRPr="006B6712">
        <w:rPr>
          <w:rFonts w:ascii="Times New Roman" w:hAnsi="Times New Roman" w:cs="Times New Roman"/>
          <w:sz w:val="24"/>
          <w:szCs w:val="24"/>
        </w:rPr>
        <w:t>Мінсоцполітики</w:t>
      </w:r>
      <w:proofErr w:type="spellEnd"/>
      <w:r w:rsidRPr="006B6712">
        <w:rPr>
          <w:rFonts w:ascii="Times New Roman" w:hAnsi="Times New Roman" w:cs="Times New Roman"/>
          <w:sz w:val="24"/>
          <w:szCs w:val="24"/>
        </w:rPr>
        <w:t xml:space="preserve"> України;</w:t>
      </w:r>
    </w:p>
    <w:p w:rsidR="00556842" w:rsidRPr="006B6712" w:rsidRDefault="00556842" w:rsidP="0055684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семінари, конференції, круглі столи;</w:t>
      </w:r>
    </w:p>
    <w:p w:rsidR="00556842" w:rsidRPr="006B6712" w:rsidRDefault="00556842" w:rsidP="00556842">
      <w:pPr>
        <w:shd w:val="pct20" w:color="auto" w:fill="auto"/>
        <w:ind w:firstLine="709"/>
        <w:rPr>
          <w:rFonts w:ascii="Times New Roman" w:hAnsi="Times New Roman" w:cs="Times New Roman"/>
          <w:sz w:val="24"/>
          <w:szCs w:val="24"/>
        </w:rPr>
      </w:pPr>
      <w:r w:rsidRPr="006B6712">
        <w:rPr>
          <w:rFonts w:ascii="Times New Roman" w:hAnsi="Times New Roman" w:cs="Times New Roman"/>
          <w:sz w:val="24"/>
          <w:szCs w:val="24"/>
        </w:rPr>
        <w:t>- аналітичні доповіді за підсумками міжнародних</w:t>
      </w:r>
      <w:r w:rsidR="00C03CDB" w:rsidRPr="006B6712">
        <w:rPr>
          <w:rFonts w:ascii="Times New Roman" w:hAnsi="Times New Roman" w:cs="Times New Roman"/>
          <w:sz w:val="24"/>
          <w:szCs w:val="24"/>
        </w:rPr>
        <w:t xml:space="preserve"> і національних проектів, перш з</w:t>
      </w:r>
      <w:r w:rsidRPr="006B6712">
        <w:rPr>
          <w:rFonts w:ascii="Times New Roman" w:hAnsi="Times New Roman" w:cs="Times New Roman"/>
          <w:sz w:val="24"/>
          <w:szCs w:val="24"/>
        </w:rPr>
        <w:t>а все, під егідою ЄФО.</w:t>
      </w:r>
    </w:p>
    <w:p w:rsidR="00EE6B67" w:rsidRPr="006B6712" w:rsidRDefault="00EE6B67" w:rsidP="00EC718C">
      <w:pPr>
        <w:ind w:firstLine="709"/>
        <w:rPr>
          <w:rFonts w:ascii="Times New Roman" w:hAnsi="Times New Roman" w:cs="Times New Roman"/>
          <w:sz w:val="24"/>
          <w:szCs w:val="24"/>
        </w:rPr>
      </w:pPr>
    </w:p>
    <w:p w:rsidR="00D10863" w:rsidRPr="006B6712" w:rsidRDefault="00D10863" w:rsidP="00EC718C">
      <w:pPr>
        <w:ind w:firstLine="709"/>
        <w:rPr>
          <w:rFonts w:ascii="Times New Roman" w:hAnsi="Times New Roman" w:cs="Times New Roman"/>
          <w:b/>
          <w:sz w:val="28"/>
          <w:szCs w:val="28"/>
        </w:rPr>
      </w:pPr>
      <w:r w:rsidRPr="006B6712">
        <w:rPr>
          <w:rFonts w:ascii="Times New Roman" w:hAnsi="Times New Roman" w:cs="Times New Roman"/>
          <w:b/>
          <w:sz w:val="28"/>
          <w:szCs w:val="28"/>
        </w:rPr>
        <w:t>6. Види діалогу із заінтересованими сторонами.</w:t>
      </w:r>
    </w:p>
    <w:p w:rsidR="00D10863" w:rsidRPr="006B6712" w:rsidRDefault="00D10863" w:rsidP="00EC718C">
      <w:pPr>
        <w:ind w:firstLine="709"/>
        <w:rPr>
          <w:rFonts w:ascii="Times New Roman" w:hAnsi="Times New Roman" w:cs="Times New Roman"/>
          <w:sz w:val="24"/>
          <w:szCs w:val="24"/>
        </w:rPr>
      </w:pPr>
      <w:r w:rsidRPr="006B6712">
        <w:rPr>
          <w:rFonts w:ascii="Times New Roman" w:hAnsi="Times New Roman" w:cs="Times New Roman"/>
          <w:sz w:val="24"/>
          <w:szCs w:val="24"/>
        </w:rPr>
        <w:t>У цьому блоці викладено 5 запитань, які торкаються оцінювання експертами окремих видів діало</w:t>
      </w:r>
      <w:r w:rsidR="00D963E4" w:rsidRPr="006B6712">
        <w:rPr>
          <w:rFonts w:ascii="Times New Roman" w:hAnsi="Times New Roman" w:cs="Times New Roman"/>
          <w:sz w:val="24"/>
          <w:szCs w:val="24"/>
        </w:rPr>
        <w:t>г</w:t>
      </w:r>
      <w:r w:rsidRPr="006B6712">
        <w:rPr>
          <w:rFonts w:ascii="Times New Roman" w:hAnsi="Times New Roman" w:cs="Times New Roman"/>
          <w:sz w:val="24"/>
          <w:szCs w:val="24"/>
        </w:rPr>
        <w:t xml:space="preserve">у із </w:t>
      </w:r>
      <w:proofErr w:type="spellStart"/>
      <w:r w:rsidRPr="006B6712">
        <w:rPr>
          <w:rFonts w:ascii="Times New Roman" w:hAnsi="Times New Roman" w:cs="Times New Roman"/>
          <w:sz w:val="24"/>
          <w:szCs w:val="24"/>
        </w:rPr>
        <w:t>стейкхолдерами</w:t>
      </w:r>
      <w:proofErr w:type="spellEnd"/>
      <w:r w:rsidRPr="006B6712">
        <w:rPr>
          <w:rFonts w:ascii="Times New Roman" w:hAnsi="Times New Roman" w:cs="Times New Roman"/>
          <w:sz w:val="24"/>
          <w:szCs w:val="24"/>
        </w:rPr>
        <w:t>, а саме: формального, інформативного, консультативного, партнерського і діалогу, пов’язаного із самостійним прийняттям рішень.</w:t>
      </w:r>
    </w:p>
    <w:p w:rsidR="00D10863" w:rsidRPr="006B6712" w:rsidRDefault="00D10863" w:rsidP="00EC718C">
      <w:pPr>
        <w:ind w:firstLine="709"/>
        <w:rPr>
          <w:rFonts w:ascii="Times New Roman" w:hAnsi="Times New Roman" w:cs="Times New Roman"/>
          <w:sz w:val="24"/>
          <w:szCs w:val="24"/>
        </w:rPr>
      </w:pPr>
      <w:r w:rsidRPr="006B6712">
        <w:rPr>
          <w:rFonts w:ascii="Times New Roman" w:hAnsi="Times New Roman" w:cs="Times New Roman"/>
          <w:sz w:val="24"/>
          <w:szCs w:val="24"/>
        </w:rPr>
        <w:t>Відповіді респондентів показують, що найбільш розвиненими видами діалогу між учасниками реформи системи кваліфікацій виступають інформативний (державні органи тіль</w:t>
      </w:r>
      <w:r w:rsidR="00D963E4" w:rsidRPr="006B6712">
        <w:rPr>
          <w:rFonts w:ascii="Times New Roman" w:hAnsi="Times New Roman" w:cs="Times New Roman"/>
          <w:sz w:val="24"/>
          <w:szCs w:val="24"/>
        </w:rPr>
        <w:t>к</w:t>
      </w:r>
      <w:r w:rsidRPr="006B6712">
        <w:rPr>
          <w:rFonts w:ascii="Times New Roman" w:hAnsi="Times New Roman" w:cs="Times New Roman"/>
          <w:sz w:val="24"/>
          <w:szCs w:val="24"/>
        </w:rPr>
        <w:t xml:space="preserve">и інформують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про прийняті рішення), і партнерський діалог (</w:t>
      </w:r>
      <w:proofErr w:type="spellStart"/>
      <w:r w:rsidRPr="006B6712">
        <w:rPr>
          <w:rFonts w:ascii="Times New Roman" w:hAnsi="Times New Roman" w:cs="Times New Roman"/>
          <w:sz w:val="24"/>
          <w:szCs w:val="24"/>
        </w:rPr>
        <w:t>стейкхолдери</w:t>
      </w:r>
      <w:proofErr w:type="spellEnd"/>
      <w:r w:rsidRPr="006B6712">
        <w:rPr>
          <w:rFonts w:ascii="Times New Roman" w:hAnsi="Times New Roman" w:cs="Times New Roman"/>
          <w:sz w:val="24"/>
          <w:szCs w:val="24"/>
        </w:rPr>
        <w:t xml:space="preserve"> беруть участь як партнери) та діалог, пов'язаний із самостійним прийняттям рішень (25,0, 13,6 та 13,6% позитивних оцінок відповідно).</w:t>
      </w:r>
    </w:p>
    <w:p w:rsidR="00D10863" w:rsidRPr="006B6712" w:rsidRDefault="00D10863" w:rsidP="00EC718C">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Опитувані вважають, що в країні практично відсутні формальний (закріплені взаємовідносини на законодавчому рівні) і консультативний (проведення консультацій із </w:t>
      </w:r>
      <w:proofErr w:type="spellStart"/>
      <w:r w:rsidRPr="006B6712">
        <w:rPr>
          <w:rFonts w:ascii="Times New Roman" w:hAnsi="Times New Roman" w:cs="Times New Roman"/>
          <w:sz w:val="24"/>
          <w:szCs w:val="24"/>
        </w:rPr>
        <w:t>стейкхолдерами</w:t>
      </w:r>
      <w:proofErr w:type="spellEnd"/>
      <w:r w:rsidRPr="006B6712">
        <w:rPr>
          <w:rFonts w:ascii="Times New Roman" w:hAnsi="Times New Roman" w:cs="Times New Roman"/>
          <w:sz w:val="24"/>
          <w:szCs w:val="24"/>
        </w:rPr>
        <w:t xml:space="preserve">, наявність </w:t>
      </w:r>
      <w:proofErr w:type="spellStart"/>
      <w:r w:rsidRPr="006B6712">
        <w:rPr>
          <w:rFonts w:ascii="Times New Roman" w:hAnsi="Times New Roman" w:cs="Times New Roman"/>
          <w:sz w:val="24"/>
          <w:szCs w:val="24"/>
        </w:rPr>
        <w:t>зворотнього</w:t>
      </w:r>
      <w:proofErr w:type="spellEnd"/>
      <w:r w:rsidRPr="006B6712">
        <w:rPr>
          <w:rFonts w:ascii="Times New Roman" w:hAnsi="Times New Roman" w:cs="Times New Roman"/>
          <w:sz w:val="24"/>
          <w:szCs w:val="24"/>
        </w:rPr>
        <w:t xml:space="preserve"> зв’язку, що впливає на прийняття рішень</w:t>
      </w:r>
      <w:r w:rsidR="00D963E4" w:rsidRPr="006B6712">
        <w:rPr>
          <w:rFonts w:ascii="Times New Roman" w:hAnsi="Times New Roman" w:cs="Times New Roman"/>
          <w:sz w:val="24"/>
          <w:szCs w:val="24"/>
        </w:rPr>
        <w:t>)</w:t>
      </w:r>
      <w:r w:rsidRPr="006B6712">
        <w:rPr>
          <w:rFonts w:ascii="Times New Roman" w:hAnsi="Times New Roman" w:cs="Times New Roman"/>
          <w:sz w:val="24"/>
          <w:szCs w:val="24"/>
        </w:rPr>
        <w:t xml:space="preserve"> (2,2 і 9,1% позитивних оцінок відповідно).</w:t>
      </w:r>
    </w:p>
    <w:p w:rsidR="00D10863" w:rsidRPr="006B6712" w:rsidRDefault="00D10863" w:rsidP="00EC718C">
      <w:pPr>
        <w:ind w:firstLine="709"/>
        <w:rPr>
          <w:rFonts w:ascii="Times New Roman" w:hAnsi="Times New Roman" w:cs="Times New Roman"/>
          <w:sz w:val="24"/>
          <w:szCs w:val="24"/>
        </w:rPr>
      </w:pPr>
      <w:r w:rsidRPr="006B6712">
        <w:rPr>
          <w:rFonts w:ascii="Times New Roman" w:hAnsi="Times New Roman" w:cs="Times New Roman"/>
          <w:sz w:val="24"/>
          <w:szCs w:val="24"/>
        </w:rPr>
        <w:t>Слід зазначити, що експерт</w:t>
      </w:r>
      <w:r w:rsidR="00D963E4" w:rsidRPr="006B6712">
        <w:rPr>
          <w:rFonts w:ascii="Times New Roman" w:hAnsi="Times New Roman" w:cs="Times New Roman"/>
          <w:sz w:val="24"/>
          <w:szCs w:val="24"/>
        </w:rPr>
        <w:t>и</w:t>
      </w:r>
      <w:r w:rsidR="009639C0" w:rsidRPr="006B6712">
        <w:rPr>
          <w:rFonts w:ascii="Times New Roman" w:hAnsi="Times New Roman" w:cs="Times New Roman"/>
          <w:sz w:val="24"/>
          <w:szCs w:val="24"/>
        </w:rPr>
        <w:t xml:space="preserve"> від</w:t>
      </w:r>
      <w:r w:rsidRPr="006B6712">
        <w:rPr>
          <w:rFonts w:ascii="Times New Roman" w:hAnsi="Times New Roman" w:cs="Times New Roman"/>
          <w:sz w:val="24"/>
          <w:szCs w:val="24"/>
        </w:rPr>
        <w:t>дають</w:t>
      </w:r>
      <w:r w:rsidR="009639C0" w:rsidRPr="006B6712">
        <w:rPr>
          <w:rFonts w:ascii="Times New Roman" w:hAnsi="Times New Roman" w:cs="Times New Roman"/>
          <w:sz w:val="24"/>
          <w:szCs w:val="24"/>
        </w:rPr>
        <w:t xml:space="preserve"> велику перевагу</w:t>
      </w:r>
      <w:r w:rsidRPr="006B6712">
        <w:rPr>
          <w:rFonts w:ascii="Times New Roman" w:hAnsi="Times New Roman" w:cs="Times New Roman"/>
          <w:sz w:val="24"/>
          <w:szCs w:val="24"/>
        </w:rPr>
        <w:t xml:space="preserve"> оцін</w:t>
      </w:r>
      <w:r w:rsidR="009639C0" w:rsidRPr="006B6712">
        <w:rPr>
          <w:rFonts w:ascii="Times New Roman" w:hAnsi="Times New Roman" w:cs="Times New Roman"/>
          <w:sz w:val="24"/>
          <w:szCs w:val="24"/>
        </w:rPr>
        <w:t>ці</w:t>
      </w:r>
      <w:r w:rsidRPr="006B6712">
        <w:rPr>
          <w:rFonts w:ascii="Times New Roman" w:hAnsi="Times New Roman" w:cs="Times New Roman"/>
          <w:sz w:val="24"/>
          <w:szCs w:val="24"/>
        </w:rPr>
        <w:t xml:space="preserve"> неоднозначності питанням цього блоку (48,6%), що свідчить про певні труднощі з їхньою поінформованістю щодо піднятих проблем. </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 xml:space="preserve">Близько половини експертів на відкрите запитання «Які зацікавлені сторони беруть участь у видах діалогу, перерахованих вище?» найчастіше вказує на МОН, ЦОВВ, окремі галузеві об’єднання роботодавців, міжнародні організації, ФРУ, професійні асоціації, </w:t>
      </w:r>
      <w:proofErr w:type="spellStart"/>
      <w:r w:rsidRPr="006B6712">
        <w:rPr>
          <w:rFonts w:ascii="Times New Roman" w:hAnsi="Times New Roman" w:cs="Times New Roman"/>
          <w:sz w:val="24"/>
          <w:szCs w:val="24"/>
        </w:rPr>
        <w:t>ВНЗи</w:t>
      </w:r>
      <w:proofErr w:type="spellEnd"/>
      <w:r w:rsidRPr="006B6712">
        <w:rPr>
          <w:rFonts w:ascii="Times New Roman" w:hAnsi="Times New Roman" w:cs="Times New Roman"/>
          <w:sz w:val="24"/>
          <w:szCs w:val="24"/>
        </w:rPr>
        <w:t>, екзаменаційні органи.</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Лише п’ята частина експертів спромоглася визначитися із питаннями стосовно</w:t>
      </w:r>
      <w:r w:rsidR="009639C0" w:rsidRPr="006B6712">
        <w:rPr>
          <w:rFonts w:ascii="Times New Roman" w:hAnsi="Times New Roman" w:cs="Times New Roman"/>
          <w:sz w:val="24"/>
          <w:szCs w:val="24"/>
        </w:rPr>
        <w:t xml:space="preserve"> прикладів</w:t>
      </w:r>
      <w:r w:rsidRPr="006B6712">
        <w:rPr>
          <w:rFonts w:ascii="Times New Roman" w:hAnsi="Times New Roman" w:cs="Times New Roman"/>
          <w:sz w:val="24"/>
          <w:szCs w:val="24"/>
        </w:rPr>
        <w:t xml:space="preserve"> різних видів діалогу, які належать до сфери професійних навичок і кваліфікацій, а саме:</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розробка переліку кваліфікацій, затребуваних на національному ринку праці (в межах конкретних галузей) та прогнозування їх потреби у середньостроковій перспективі;</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формування НРК, розробка вимог до професійних кваліфікацій та оцінювання персоналу у відповідності до</w:t>
      </w:r>
      <w:r w:rsidR="009639C0" w:rsidRPr="006B6712">
        <w:rPr>
          <w:rFonts w:ascii="Times New Roman" w:hAnsi="Times New Roman" w:cs="Times New Roman"/>
          <w:sz w:val="24"/>
          <w:szCs w:val="24"/>
        </w:rPr>
        <w:t xml:space="preserve"> них</w:t>
      </w:r>
      <w:r w:rsidRPr="006B6712">
        <w:rPr>
          <w:rFonts w:ascii="Times New Roman" w:hAnsi="Times New Roman" w:cs="Times New Roman"/>
          <w:sz w:val="24"/>
          <w:szCs w:val="24"/>
        </w:rPr>
        <w:t>;</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розробка </w:t>
      </w:r>
      <w:proofErr w:type="spellStart"/>
      <w:r w:rsidRPr="006B6712">
        <w:rPr>
          <w:rFonts w:ascii="Times New Roman" w:hAnsi="Times New Roman" w:cs="Times New Roman"/>
          <w:sz w:val="24"/>
          <w:szCs w:val="24"/>
        </w:rPr>
        <w:t>профстандартів</w:t>
      </w:r>
      <w:proofErr w:type="spellEnd"/>
      <w:r w:rsidRPr="006B6712">
        <w:rPr>
          <w:rFonts w:ascii="Times New Roman" w:hAnsi="Times New Roman" w:cs="Times New Roman"/>
          <w:sz w:val="24"/>
          <w:szCs w:val="24"/>
        </w:rPr>
        <w:t xml:space="preserve"> на основі </w:t>
      </w:r>
      <w:proofErr w:type="spellStart"/>
      <w:r w:rsidRPr="006B6712">
        <w:rPr>
          <w:rFonts w:ascii="Times New Roman" w:hAnsi="Times New Roman" w:cs="Times New Roman"/>
          <w:sz w:val="24"/>
          <w:szCs w:val="24"/>
        </w:rPr>
        <w:t>компетентісного</w:t>
      </w:r>
      <w:proofErr w:type="spellEnd"/>
      <w:r w:rsidRPr="006B6712">
        <w:rPr>
          <w:rFonts w:ascii="Times New Roman" w:hAnsi="Times New Roman" w:cs="Times New Roman"/>
          <w:sz w:val="24"/>
          <w:szCs w:val="24"/>
        </w:rPr>
        <w:t xml:space="preserve"> підходу;</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офіційне визнання результатів неформальної освіти і спонтанного (</w:t>
      </w:r>
      <w:proofErr w:type="spellStart"/>
      <w:r w:rsidRPr="006B6712">
        <w:rPr>
          <w:rFonts w:ascii="Times New Roman" w:hAnsi="Times New Roman" w:cs="Times New Roman"/>
          <w:sz w:val="24"/>
          <w:szCs w:val="24"/>
        </w:rPr>
        <w:t>інформального</w:t>
      </w:r>
      <w:proofErr w:type="spellEnd"/>
      <w:r w:rsidRPr="006B6712">
        <w:rPr>
          <w:rFonts w:ascii="Times New Roman" w:hAnsi="Times New Roman" w:cs="Times New Roman"/>
          <w:sz w:val="24"/>
          <w:szCs w:val="24"/>
        </w:rPr>
        <w:t>) навчання.</w:t>
      </w:r>
    </w:p>
    <w:p w:rsidR="006F037D" w:rsidRPr="006B6712" w:rsidRDefault="006F037D" w:rsidP="006F037D">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Відповіді на відкрите запитання щодо інформування учасників діалогу за обсягом і змістом співпадають із подібним запитанням, описаним вище.</w:t>
      </w:r>
    </w:p>
    <w:p w:rsidR="00D10863" w:rsidRPr="006B6712" w:rsidRDefault="00D10863" w:rsidP="00EC718C">
      <w:pPr>
        <w:ind w:firstLine="709"/>
        <w:rPr>
          <w:rFonts w:ascii="Times New Roman" w:hAnsi="Times New Roman" w:cs="Times New Roman"/>
          <w:sz w:val="24"/>
          <w:szCs w:val="24"/>
        </w:rPr>
      </w:pPr>
    </w:p>
    <w:p w:rsidR="006F037D" w:rsidRPr="006B6712" w:rsidRDefault="006F037D" w:rsidP="00EC718C">
      <w:pPr>
        <w:ind w:firstLine="709"/>
        <w:rPr>
          <w:rFonts w:ascii="Times New Roman" w:hAnsi="Times New Roman" w:cs="Times New Roman"/>
          <w:b/>
          <w:sz w:val="28"/>
          <w:szCs w:val="28"/>
        </w:rPr>
      </w:pPr>
      <w:r w:rsidRPr="006B6712">
        <w:rPr>
          <w:rFonts w:ascii="Times New Roman" w:hAnsi="Times New Roman" w:cs="Times New Roman"/>
          <w:b/>
          <w:sz w:val="28"/>
          <w:szCs w:val="28"/>
        </w:rPr>
        <w:t>7. Сприяння залучен</w:t>
      </w:r>
      <w:r w:rsidR="00B41EC7" w:rsidRPr="006B6712">
        <w:rPr>
          <w:rFonts w:ascii="Times New Roman" w:hAnsi="Times New Roman" w:cs="Times New Roman"/>
          <w:b/>
          <w:sz w:val="28"/>
          <w:szCs w:val="28"/>
        </w:rPr>
        <w:t>ню</w:t>
      </w:r>
      <w:r w:rsidRPr="006B6712">
        <w:rPr>
          <w:rFonts w:ascii="Times New Roman" w:hAnsi="Times New Roman" w:cs="Times New Roman"/>
          <w:b/>
          <w:sz w:val="28"/>
          <w:szCs w:val="28"/>
        </w:rPr>
        <w:t xml:space="preserve"> заінтересованих сторін.</w:t>
      </w:r>
    </w:p>
    <w:p w:rsidR="006F037D" w:rsidRPr="006B6712" w:rsidRDefault="006F037D" w:rsidP="00EC718C">
      <w:pPr>
        <w:ind w:firstLine="709"/>
        <w:rPr>
          <w:rFonts w:ascii="Times New Roman" w:hAnsi="Times New Roman" w:cs="Times New Roman"/>
          <w:sz w:val="24"/>
          <w:szCs w:val="24"/>
        </w:rPr>
      </w:pPr>
      <w:r w:rsidRPr="006B6712">
        <w:rPr>
          <w:rFonts w:ascii="Times New Roman" w:hAnsi="Times New Roman" w:cs="Times New Roman"/>
          <w:sz w:val="24"/>
          <w:szCs w:val="24"/>
        </w:rPr>
        <w:t>У цьому блоці експертам було запро</w:t>
      </w:r>
      <w:r w:rsidR="00B41EC7" w:rsidRPr="006B6712">
        <w:rPr>
          <w:rFonts w:ascii="Times New Roman" w:hAnsi="Times New Roman" w:cs="Times New Roman"/>
          <w:sz w:val="24"/>
          <w:szCs w:val="24"/>
        </w:rPr>
        <w:t>поновано</w:t>
      </w:r>
      <w:r w:rsidRPr="006B6712">
        <w:rPr>
          <w:rFonts w:ascii="Times New Roman" w:hAnsi="Times New Roman" w:cs="Times New Roman"/>
          <w:sz w:val="24"/>
          <w:szCs w:val="24"/>
        </w:rPr>
        <w:t xml:space="preserve"> оцінити рівень </w:t>
      </w:r>
      <w:proofErr w:type="spellStart"/>
      <w:r w:rsidRPr="006B6712">
        <w:rPr>
          <w:rFonts w:ascii="Times New Roman" w:hAnsi="Times New Roman" w:cs="Times New Roman"/>
          <w:sz w:val="24"/>
          <w:szCs w:val="24"/>
        </w:rPr>
        <w:t>за</w:t>
      </w:r>
      <w:r w:rsidR="00B41EC7" w:rsidRPr="006B6712">
        <w:rPr>
          <w:rFonts w:ascii="Times New Roman" w:hAnsi="Times New Roman" w:cs="Times New Roman"/>
          <w:sz w:val="24"/>
          <w:szCs w:val="24"/>
        </w:rPr>
        <w:t>л</w:t>
      </w:r>
      <w:r w:rsidRPr="006B6712">
        <w:rPr>
          <w:rFonts w:ascii="Times New Roman" w:hAnsi="Times New Roman" w:cs="Times New Roman"/>
          <w:sz w:val="24"/>
          <w:szCs w:val="24"/>
        </w:rPr>
        <w:t>ученості</w:t>
      </w:r>
      <w:proofErr w:type="spellEnd"/>
      <w:r w:rsidRPr="006B6712">
        <w:rPr>
          <w:rFonts w:ascii="Times New Roman" w:hAnsi="Times New Roman" w:cs="Times New Roman"/>
          <w:sz w:val="24"/>
          <w:szCs w:val="24"/>
        </w:rPr>
        <w:t xml:space="preserve">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 xml:space="preserve"> до 7 основних напрямків кваліфікаційної діяльності.</w:t>
      </w:r>
    </w:p>
    <w:p w:rsidR="006F037D" w:rsidRPr="006B6712" w:rsidRDefault="006F037D" w:rsidP="00EC718C">
      <w:pPr>
        <w:ind w:firstLine="709"/>
        <w:rPr>
          <w:rFonts w:ascii="Times New Roman" w:hAnsi="Times New Roman" w:cs="Times New Roman"/>
          <w:sz w:val="24"/>
          <w:szCs w:val="24"/>
        </w:rPr>
      </w:pPr>
      <w:proofErr w:type="spellStart"/>
      <w:r w:rsidRPr="006B6712">
        <w:rPr>
          <w:rFonts w:ascii="Times New Roman" w:hAnsi="Times New Roman" w:cs="Times New Roman"/>
          <w:sz w:val="24"/>
          <w:szCs w:val="24"/>
        </w:rPr>
        <w:t>Знаково</w:t>
      </w:r>
      <w:proofErr w:type="spellEnd"/>
      <w:r w:rsidRPr="006B6712">
        <w:rPr>
          <w:rFonts w:ascii="Times New Roman" w:hAnsi="Times New Roman" w:cs="Times New Roman"/>
          <w:sz w:val="24"/>
          <w:szCs w:val="24"/>
        </w:rPr>
        <w:t>, що респонденти неоднозначно оцінюють ці індикатори (напрямки) (47,7</w:t>
      </w:r>
      <w:r w:rsidR="00B41EC7" w:rsidRPr="006B6712">
        <w:rPr>
          <w:rFonts w:ascii="Times New Roman" w:hAnsi="Times New Roman" w:cs="Times New Roman"/>
          <w:sz w:val="24"/>
          <w:szCs w:val="24"/>
        </w:rPr>
        <w:t>%</w:t>
      </w:r>
      <w:r w:rsidRPr="006B6712">
        <w:rPr>
          <w:rFonts w:ascii="Times New Roman" w:hAnsi="Times New Roman" w:cs="Times New Roman"/>
          <w:sz w:val="24"/>
          <w:szCs w:val="24"/>
        </w:rPr>
        <w:t>). Позитивну оцінку дають у 19,9% випадків, негативну – 32,4% відповідно.</w:t>
      </w:r>
    </w:p>
    <w:p w:rsidR="006F037D" w:rsidRPr="006B6712" w:rsidRDefault="006F037D" w:rsidP="00EC718C">
      <w:pPr>
        <w:ind w:firstLine="709"/>
        <w:rPr>
          <w:rFonts w:ascii="Times New Roman" w:hAnsi="Times New Roman" w:cs="Times New Roman"/>
          <w:sz w:val="24"/>
          <w:szCs w:val="24"/>
        </w:rPr>
      </w:pPr>
      <w:r w:rsidRPr="006B6712">
        <w:rPr>
          <w:rFonts w:ascii="Times New Roman" w:hAnsi="Times New Roman" w:cs="Times New Roman"/>
          <w:sz w:val="24"/>
          <w:szCs w:val="24"/>
        </w:rPr>
        <w:t xml:space="preserve">Найвищий рівень </w:t>
      </w:r>
      <w:proofErr w:type="spellStart"/>
      <w:r w:rsidRPr="006B6712">
        <w:rPr>
          <w:rFonts w:ascii="Times New Roman" w:hAnsi="Times New Roman" w:cs="Times New Roman"/>
          <w:sz w:val="24"/>
          <w:szCs w:val="24"/>
        </w:rPr>
        <w:t>за</w:t>
      </w:r>
      <w:r w:rsidR="00B41EC7" w:rsidRPr="006B6712">
        <w:rPr>
          <w:rFonts w:ascii="Times New Roman" w:hAnsi="Times New Roman" w:cs="Times New Roman"/>
          <w:sz w:val="24"/>
          <w:szCs w:val="24"/>
        </w:rPr>
        <w:t>л</w:t>
      </w:r>
      <w:r w:rsidRPr="006B6712">
        <w:rPr>
          <w:rFonts w:ascii="Times New Roman" w:hAnsi="Times New Roman" w:cs="Times New Roman"/>
          <w:sz w:val="24"/>
          <w:szCs w:val="24"/>
        </w:rPr>
        <w:t>ученості</w:t>
      </w:r>
      <w:proofErr w:type="spellEnd"/>
      <w:r w:rsidRPr="006B6712">
        <w:rPr>
          <w:rFonts w:ascii="Times New Roman" w:hAnsi="Times New Roman" w:cs="Times New Roman"/>
          <w:sz w:val="24"/>
          <w:szCs w:val="24"/>
        </w:rPr>
        <w:t xml:space="preserve"> виказується напрямкам «аналіз проблем в існуючій системі кваліфікацій» (36,4% позитивних відповідей на запитання), «формування цілей реформ» (34,1%), «визначення потреб </w:t>
      </w:r>
      <w:r w:rsidR="00B41EC7" w:rsidRPr="006B6712">
        <w:rPr>
          <w:rFonts w:ascii="Times New Roman" w:hAnsi="Times New Roman" w:cs="Times New Roman"/>
          <w:sz w:val="24"/>
          <w:szCs w:val="24"/>
        </w:rPr>
        <w:t>у</w:t>
      </w:r>
      <w:r w:rsidRPr="006B6712">
        <w:rPr>
          <w:rFonts w:ascii="Times New Roman" w:hAnsi="Times New Roman" w:cs="Times New Roman"/>
          <w:sz w:val="24"/>
          <w:szCs w:val="24"/>
        </w:rPr>
        <w:t xml:space="preserve"> нових кваліфікаціях» (22,7%), «розробка плану реалізації заходів</w:t>
      </w:r>
      <w:r w:rsidR="00B41EC7" w:rsidRPr="006B6712">
        <w:rPr>
          <w:rFonts w:ascii="Times New Roman" w:hAnsi="Times New Roman" w:cs="Times New Roman"/>
          <w:sz w:val="24"/>
          <w:szCs w:val="24"/>
        </w:rPr>
        <w:t>» (20,5%) «визначення рівнів</w:t>
      </w:r>
      <w:r w:rsidRPr="006B6712">
        <w:rPr>
          <w:rFonts w:ascii="Times New Roman" w:hAnsi="Times New Roman" w:cs="Times New Roman"/>
          <w:sz w:val="24"/>
          <w:szCs w:val="24"/>
        </w:rPr>
        <w:t xml:space="preserve"> НРК і кваліфікацій, які повинні бути включені до неї» (18,2%).</w:t>
      </w:r>
    </w:p>
    <w:p w:rsidR="002F5F74" w:rsidRPr="006B6712" w:rsidRDefault="002F5F74" w:rsidP="00EC718C">
      <w:pPr>
        <w:ind w:firstLine="709"/>
        <w:rPr>
          <w:rFonts w:ascii="Times New Roman" w:hAnsi="Times New Roman" w:cs="Times New Roman"/>
          <w:sz w:val="24"/>
          <w:szCs w:val="24"/>
        </w:rPr>
      </w:pPr>
      <w:r w:rsidRPr="006B6712">
        <w:rPr>
          <w:rFonts w:ascii="Times New Roman" w:hAnsi="Times New Roman" w:cs="Times New Roman"/>
          <w:sz w:val="24"/>
          <w:szCs w:val="24"/>
        </w:rPr>
        <w:t xml:space="preserve">Украй низька </w:t>
      </w:r>
      <w:proofErr w:type="spellStart"/>
      <w:r w:rsidRPr="006B6712">
        <w:rPr>
          <w:rFonts w:ascii="Times New Roman" w:hAnsi="Times New Roman" w:cs="Times New Roman"/>
          <w:sz w:val="24"/>
          <w:szCs w:val="24"/>
        </w:rPr>
        <w:t>залученість</w:t>
      </w:r>
      <w:proofErr w:type="spellEnd"/>
      <w:r w:rsidRPr="006B6712">
        <w:rPr>
          <w:rFonts w:ascii="Times New Roman" w:hAnsi="Times New Roman" w:cs="Times New Roman"/>
          <w:sz w:val="24"/>
          <w:szCs w:val="24"/>
        </w:rPr>
        <w:t>, на думку експертів, характерна для таких напрямків, як: «ухвалення офіційних рішень, що стосуються нових концепцій», «аналіз інституціональних механізмів та потенціалу», та «визначення того, яким чином повинні змінитися кваліфікації» (по 11,4% відповідно).</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Із майже половини опитаних, які  надали відповідь на поставлене відкрите запитання, дві третини вказують на те, що зацікавлені сторони мають достатній потенціал для сприяння державним органам в питаннях кваліфікацій.</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Серед заходів щодо підвищення цього потенціалу експерти визначають:</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активне залучення і мотивація зацікавлених сторін до роботи із проектування, розробки кваліфікацій в Україні</w:t>
      </w:r>
      <w:r w:rsidR="00E22D38" w:rsidRPr="006B6712">
        <w:rPr>
          <w:rFonts w:ascii="Times New Roman" w:hAnsi="Times New Roman" w:cs="Times New Roman"/>
          <w:sz w:val="24"/>
          <w:szCs w:val="24"/>
        </w:rPr>
        <w:t>,</w:t>
      </w:r>
      <w:r w:rsidRPr="006B6712">
        <w:rPr>
          <w:rFonts w:ascii="Times New Roman" w:hAnsi="Times New Roman" w:cs="Times New Roman"/>
          <w:sz w:val="24"/>
          <w:szCs w:val="24"/>
        </w:rPr>
        <w:t xml:space="preserve"> оцінювання їх отримувачів тощо;</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 реальн</w:t>
      </w:r>
      <w:r w:rsidR="00E22D38" w:rsidRPr="006B6712">
        <w:rPr>
          <w:rFonts w:ascii="Times New Roman" w:hAnsi="Times New Roman" w:cs="Times New Roman"/>
          <w:sz w:val="24"/>
          <w:szCs w:val="24"/>
        </w:rPr>
        <w:t>а</w:t>
      </w:r>
      <w:r w:rsidRPr="006B6712">
        <w:rPr>
          <w:rFonts w:ascii="Times New Roman" w:hAnsi="Times New Roman" w:cs="Times New Roman"/>
          <w:sz w:val="24"/>
          <w:szCs w:val="24"/>
        </w:rPr>
        <w:t xml:space="preserve"> зацікавленість з боку держави </w:t>
      </w:r>
      <w:r w:rsidR="00E22D38" w:rsidRPr="006B6712">
        <w:rPr>
          <w:rFonts w:ascii="Times New Roman" w:hAnsi="Times New Roman" w:cs="Times New Roman"/>
          <w:sz w:val="24"/>
          <w:szCs w:val="24"/>
        </w:rPr>
        <w:t>до їх діяльно</w:t>
      </w:r>
      <w:r w:rsidRPr="006B6712">
        <w:rPr>
          <w:rFonts w:ascii="Times New Roman" w:hAnsi="Times New Roman" w:cs="Times New Roman"/>
          <w:sz w:val="24"/>
          <w:szCs w:val="24"/>
        </w:rPr>
        <w:t>ст</w:t>
      </w:r>
      <w:r w:rsidR="00E22D38" w:rsidRPr="006B6712">
        <w:rPr>
          <w:rFonts w:ascii="Times New Roman" w:hAnsi="Times New Roman" w:cs="Times New Roman"/>
          <w:sz w:val="24"/>
          <w:szCs w:val="24"/>
        </w:rPr>
        <w:t>і</w:t>
      </w:r>
      <w:r w:rsidRPr="006B6712">
        <w:rPr>
          <w:rFonts w:ascii="Times New Roman" w:hAnsi="Times New Roman" w:cs="Times New Roman"/>
          <w:sz w:val="24"/>
          <w:szCs w:val="24"/>
        </w:rPr>
        <w:t xml:space="preserve"> та відповідна фінансова підтримка;</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сприяння в обміні вітчизняним досвідом та вивченні зарубіжної (міжнародної) практики;</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сприяння в підготовці профільних фахівців з розробки професійних та освітніх стандартів, оцінювачів професійних кваліфікацій;</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роз’яснення практичних змін у підготовці кадрів із відповідними професійними кваліфікаціями, перспектив розвитку системи кваліфікацій, потенціалу розвитку особистості;</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надання повної та вичерпної інформації відповідного спрямування;</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проведення консультацій та залучення до реалізації відповідних проектів на платній основі;</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створення декількох </w:t>
      </w:r>
      <w:proofErr w:type="spellStart"/>
      <w:r w:rsidRPr="006B6712">
        <w:rPr>
          <w:rFonts w:ascii="Times New Roman" w:hAnsi="Times New Roman" w:cs="Times New Roman"/>
          <w:sz w:val="24"/>
          <w:szCs w:val="24"/>
        </w:rPr>
        <w:t>ресурсно</w:t>
      </w:r>
      <w:proofErr w:type="spellEnd"/>
      <w:r w:rsidRPr="006B6712">
        <w:rPr>
          <w:rFonts w:ascii="Times New Roman" w:hAnsi="Times New Roman" w:cs="Times New Roman"/>
          <w:sz w:val="24"/>
          <w:szCs w:val="24"/>
        </w:rPr>
        <w:t xml:space="preserve"> підтриманих експертних осередків, які могли б стати </w:t>
      </w:r>
      <w:proofErr w:type="spellStart"/>
      <w:r w:rsidRPr="006B6712">
        <w:rPr>
          <w:rFonts w:ascii="Times New Roman" w:hAnsi="Times New Roman" w:cs="Times New Roman"/>
          <w:sz w:val="24"/>
          <w:szCs w:val="24"/>
        </w:rPr>
        <w:t>хабами</w:t>
      </w:r>
      <w:proofErr w:type="spellEnd"/>
      <w:r w:rsidRPr="006B6712">
        <w:rPr>
          <w:rFonts w:ascii="Times New Roman" w:hAnsi="Times New Roman" w:cs="Times New Roman"/>
          <w:sz w:val="24"/>
          <w:szCs w:val="24"/>
        </w:rPr>
        <w:t xml:space="preserve"> та освітніми центрами для майбутньої мережі </w:t>
      </w:r>
      <w:proofErr w:type="spellStart"/>
      <w:r w:rsidRPr="006B6712">
        <w:rPr>
          <w:rFonts w:ascii="Times New Roman" w:hAnsi="Times New Roman" w:cs="Times New Roman"/>
          <w:sz w:val="24"/>
          <w:szCs w:val="24"/>
        </w:rPr>
        <w:t>стейкхолдерів</w:t>
      </w:r>
      <w:proofErr w:type="spellEnd"/>
      <w:r w:rsidRPr="006B6712">
        <w:rPr>
          <w:rFonts w:ascii="Times New Roman" w:hAnsi="Times New Roman" w:cs="Times New Roman"/>
          <w:sz w:val="24"/>
          <w:szCs w:val="24"/>
        </w:rPr>
        <w:t>.</w:t>
      </w:r>
    </w:p>
    <w:p w:rsidR="00C423D0" w:rsidRPr="006B6712" w:rsidRDefault="00C423D0" w:rsidP="00C423D0">
      <w:pPr>
        <w:spacing w:after="120"/>
        <w:ind w:firstLine="709"/>
        <w:rPr>
          <w:rFonts w:ascii="Times New Roman" w:hAnsi="Times New Roman" w:cs="Times New Roman"/>
          <w:sz w:val="24"/>
          <w:szCs w:val="24"/>
        </w:rPr>
      </w:pPr>
    </w:p>
    <w:p w:rsidR="00C423D0" w:rsidRPr="006B6712" w:rsidRDefault="00C423D0"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8"/>
          <w:szCs w:val="28"/>
        </w:rPr>
        <w:t>8. Формалізація участі заінтересованих сторін</w:t>
      </w:r>
      <w:r w:rsidRPr="006B6712">
        <w:rPr>
          <w:rFonts w:ascii="Times New Roman" w:hAnsi="Times New Roman" w:cs="Times New Roman"/>
          <w:b/>
          <w:sz w:val="24"/>
          <w:szCs w:val="24"/>
        </w:rPr>
        <w:t>.</w:t>
      </w:r>
    </w:p>
    <w:p w:rsidR="00C423D0" w:rsidRPr="006B6712" w:rsidRDefault="00DC28D7"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У цьому останньому блоці, який включає 5 запитань, експертам було запропоновано дати об’єктивну оцінку функціонування чи наявності інституцій та регуляторних механізмів  у царині кваліфікацій.</w:t>
      </w:r>
    </w:p>
    <w:p w:rsidR="00DC28D7" w:rsidRPr="006B6712" w:rsidRDefault="00DC28D7"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Звертає на себе увагу крайня критичність в оцінках респондентів саме цих </w:t>
      </w:r>
      <w:r w:rsidR="00E22D38" w:rsidRPr="006B6712">
        <w:rPr>
          <w:rFonts w:ascii="Times New Roman" w:hAnsi="Times New Roman" w:cs="Times New Roman"/>
          <w:sz w:val="24"/>
          <w:szCs w:val="24"/>
        </w:rPr>
        <w:t>напрямків</w:t>
      </w:r>
      <w:r w:rsidRPr="006B6712">
        <w:rPr>
          <w:rFonts w:ascii="Times New Roman" w:hAnsi="Times New Roman" w:cs="Times New Roman"/>
          <w:sz w:val="24"/>
          <w:szCs w:val="24"/>
        </w:rPr>
        <w:t>, що свідчить про їх відсутність, слабкість та / чи формування.</w:t>
      </w:r>
    </w:p>
    <w:p w:rsidR="00DC28D7" w:rsidRPr="006B6712" w:rsidRDefault="00DC28D7"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існує офіційний майданчик для обговорення реформ у сфері кваліфікацій</w:t>
      </w:r>
      <w:r w:rsidR="00E22D38" w:rsidRPr="006B6712">
        <w:rPr>
          <w:rFonts w:ascii="Times New Roman" w:hAnsi="Times New Roman" w:cs="Times New Roman"/>
          <w:sz w:val="24"/>
          <w:szCs w:val="24"/>
        </w:rPr>
        <w:t>?</w:t>
      </w:r>
      <w:r w:rsidRPr="006B6712">
        <w:rPr>
          <w:rFonts w:ascii="Times New Roman" w:hAnsi="Times New Roman" w:cs="Times New Roman"/>
          <w:sz w:val="24"/>
          <w:szCs w:val="24"/>
        </w:rPr>
        <w:t>» експерти відповіли наступним чином (Рис. 12)</w:t>
      </w:r>
      <w:r w:rsidR="00E133CA" w:rsidRPr="006B6712">
        <w:rPr>
          <w:rFonts w:ascii="Times New Roman" w:hAnsi="Times New Roman" w:cs="Times New Roman"/>
          <w:sz w:val="24"/>
          <w:szCs w:val="24"/>
        </w:rPr>
        <w:t>.</w:t>
      </w:r>
    </w:p>
    <w:p w:rsidR="00E133CA" w:rsidRPr="006B6712" w:rsidRDefault="00F628C7" w:rsidP="00C423D0">
      <w:pPr>
        <w:spacing w:after="120"/>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23D0" w:rsidRPr="006B6712" w:rsidRDefault="00F628C7"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Рис. 12. Розподіл відповідей опитуваних щодо наявності офіційного майданчика </w:t>
      </w:r>
      <w:proofErr w:type="spellStart"/>
      <w:r w:rsidRPr="006B6712">
        <w:rPr>
          <w:rFonts w:ascii="Times New Roman" w:hAnsi="Times New Roman" w:cs="Times New Roman"/>
          <w:b/>
          <w:sz w:val="24"/>
          <w:szCs w:val="24"/>
        </w:rPr>
        <w:t>кваліфреформ</w:t>
      </w:r>
      <w:r w:rsidR="00E22D38" w:rsidRPr="006B6712">
        <w:rPr>
          <w:rFonts w:ascii="Times New Roman" w:hAnsi="Times New Roman" w:cs="Times New Roman"/>
          <w:b/>
          <w:sz w:val="24"/>
          <w:szCs w:val="24"/>
        </w:rPr>
        <w:t>и</w:t>
      </w:r>
      <w:proofErr w:type="spellEnd"/>
      <w:r w:rsidRPr="006B6712">
        <w:rPr>
          <w:rFonts w:ascii="Times New Roman" w:hAnsi="Times New Roman" w:cs="Times New Roman"/>
          <w:b/>
          <w:sz w:val="24"/>
          <w:szCs w:val="24"/>
        </w:rPr>
        <w:t>, %.</w:t>
      </w:r>
    </w:p>
    <w:p w:rsidR="00F628C7" w:rsidRPr="006B6712" w:rsidRDefault="00F628C7"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Відповіді респондентів на запитання: «Чи є кваліфікації предметом переговорів при укладанні колективного договору?» показані на Рис. 13.</w:t>
      </w:r>
    </w:p>
    <w:p w:rsidR="00F628C7" w:rsidRPr="006B6712" w:rsidRDefault="00F628C7" w:rsidP="00C423D0">
      <w:pPr>
        <w:spacing w:after="120"/>
        <w:ind w:firstLine="709"/>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3990975" cy="2495550"/>
            <wp:effectExtent l="19050" t="0" r="9525"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23D0" w:rsidRPr="006B6712" w:rsidRDefault="00F628C7"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4"/>
          <w:szCs w:val="24"/>
        </w:rPr>
        <w:t>Рис. 13. Розподіл оцінок експертів щодо</w:t>
      </w:r>
      <w:r w:rsidR="00E22D38" w:rsidRPr="006B6712">
        <w:rPr>
          <w:rFonts w:ascii="Times New Roman" w:hAnsi="Times New Roman" w:cs="Times New Roman"/>
          <w:b/>
          <w:sz w:val="24"/>
          <w:szCs w:val="24"/>
        </w:rPr>
        <w:t xml:space="preserve"> наявності</w:t>
      </w:r>
      <w:r w:rsidRPr="006B6712">
        <w:rPr>
          <w:rFonts w:ascii="Times New Roman" w:hAnsi="Times New Roman" w:cs="Times New Roman"/>
          <w:b/>
          <w:sz w:val="24"/>
          <w:szCs w:val="24"/>
        </w:rPr>
        <w:t xml:space="preserve"> розгляду питань кваліфікацій під час укладання колдоговору, %.</w:t>
      </w:r>
    </w:p>
    <w:p w:rsidR="00C423D0" w:rsidRPr="006B6712" w:rsidRDefault="00F628C7"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Оцінка респондентами наявності та функціонування рад із галузевих професійних навичок продемонстрована на Рис. 14.</w:t>
      </w:r>
    </w:p>
    <w:p w:rsidR="00F628C7" w:rsidRPr="006B6712" w:rsidRDefault="00F628C7" w:rsidP="00C423D0">
      <w:pPr>
        <w:spacing w:after="120"/>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23D0" w:rsidRPr="006B6712" w:rsidRDefault="00F628C7"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4"/>
          <w:szCs w:val="24"/>
        </w:rPr>
        <w:t>Рис. 14. Розподіл відповідей експертів стосовно функціонування рад із галузевих професійних навичок, %.</w:t>
      </w:r>
    </w:p>
    <w:p w:rsidR="003F537D" w:rsidRPr="006B6712" w:rsidRDefault="003F537D"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На запитання: «Чи функціонує національна рада, до складу якої входять усі зацікавлені в кваліфікаціях сторони?» опитувані дали такі відповіді (Рис. 15).</w:t>
      </w:r>
    </w:p>
    <w:p w:rsidR="003F537D" w:rsidRPr="006B6712" w:rsidRDefault="003F537D" w:rsidP="00C423D0">
      <w:pPr>
        <w:spacing w:after="120"/>
        <w:ind w:firstLine="709"/>
        <w:rPr>
          <w:rFonts w:ascii="Times New Roman" w:hAnsi="Times New Roman" w:cs="Times New Roman"/>
          <w:sz w:val="24"/>
          <w:szCs w:val="24"/>
        </w:rPr>
      </w:pPr>
      <w:r w:rsidRPr="006B6712">
        <w:rPr>
          <w:rFonts w:ascii="Times New Roman" w:hAnsi="Times New Roman" w:cs="Times New Roman"/>
          <w:noProof/>
          <w:sz w:val="24"/>
          <w:szCs w:val="24"/>
        </w:rPr>
        <w:lastRenderedPageBreak/>
        <w:drawing>
          <wp:inline distT="0" distB="0" distL="0" distR="0">
            <wp:extent cx="3990975" cy="2495550"/>
            <wp:effectExtent l="19050" t="0" r="9525"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23D0" w:rsidRPr="006B6712" w:rsidRDefault="003F537D"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4"/>
          <w:szCs w:val="24"/>
        </w:rPr>
        <w:t>Рис. 14. Розподіл оцінок експертами  наявності національної ради з кваліфікацій, %.</w:t>
      </w:r>
    </w:p>
    <w:p w:rsidR="003F537D" w:rsidRPr="006B6712" w:rsidRDefault="003F537D" w:rsidP="00C423D0">
      <w:pPr>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На запитання «Чи існують які-небудь інші форми діалогу із </w:t>
      </w:r>
      <w:proofErr w:type="spellStart"/>
      <w:r w:rsidRPr="006B6712">
        <w:rPr>
          <w:rFonts w:ascii="Times New Roman" w:hAnsi="Times New Roman" w:cs="Times New Roman"/>
          <w:sz w:val="24"/>
          <w:szCs w:val="24"/>
        </w:rPr>
        <w:t>стейкхолдерами</w:t>
      </w:r>
      <w:proofErr w:type="spellEnd"/>
      <w:r w:rsidR="00E22D38" w:rsidRPr="006B6712">
        <w:rPr>
          <w:rFonts w:ascii="Times New Roman" w:hAnsi="Times New Roman" w:cs="Times New Roman"/>
          <w:sz w:val="24"/>
          <w:szCs w:val="24"/>
        </w:rPr>
        <w:t>?</w:t>
      </w:r>
      <w:r w:rsidRPr="006B6712">
        <w:rPr>
          <w:rFonts w:ascii="Times New Roman" w:hAnsi="Times New Roman" w:cs="Times New Roman"/>
          <w:sz w:val="24"/>
          <w:szCs w:val="24"/>
        </w:rPr>
        <w:t>» респонденти відповіли наступним чином (Рис. 15).</w:t>
      </w:r>
    </w:p>
    <w:p w:rsidR="003F537D" w:rsidRPr="006B6712" w:rsidRDefault="003F537D" w:rsidP="00C423D0">
      <w:pPr>
        <w:spacing w:after="120"/>
        <w:ind w:firstLine="709"/>
        <w:rPr>
          <w:rFonts w:ascii="Times New Roman" w:hAnsi="Times New Roman" w:cs="Times New Roman"/>
          <w:sz w:val="24"/>
          <w:szCs w:val="24"/>
        </w:rPr>
      </w:pPr>
      <w:r w:rsidRPr="006B6712">
        <w:rPr>
          <w:rFonts w:ascii="Times New Roman" w:hAnsi="Times New Roman" w:cs="Times New Roman"/>
          <w:noProof/>
          <w:sz w:val="24"/>
          <w:szCs w:val="24"/>
        </w:rPr>
        <w:drawing>
          <wp:inline distT="0" distB="0" distL="0" distR="0">
            <wp:extent cx="3990975" cy="2495550"/>
            <wp:effectExtent l="19050" t="0" r="952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537D" w:rsidRPr="006B6712" w:rsidRDefault="003F537D" w:rsidP="00C423D0">
      <w:pPr>
        <w:spacing w:after="120"/>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Рис. 15. Розподіл відповідей опитуваних стосовно наявності інших форм діалогу із </w:t>
      </w:r>
      <w:proofErr w:type="spellStart"/>
      <w:r w:rsidRPr="006B6712">
        <w:rPr>
          <w:rFonts w:ascii="Times New Roman" w:hAnsi="Times New Roman" w:cs="Times New Roman"/>
          <w:b/>
          <w:sz w:val="24"/>
          <w:szCs w:val="24"/>
        </w:rPr>
        <w:t>стейкхолдерами</w:t>
      </w:r>
      <w:proofErr w:type="spellEnd"/>
      <w:r w:rsidRPr="006B6712">
        <w:rPr>
          <w:rFonts w:ascii="Times New Roman" w:hAnsi="Times New Roman" w:cs="Times New Roman"/>
          <w:b/>
          <w:sz w:val="24"/>
          <w:szCs w:val="24"/>
        </w:rPr>
        <w:t>, %.</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Практично ніхто із експертів не дав відповіді на </w:t>
      </w:r>
      <w:r w:rsidR="003D5EB6" w:rsidRPr="006B6712">
        <w:rPr>
          <w:rFonts w:ascii="Times New Roman" w:hAnsi="Times New Roman" w:cs="Times New Roman"/>
          <w:sz w:val="24"/>
          <w:szCs w:val="24"/>
        </w:rPr>
        <w:t xml:space="preserve">відкрите </w:t>
      </w:r>
      <w:r w:rsidRPr="006B6712">
        <w:rPr>
          <w:rFonts w:ascii="Times New Roman" w:hAnsi="Times New Roman" w:cs="Times New Roman"/>
          <w:sz w:val="24"/>
          <w:szCs w:val="24"/>
        </w:rPr>
        <w:t xml:space="preserve">запитання: «Яким чином діалог із зацікавленими сторонами оформлений юридично?», що свідчить, окрім </w:t>
      </w:r>
      <w:r w:rsidR="003D5EB6" w:rsidRPr="006B6712">
        <w:rPr>
          <w:rFonts w:ascii="Times New Roman" w:hAnsi="Times New Roman" w:cs="Times New Roman"/>
          <w:sz w:val="24"/>
          <w:szCs w:val="24"/>
        </w:rPr>
        <w:t>іншого</w:t>
      </w:r>
      <w:r w:rsidRPr="006B6712">
        <w:rPr>
          <w:rFonts w:ascii="Times New Roman" w:hAnsi="Times New Roman" w:cs="Times New Roman"/>
          <w:sz w:val="24"/>
          <w:szCs w:val="24"/>
        </w:rPr>
        <w:t>, про започаткування в Україні цього процесу.</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На </w:t>
      </w:r>
      <w:r w:rsidR="003D5EB6" w:rsidRPr="006B6712">
        <w:rPr>
          <w:rFonts w:ascii="Times New Roman" w:hAnsi="Times New Roman" w:cs="Times New Roman"/>
          <w:sz w:val="24"/>
          <w:szCs w:val="24"/>
        </w:rPr>
        <w:t xml:space="preserve">відкрите </w:t>
      </w:r>
      <w:r w:rsidRPr="006B6712">
        <w:rPr>
          <w:rFonts w:ascii="Times New Roman" w:hAnsi="Times New Roman" w:cs="Times New Roman"/>
          <w:sz w:val="24"/>
          <w:szCs w:val="24"/>
        </w:rPr>
        <w:t>запитання про те, як більш ефективно юридично оформити цей діалог, дав відповідь кожен п’ятий експерт. Ключовим шляхом вирішення цієї проблеми на думку опитаних виступає прийняття необхідної нормативно-правової бази (постанова чи розпорядження КМУ), підписання відповідних угод про співпрацю, підготовка профільних юристів. На запитання щодо напрямків забезпечення підтримки процесів організації зацікавлених сторін експерти акцентують свою увагу на таких заходах:</w:t>
      </w:r>
    </w:p>
    <w:p w:rsidR="00C423D0" w:rsidRPr="006B6712" w:rsidRDefault="003D5EB6"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започаткування створення</w:t>
      </w:r>
      <w:r w:rsidR="00C423D0" w:rsidRPr="006B6712">
        <w:rPr>
          <w:rFonts w:ascii="Times New Roman" w:hAnsi="Times New Roman" w:cs="Times New Roman"/>
          <w:sz w:val="24"/>
          <w:szCs w:val="24"/>
        </w:rPr>
        <w:t xml:space="preserve"> системи центрів експертизи та розробки відповідних нормативних та рекомендаційних документів, розбудова на їх основі інституціональної структури забезпечення НСК;</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 залучення до співпраці держаних органів, міжнародних (зарубіжних) організацій та донорів;</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систематичні зустрічі, в т.ч. за фокус-групами, через </w:t>
      </w:r>
      <w:proofErr w:type="spellStart"/>
      <w:r w:rsidR="003D5EB6" w:rsidRPr="006B6712">
        <w:rPr>
          <w:rFonts w:ascii="Times New Roman" w:hAnsi="Times New Roman" w:cs="Times New Roman"/>
          <w:sz w:val="24"/>
          <w:szCs w:val="24"/>
        </w:rPr>
        <w:t>відеоконференцзв’язок</w:t>
      </w:r>
      <w:proofErr w:type="spellEnd"/>
      <w:r w:rsidRPr="006B6712">
        <w:rPr>
          <w:rFonts w:ascii="Times New Roman" w:hAnsi="Times New Roman" w:cs="Times New Roman"/>
          <w:sz w:val="24"/>
          <w:szCs w:val="24"/>
        </w:rPr>
        <w:t xml:space="preserve"> тощо;</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першочергове створення Національного агентства з кваліфікацій;</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формування системи відповідальності за отримані (не отримані) результати;</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першочергове створення законодавчо-нормативної бази та запровадження належного фінансування із різних джерел (за превалювання</w:t>
      </w:r>
      <w:r w:rsidR="003D5EB6" w:rsidRPr="006B6712">
        <w:rPr>
          <w:rFonts w:ascii="Times New Roman" w:hAnsi="Times New Roman" w:cs="Times New Roman"/>
          <w:sz w:val="24"/>
          <w:szCs w:val="24"/>
        </w:rPr>
        <w:t>м</w:t>
      </w:r>
      <w:r w:rsidRPr="006B6712">
        <w:rPr>
          <w:rFonts w:ascii="Times New Roman" w:hAnsi="Times New Roman" w:cs="Times New Roman"/>
          <w:sz w:val="24"/>
          <w:szCs w:val="24"/>
        </w:rPr>
        <w:t xml:space="preserve"> в перші роки частки держави);</w:t>
      </w:r>
    </w:p>
    <w:p w:rsidR="00C423D0" w:rsidRPr="006B6712" w:rsidRDefault="00C423D0" w:rsidP="00C423D0">
      <w:pPr>
        <w:shd w:val="pct20" w:color="auto" w:fill="auto"/>
        <w:spacing w:after="120"/>
        <w:ind w:firstLine="709"/>
        <w:rPr>
          <w:rFonts w:ascii="Times New Roman" w:hAnsi="Times New Roman" w:cs="Times New Roman"/>
          <w:sz w:val="24"/>
          <w:szCs w:val="24"/>
        </w:rPr>
      </w:pPr>
      <w:r w:rsidRPr="006B6712">
        <w:rPr>
          <w:rFonts w:ascii="Times New Roman" w:hAnsi="Times New Roman" w:cs="Times New Roman"/>
          <w:sz w:val="24"/>
          <w:szCs w:val="24"/>
        </w:rPr>
        <w:t xml:space="preserve">- застосування алгоритму відбору зацікавлених сторін шляхом: виявлення їх статутних пріоритетів, амбіцій керівників та їхніх команд, реальних здатностей і можливостей, конкретних мотивів та інтересів тощо; підписання із кожним </w:t>
      </w:r>
      <w:proofErr w:type="spellStart"/>
      <w:r w:rsidRPr="006B6712">
        <w:rPr>
          <w:rFonts w:ascii="Times New Roman" w:hAnsi="Times New Roman" w:cs="Times New Roman"/>
          <w:sz w:val="24"/>
          <w:szCs w:val="24"/>
        </w:rPr>
        <w:t>стейкхолдером</w:t>
      </w:r>
      <w:proofErr w:type="spellEnd"/>
      <w:r w:rsidRPr="006B6712">
        <w:rPr>
          <w:rFonts w:ascii="Times New Roman" w:hAnsi="Times New Roman" w:cs="Times New Roman"/>
          <w:sz w:val="24"/>
          <w:szCs w:val="24"/>
        </w:rPr>
        <w:t xml:space="preserve"> угоди про спільну участь у вирішення питань кваліфікацій на основі взаємної </w:t>
      </w:r>
      <w:r w:rsidR="003D5EB6" w:rsidRPr="006B6712">
        <w:rPr>
          <w:rFonts w:ascii="Times New Roman" w:hAnsi="Times New Roman" w:cs="Times New Roman"/>
          <w:sz w:val="24"/>
          <w:szCs w:val="24"/>
        </w:rPr>
        <w:t>в</w:t>
      </w:r>
      <w:r w:rsidRPr="006B6712">
        <w:rPr>
          <w:rFonts w:ascii="Times New Roman" w:hAnsi="Times New Roman" w:cs="Times New Roman"/>
          <w:sz w:val="24"/>
          <w:szCs w:val="24"/>
        </w:rPr>
        <w:t>мотивованості; складання з кожним учасником графіків виконання роб</w:t>
      </w:r>
      <w:r w:rsidR="00490CA2" w:rsidRPr="006B6712">
        <w:rPr>
          <w:rFonts w:ascii="Times New Roman" w:hAnsi="Times New Roman" w:cs="Times New Roman"/>
          <w:sz w:val="24"/>
          <w:szCs w:val="24"/>
        </w:rPr>
        <w:t>іт</w:t>
      </w:r>
      <w:r w:rsidRPr="006B6712">
        <w:rPr>
          <w:rFonts w:ascii="Times New Roman" w:hAnsi="Times New Roman" w:cs="Times New Roman"/>
          <w:sz w:val="24"/>
          <w:szCs w:val="24"/>
        </w:rPr>
        <w:t xml:space="preserve">, </w:t>
      </w:r>
      <w:r w:rsidR="003D5EB6" w:rsidRPr="006B6712">
        <w:rPr>
          <w:rFonts w:ascii="Times New Roman" w:hAnsi="Times New Roman" w:cs="Times New Roman"/>
          <w:sz w:val="24"/>
          <w:szCs w:val="24"/>
        </w:rPr>
        <w:t>с</w:t>
      </w:r>
      <w:r w:rsidRPr="006B6712">
        <w:rPr>
          <w:rFonts w:ascii="Times New Roman" w:hAnsi="Times New Roman" w:cs="Times New Roman"/>
          <w:sz w:val="24"/>
          <w:szCs w:val="24"/>
        </w:rPr>
        <w:t>пільного контрол</w:t>
      </w:r>
      <w:r w:rsidR="003D5EB6" w:rsidRPr="006B6712">
        <w:rPr>
          <w:rFonts w:ascii="Times New Roman" w:hAnsi="Times New Roman" w:cs="Times New Roman"/>
          <w:sz w:val="24"/>
          <w:szCs w:val="24"/>
        </w:rPr>
        <w:t>ю</w:t>
      </w:r>
      <w:r w:rsidR="00955CA3" w:rsidRPr="006B6712">
        <w:rPr>
          <w:rFonts w:ascii="Times New Roman" w:hAnsi="Times New Roman" w:cs="Times New Roman"/>
          <w:sz w:val="24"/>
          <w:szCs w:val="24"/>
        </w:rPr>
        <w:t xml:space="preserve"> </w:t>
      </w:r>
      <w:r w:rsidRPr="006B6712">
        <w:rPr>
          <w:rFonts w:ascii="Times New Roman" w:hAnsi="Times New Roman" w:cs="Times New Roman"/>
          <w:sz w:val="24"/>
          <w:szCs w:val="24"/>
        </w:rPr>
        <w:t xml:space="preserve">і фінансування </w:t>
      </w:r>
      <w:r w:rsidR="00490CA2" w:rsidRPr="006B6712">
        <w:rPr>
          <w:rFonts w:ascii="Times New Roman" w:hAnsi="Times New Roman" w:cs="Times New Roman"/>
          <w:sz w:val="24"/>
          <w:szCs w:val="24"/>
        </w:rPr>
        <w:t>.</w:t>
      </w:r>
    </w:p>
    <w:p w:rsidR="00955CA3" w:rsidRPr="006B6712" w:rsidRDefault="00583CBF" w:rsidP="00583CBF">
      <w:pPr>
        <w:tabs>
          <w:tab w:val="left" w:pos="2490"/>
        </w:tabs>
        <w:rPr>
          <w:rFonts w:ascii="Times New Roman" w:hAnsi="Times New Roman" w:cs="Times New Roman"/>
          <w:sz w:val="24"/>
          <w:szCs w:val="24"/>
        </w:rPr>
        <w:sectPr w:rsidR="00955CA3" w:rsidRPr="006B6712">
          <w:pgSz w:w="11906" w:h="16838"/>
          <w:pgMar w:top="850" w:right="850" w:bottom="850" w:left="1417" w:header="708" w:footer="708" w:gutter="0"/>
          <w:cols w:space="708"/>
          <w:docGrid w:linePitch="360"/>
        </w:sectPr>
      </w:pPr>
      <w:r w:rsidRPr="006B6712">
        <w:rPr>
          <w:rFonts w:ascii="Times New Roman" w:hAnsi="Times New Roman" w:cs="Times New Roman"/>
          <w:sz w:val="24"/>
          <w:szCs w:val="24"/>
        </w:rPr>
        <w:tab/>
      </w:r>
    </w:p>
    <w:p w:rsidR="00A83E7E" w:rsidRPr="006B6712" w:rsidRDefault="00A83E7E" w:rsidP="00A83E7E">
      <w:pPr>
        <w:ind w:firstLine="709"/>
        <w:jc w:val="right"/>
        <w:rPr>
          <w:rFonts w:ascii="Times New Roman" w:hAnsi="Times New Roman" w:cs="Times New Roman"/>
          <w:sz w:val="24"/>
          <w:szCs w:val="24"/>
        </w:rPr>
      </w:pPr>
      <w:r w:rsidRPr="006B6712">
        <w:rPr>
          <w:rFonts w:ascii="Times New Roman" w:hAnsi="Times New Roman" w:cs="Times New Roman"/>
          <w:sz w:val="24"/>
          <w:szCs w:val="24"/>
        </w:rPr>
        <w:lastRenderedPageBreak/>
        <w:t>Додаток</w:t>
      </w:r>
    </w:p>
    <w:p w:rsidR="00A83E7E" w:rsidRPr="006B6712" w:rsidRDefault="00A83E7E" w:rsidP="00A83E7E">
      <w:pPr>
        <w:ind w:firstLine="709"/>
        <w:jc w:val="center"/>
        <w:rPr>
          <w:rFonts w:ascii="Times New Roman" w:hAnsi="Times New Roman" w:cs="Times New Roman"/>
          <w:b/>
          <w:sz w:val="28"/>
          <w:szCs w:val="28"/>
        </w:rPr>
      </w:pPr>
      <w:r w:rsidRPr="006B6712">
        <w:rPr>
          <w:rFonts w:ascii="Times New Roman" w:hAnsi="Times New Roman" w:cs="Times New Roman"/>
          <w:b/>
          <w:sz w:val="28"/>
          <w:szCs w:val="28"/>
        </w:rPr>
        <w:t>Список</w:t>
      </w:r>
    </w:p>
    <w:p w:rsidR="00A83E7E" w:rsidRPr="006B6712" w:rsidRDefault="00A83E7E" w:rsidP="00A83E7E">
      <w:pPr>
        <w:ind w:firstLine="709"/>
        <w:jc w:val="center"/>
        <w:rPr>
          <w:rFonts w:ascii="Times New Roman" w:hAnsi="Times New Roman" w:cs="Times New Roman"/>
          <w:b/>
          <w:sz w:val="28"/>
          <w:szCs w:val="28"/>
        </w:rPr>
      </w:pPr>
      <w:r w:rsidRPr="006B6712">
        <w:rPr>
          <w:rFonts w:ascii="Times New Roman" w:hAnsi="Times New Roman" w:cs="Times New Roman"/>
          <w:b/>
          <w:sz w:val="28"/>
          <w:szCs w:val="28"/>
        </w:rPr>
        <w:t>представників заінтересованих сторін, які прийняли участь в експертному опитуванні з питань стану і перспектив розвитку «світу» кваліфікацій в Україні.</w:t>
      </w:r>
    </w:p>
    <w:p w:rsidR="00A83E7E" w:rsidRPr="006B6712" w:rsidRDefault="00A83E7E" w:rsidP="00A83E7E">
      <w:pPr>
        <w:ind w:firstLine="709"/>
        <w:rPr>
          <w:rFonts w:ascii="Times New Roman" w:hAnsi="Times New Roman" w:cs="Times New Roman"/>
          <w:b/>
          <w:sz w:val="24"/>
          <w:szCs w:val="24"/>
        </w:rPr>
      </w:pPr>
      <w:r w:rsidRPr="006B6712">
        <w:rPr>
          <w:rFonts w:ascii="Times New Roman" w:hAnsi="Times New Roman" w:cs="Times New Roman"/>
          <w:b/>
          <w:sz w:val="24"/>
          <w:szCs w:val="24"/>
        </w:rPr>
        <w:t xml:space="preserve">І. Представники центральних органів виконавчої влади. </w:t>
      </w:r>
    </w:p>
    <w:p w:rsidR="00A83E7E" w:rsidRPr="006B6712" w:rsidRDefault="00A83E7E" w:rsidP="00A83E7E">
      <w:pPr>
        <w:ind w:firstLine="709"/>
        <w:rPr>
          <w:rFonts w:ascii="Times New Roman" w:hAnsi="Times New Roman" w:cs="Times New Roman"/>
          <w:sz w:val="24"/>
          <w:szCs w:val="24"/>
        </w:rPr>
      </w:pPr>
      <w:r w:rsidRPr="006B6712">
        <w:rPr>
          <w:rFonts w:ascii="Times New Roman" w:hAnsi="Times New Roman" w:cs="Times New Roman"/>
          <w:sz w:val="24"/>
          <w:szCs w:val="24"/>
        </w:rPr>
        <w:t>1. Міністерство оборони України.</w:t>
      </w:r>
    </w:p>
    <w:p w:rsidR="00A83E7E" w:rsidRPr="006B6712" w:rsidRDefault="00A83E7E" w:rsidP="00A83E7E">
      <w:pPr>
        <w:ind w:firstLine="709"/>
        <w:rPr>
          <w:rFonts w:ascii="Times New Roman" w:hAnsi="Times New Roman" w:cs="Times New Roman"/>
          <w:sz w:val="24"/>
          <w:szCs w:val="24"/>
        </w:rPr>
      </w:pPr>
      <w:r w:rsidRPr="006B6712">
        <w:rPr>
          <w:rFonts w:ascii="Times New Roman" w:hAnsi="Times New Roman" w:cs="Times New Roman"/>
          <w:sz w:val="24"/>
          <w:szCs w:val="24"/>
        </w:rPr>
        <w:t>2. Міністерство соціальної політики України,</w:t>
      </w:r>
      <w:r w:rsidR="00490CA2" w:rsidRPr="006B6712">
        <w:rPr>
          <w:rFonts w:ascii="Times New Roman" w:hAnsi="Times New Roman" w:cs="Times New Roman"/>
          <w:sz w:val="24"/>
          <w:szCs w:val="24"/>
        </w:rPr>
        <w:t xml:space="preserve"> </w:t>
      </w:r>
      <w:r w:rsidRPr="006B6712">
        <w:rPr>
          <w:rFonts w:ascii="Times New Roman" w:hAnsi="Times New Roman" w:cs="Times New Roman"/>
          <w:sz w:val="24"/>
          <w:szCs w:val="24"/>
        </w:rPr>
        <w:t>Департамент заробітної плати та умов праці.</w:t>
      </w:r>
    </w:p>
    <w:p w:rsidR="00A83E7E" w:rsidRPr="006B6712" w:rsidRDefault="00A83E7E" w:rsidP="00A83E7E">
      <w:pPr>
        <w:ind w:firstLine="709"/>
        <w:rPr>
          <w:rFonts w:ascii="Times New Roman" w:hAnsi="Times New Roman" w:cs="Times New Roman"/>
          <w:sz w:val="24"/>
          <w:szCs w:val="24"/>
        </w:rPr>
      </w:pPr>
      <w:r w:rsidRPr="006B6712">
        <w:rPr>
          <w:rFonts w:ascii="Times New Roman" w:hAnsi="Times New Roman" w:cs="Times New Roman"/>
          <w:sz w:val="24"/>
          <w:szCs w:val="24"/>
        </w:rPr>
        <w:t xml:space="preserve">3. Адміністрація </w:t>
      </w:r>
      <w:proofErr w:type="spellStart"/>
      <w:r w:rsidRPr="006B6712">
        <w:rPr>
          <w:rFonts w:ascii="Times New Roman" w:hAnsi="Times New Roman" w:cs="Times New Roman"/>
          <w:sz w:val="24"/>
          <w:szCs w:val="24"/>
        </w:rPr>
        <w:t>Держспецзв’язку</w:t>
      </w:r>
      <w:proofErr w:type="spellEnd"/>
      <w:r w:rsidRPr="006B6712">
        <w:rPr>
          <w:rFonts w:ascii="Times New Roman" w:hAnsi="Times New Roman" w:cs="Times New Roman"/>
          <w:sz w:val="24"/>
          <w:szCs w:val="24"/>
        </w:rPr>
        <w:t xml:space="preserve"> України.</w:t>
      </w:r>
    </w:p>
    <w:p w:rsidR="00A83E7E" w:rsidRPr="006B6712" w:rsidRDefault="00A83E7E" w:rsidP="00A83E7E">
      <w:pPr>
        <w:ind w:firstLine="709"/>
        <w:rPr>
          <w:rFonts w:ascii="Times New Roman" w:hAnsi="Times New Roman" w:cs="Times New Roman"/>
          <w:sz w:val="24"/>
          <w:szCs w:val="24"/>
        </w:rPr>
      </w:pPr>
      <w:r w:rsidRPr="006B6712">
        <w:rPr>
          <w:rFonts w:ascii="Times New Roman" w:hAnsi="Times New Roman" w:cs="Times New Roman"/>
          <w:sz w:val="24"/>
          <w:szCs w:val="24"/>
        </w:rPr>
        <w:t>4. Департамент з питань безпеки, оборони та діяльності органів юстиції Секретаріату Кабінету Міністрів України.</w:t>
      </w:r>
    </w:p>
    <w:p w:rsidR="00A83E7E" w:rsidRPr="006B6712" w:rsidRDefault="00A83E7E" w:rsidP="00A83E7E">
      <w:pPr>
        <w:ind w:firstLine="709"/>
        <w:rPr>
          <w:rFonts w:ascii="Times New Roman" w:hAnsi="Times New Roman" w:cs="Times New Roman"/>
          <w:sz w:val="24"/>
          <w:szCs w:val="24"/>
        </w:rPr>
      </w:pPr>
      <w:r w:rsidRPr="006B6712">
        <w:rPr>
          <w:rFonts w:ascii="Times New Roman" w:hAnsi="Times New Roman" w:cs="Times New Roman"/>
          <w:sz w:val="24"/>
          <w:szCs w:val="24"/>
        </w:rPr>
        <w:t>5. Міністерство соціальної політики України, Департамент ринку праці і зайнятості.</w:t>
      </w:r>
    </w:p>
    <w:p w:rsidR="00583CBF" w:rsidRPr="006B6712" w:rsidRDefault="00583CBF" w:rsidP="00A83E7E">
      <w:pPr>
        <w:ind w:firstLine="709"/>
        <w:rPr>
          <w:rFonts w:ascii="Times New Roman" w:hAnsi="Times New Roman" w:cs="Times New Roman"/>
          <w:sz w:val="24"/>
          <w:szCs w:val="24"/>
        </w:rPr>
      </w:pPr>
    </w:p>
    <w:p w:rsidR="00583CBF" w:rsidRPr="006B6712" w:rsidRDefault="00583CBF" w:rsidP="00583CBF">
      <w:pPr>
        <w:ind w:firstLine="709"/>
        <w:rPr>
          <w:rFonts w:ascii="Times New Roman" w:hAnsi="Times New Roman" w:cs="Times New Roman"/>
          <w:b/>
          <w:sz w:val="24"/>
          <w:szCs w:val="24"/>
        </w:rPr>
      </w:pPr>
      <w:r w:rsidRPr="006B6712">
        <w:rPr>
          <w:rFonts w:ascii="Times New Roman" w:hAnsi="Times New Roman" w:cs="Times New Roman"/>
          <w:b/>
          <w:sz w:val="24"/>
          <w:szCs w:val="24"/>
        </w:rPr>
        <w:t>ІІ. Представники об’єднання організацій роботодавців і профспілок, підпорядкованих їм підрозділів, крупних підприємств.</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 Профспілка залізничників і транспортних будівельників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2. Департамент з розвитку персоналу ТОВ «ДТЕК».</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3. Профспілка працівників атомної енергетики та промисловості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4. ДП «Морський торговельний порт «</w:t>
      </w:r>
      <w:proofErr w:type="spellStart"/>
      <w:r w:rsidRPr="006B6712">
        <w:rPr>
          <w:rFonts w:ascii="Times New Roman" w:hAnsi="Times New Roman" w:cs="Times New Roman"/>
          <w:sz w:val="24"/>
          <w:szCs w:val="24"/>
        </w:rPr>
        <w:t>Южний</w:t>
      </w:r>
      <w:proofErr w:type="spellEnd"/>
      <w:r w:rsidRPr="006B6712">
        <w:rPr>
          <w:rFonts w:ascii="Times New Roman" w:hAnsi="Times New Roman" w:cs="Times New Roman"/>
          <w:sz w:val="24"/>
          <w:szCs w:val="24"/>
        </w:rPr>
        <w:t>».</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5. Інститут професійних кваліфікацій.</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6. Федерація організацій роботодавців Дніпропетровщини. Навчально-методичний центр.</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7. ТОВ «Бізнес-інкубатор» (м. Миколаїв).</w:t>
      </w:r>
    </w:p>
    <w:p w:rsidR="00583CBF" w:rsidRPr="006B6712" w:rsidRDefault="00583CBF" w:rsidP="00583CBF">
      <w:pPr>
        <w:ind w:firstLine="709"/>
        <w:rPr>
          <w:rFonts w:ascii="Times New Roman" w:hAnsi="Times New Roman" w:cs="Times New Roman"/>
          <w:sz w:val="24"/>
          <w:szCs w:val="24"/>
        </w:rPr>
      </w:pPr>
    </w:p>
    <w:p w:rsidR="00583CBF" w:rsidRPr="006B6712" w:rsidRDefault="00583CBF" w:rsidP="00583CBF">
      <w:pPr>
        <w:ind w:firstLine="709"/>
        <w:rPr>
          <w:rFonts w:ascii="Times New Roman" w:hAnsi="Times New Roman" w:cs="Times New Roman"/>
          <w:b/>
          <w:sz w:val="24"/>
          <w:szCs w:val="24"/>
        </w:rPr>
      </w:pPr>
      <w:r w:rsidRPr="006B6712">
        <w:rPr>
          <w:rFonts w:ascii="Times New Roman" w:hAnsi="Times New Roman" w:cs="Times New Roman"/>
          <w:b/>
          <w:sz w:val="24"/>
          <w:szCs w:val="24"/>
        </w:rPr>
        <w:t>ІІІ. Представники вищих навчальних закладів.</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 Національний авіаційний університет.</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2. Київський національний економічний університет імені В. Гетьмана.</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3. Одеський морський університет.</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4. Міжнародний політехнічний університет «Миколаївська політехніка».</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lastRenderedPageBreak/>
        <w:t>5. Львівський державний університет внутрішніх справ.</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6. Хмельницький національний університет.</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7. Університет економіки і права КРОК.</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8. Глухівський Національний педагогічний університет імені О. Довженка.</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9. Харківський національний університет імені В.Н. </w:t>
      </w:r>
      <w:proofErr w:type="spellStart"/>
      <w:r w:rsidRPr="006B6712">
        <w:rPr>
          <w:rFonts w:ascii="Times New Roman" w:hAnsi="Times New Roman" w:cs="Times New Roman"/>
          <w:sz w:val="24"/>
          <w:szCs w:val="24"/>
        </w:rPr>
        <w:t>Каразіна</w:t>
      </w:r>
      <w:proofErr w:type="spellEnd"/>
      <w:r w:rsidRPr="006B6712">
        <w:rPr>
          <w:rFonts w:ascii="Times New Roman" w:hAnsi="Times New Roman" w:cs="Times New Roman"/>
          <w:sz w:val="24"/>
          <w:szCs w:val="24"/>
        </w:rPr>
        <w:t>.</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10. Національний лісотехнічний університет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11. Луганський національний університет ім. Т.Г. Шевченка (м. </w:t>
      </w:r>
      <w:proofErr w:type="spellStart"/>
      <w:r w:rsidRPr="006B6712">
        <w:rPr>
          <w:rFonts w:ascii="Times New Roman" w:hAnsi="Times New Roman" w:cs="Times New Roman"/>
          <w:sz w:val="24"/>
          <w:szCs w:val="24"/>
        </w:rPr>
        <w:t>Старобільськ</w:t>
      </w:r>
      <w:proofErr w:type="spellEnd"/>
      <w:r w:rsidRPr="006B6712">
        <w:rPr>
          <w:rFonts w:ascii="Times New Roman" w:hAnsi="Times New Roman" w:cs="Times New Roman"/>
          <w:sz w:val="24"/>
          <w:szCs w:val="24"/>
        </w:rPr>
        <w:t>).</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12. Львівський політехнічний університет.</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13. Національний технічний університет «КПІ».</w:t>
      </w:r>
    </w:p>
    <w:p w:rsidR="00583CBF" w:rsidRPr="006B6712" w:rsidRDefault="00583CBF" w:rsidP="00583CBF">
      <w:pPr>
        <w:ind w:firstLine="709"/>
        <w:rPr>
          <w:rFonts w:ascii="Times New Roman" w:hAnsi="Times New Roman" w:cs="Times New Roman"/>
          <w:sz w:val="24"/>
          <w:szCs w:val="24"/>
        </w:rPr>
      </w:pPr>
    </w:p>
    <w:p w:rsidR="00583CBF" w:rsidRPr="006B6712" w:rsidRDefault="00583CBF" w:rsidP="00583CBF">
      <w:pPr>
        <w:ind w:firstLine="709"/>
        <w:rPr>
          <w:rFonts w:ascii="Times New Roman" w:hAnsi="Times New Roman" w:cs="Times New Roman"/>
          <w:b/>
          <w:sz w:val="24"/>
          <w:szCs w:val="24"/>
        </w:rPr>
      </w:pPr>
      <w:r w:rsidRPr="006B6712">
        <w:rPr>
          <w:rFonts w:ascii="Times New Roman" w:hAnsi="Times New Roman" w:cs="Times New Roman"/>
          <w:b/>
          <w:sz w:val="24"/>
          <w:szCs w:val="24"/>
        </w:rPr>
        <w:t>ІV. Представники інших навчальних закладів, навчально-виробничих центрів (комплексів), органів незалежної сертифікації персоналу.</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 Навчально-курс</w:t>
      </w:r>
      <w:r w:rsidR="00DA1110" w:rsidRPr="006B6712">
        <w:rPr>
          <w:rFonts w:ascii="Times New Roman" w:hAnsi="Times New Roman" w:cs="Times New Roman"/>
          <w:sz w:val="24"/>
          <w:szCs w:val="24"/>
        </w:rPr>
        <w:t>овий комбінат ДП «Морський торго</w:t>
      </w:r>
      <w:r w:rsidRPr="006B6712">
        <w:rPr>
          <w:rFonts w:ascii="Times New Roman" w:hAnsi="Times New Roman" w:cs="Times New Roman"/>
          <w:sz w:val="24"/>
          <w:szCs w:val="24"/>
        </w:rPr>
        <w:t>вельний порт «</w:t>
      </w:r>
      <w:proofErr w:type="spellStart"/>
      <w:r w:rsidRPr="006B6712">
        <w:rPr>
          <w:rFonts w:ascii="Times New Roman" w:hAnsi="Times New Roman" w:cs="Times New Roman"/>
          <w:sz w:val="24"/>
          <w:szCs w:val="24"/>
        </w:rPr>
        <w:t>Южний</w:t>
      </w:r>
      <w:proofErr w:type="spellEnd"/>
      <w:r w:rsidRPr="006B6712">
        <w:rPr>
          <w:rFonts w:ascii="Times New Roman" w:hAnsi="Times New Roman" w:cs="Times New Roman"/>
          <w:sz w:val="24"/>
          <w:szCs w:val="24"/>
        </w:rPr>
        <w:t>».</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2. Відокремлений підрозділ «Учбовий центр» </w:t>
      </w:r>
      <w:proofErr w:type="spellStart"/>
      <w:r w:rsidRPr="006B6712">
        <w:rPr>
          <w:rFonts w:ascii="Times New Roman" w:hAnsi="Times New Roman" w:cs="Times New Roman"/>
          <w:sz w:val="24"/>
          <w:szCs w:val="24"/>
        </w:rPr>
        <w:t>ПрАТ</w:t>
      </w:r>
      <w:proofErr w:type="spellEnd"/>
      <w:r w:rsidRPr="006B6712">
        <w:rPr>
          <w:rFonts w:ascii="Times New Roman" w:hAnsi="Times New Roman" w:cs="Times New Roman"/>
          <w:sz w:val="24"/>
          <w:szCs w:val="24"/>
        </w:rPr>
        <w:t xml:space="preserve"> «Українське Дунайське пароплавство».</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3. Київський професійний коледж з поглибленою військовою і фізичною підготовкою.</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4. Навчально-методичний </w:t>
      </w:r>
      <w:r w:rsidR="00490CA2" w:rsidRPr="006B6712">
        <w:rPr>
          <w:rFonts w:ascii="Times New Roman" w:hAnsi="Times New Roman" w:cs="Times New Roman"/>
          <w:sz w:val="24"/>
          <w:szCs w:val="24"/>
        </w:rPr>
        <w:t>кабінет</w:t>
      </w:r>
      <w:r w:rsidRPr="006B6712">
        <w:rPr>
          <w:rFonts w:ascii="Times New Roman" w:hAnsi="Times New Roman" w:cs="Times New Roman"/>
          <w:sz w:val="24"/>
          <w:szCs w:val="24"/>
        </w:rPr>
        <w:t xml:space="preserve"> професійно-технічної освіти у м. Києві.</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5. Орган сертифікації персоналу Української асоціації якості.</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6. Центр авіаційної підготовки та сертифікації (м. Київ).</w:t>
      </w:r>
    </w:p>
    <w:p w:rsidR="00DA1110" w:rsidRPr="006B6712" w:rsidRDefault="00DA1110" w:rsidP="00583CBF">
      <w:pPr>
        <w:ind w:firstLine="709"/>
        <w:rPr>
          <w:rFonts w:ascii="Times New Roman" w:hAnsi="Times New Roman" w:cs="Times New Roman"/>
          <w:sz w:val="24"/>
          <w:szCs w:val="24"/>
        </w:rPr>
      </w:pPr>
    </w:p>
    <w:p w:rsidR="00583CBF" w:rsidRPr="006B6712" w:rsidRDefault="00583CBF" w:rsidP="00583CBF">
      <w:pPr>
        <w:ind w:firstLine="709"/>
        <w:rPr>
          <w:rFonts w:ascii="Times New Roman" w:hAnsi="Times New Roman" w:cs="Times New Roman"/>
          <w:b/>
          <w:sz w:val="24"/>
          <w:szCs w:val="24"/>
        </w:rPr>
      </w:pPr>
      <w:r w:rsidRPr="006B6712">
        <w:rPr>
          <w:rFonts w:ascii="Times New Roman" w:hAnsi="Times New Roman" w:cs="Times New Roman"/>
          <w:b/>
          <w:sz w:val="24"/>
          <w:szCs w:val="24"/>
        </w:rPr>
        <w:t>V. Представники професійних асоціацій та інших громадських об’єднань відповідного спрямування.</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 Українська асоціація якості.</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2. Асоціація культурного підприємництва «Пік-Арт».</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3. Всеукраїнська асоціація професіоналів з національної безпеки.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4. Громадська організація «Комітет стандартів салонів краси».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5. МБФ «Міжнародний фонд досліджень освітньої політики».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6. Українська асоціація з розвитку менеджменту та бізнес-освіти.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7. Громадська організація «Благодійний фонд «</w:t>
      </w:r>
      <w:proofErr w:type="spellStart"/>
      <w:r w:rsidRPr="006B6712">
        <w:rPr>
          <w:rFonts w:ascii="Times New Roman" w:hAnsi="Times New Roman" w:cs="Times New Roman"/>
          <w:sz w:val="24"/>
          <w:szCs w:val="24"/>
        </w:rPr>
        <w:t>е-Терра</w:t>
      </w:r>
      <w:proofErr w:type="spellEnd"/>
      <w:r w:rsidRPr="006B6712">
        <w:rPr>
          <w:rFonts w:ascii="Times New Roman" w:hAnsi="Times New Roman" w:cs="Times New Roman"/>
          <w:sz w:val="24"/>
          <w:szCs w:val="24"/>
        </w:rPr>
        <w:t>».</w:t>
      </w:r>
    </w:p>
    <w:p w:rsidR="00DA1110" w:rsidRPr="006B6712" w:rsidRDefault="00DA1110" w:rsidP="00583CBF">
      <w:pPr>
        <w:ind w:firstLine="709"/>
        <w:rPr>
          <w:rFonts w:ascii="Times New Roman" w:hAnsi="Times New Roman" w:cs="Times New Roman"/>
          <w:sz w:val="24"/>
          <w:szCs w:val="24"/>
        </w:rPr>
      </w:pPr>
      <w:r w:rsidRPr="006B6712">
        <w:rPr>
          <w:rFonts w:ascii="Times New Roman" w:hAnsi="Times New Roman" w:cs="Times New Roman"/>
          <w:sz w:val="24"/>
          <w:szCs w:val="24"/>
        </w:rPr>
        <w:t>8. Федерація професійних бухгалтерів і аудиторів України.</w:t>
      </w:r>
    </w:p>
    <w:p w:rsidR="00DA1110" w:rsidRPr="006B6712" w:rsidRDefault="00DA1110" w:rsidP="00583CBF">
      <w:pPr>
        <w:ind w:firstLine="709"/>
        <w:rPr>
          <w:rFonts w:ascii="Times New Roman" w:hAnsi="Times New Roman" w:cs="Times New Roman"/>
          <w:sz w:val="24"/>
          <w:szCs w:val="24"/>
        </w:rPr>
      </w:pPr>
    </w:p>
    <w:p w:rsidR="00583CBF" w:rsidRPr="006B6712" w:rsidRDefault="00583CBF" w:rsidP="00583CBF">
      <w:pPr>
        <w:ind w:firstLine="709"/>
        <w:rPr>
          <w:rFonts w:ascii="Times New Roman" w:hAnsi="Times New Roman" w:cs="Times New Roman"/>
          <w:b/>
          <w:sz w:val="24"/>
          <w:szCs w:val="24"/>
        </w:rPr>
      </w:pPr>
      <w:r w:rsidRPr="006B6712">
        <w:rPr>
          <w:rFonts w:ascii="Times New Roman" w:hAnsi="Times New Roman" w:cs="Times New Roman"/>
          <w:b/>
          <w:sz w:val="24"/>
          <w:szCs w:val="24"/>
        </w:rPr>
        <w:t>VI. Представники наукових установ.</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1. Інститут професійно-технічної освіти НАПН України. Центр сучасних професій і технологій навчання.</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2. Інститут модернізації змісту освіти МОН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3. Інститут праці та зайнятості </w:t>
      </w:r>
      <w:proofErr w:type="spellStart"/>
      <w:r w:rsidRPr="006B6712">
        <w:rPr>
          <w:rFonts w:ascii="Times New Roman" w:hAnsi="Times New Roman" w:cs="Times New Roman"/>
          <w:sz w:val="24"/>
          <w:szCs w:val="24"/>
        </w:rPr>
        <w:t>Мінсоцполітики</w:t>
      </w:r>
      <w:proofErr w:type="spellEnd"/>
      <w:r w:rsidRPr="006B6712">
        <w:rPr>
          <w:rFonts w:ascii="Times New Roman" w:hAnsi="Times New Roman" w:cs="Times New Roman"/>
          <w:sz w:val="24"/>
          <w:szCs w:val="24"/>
        </w:rPr>
        <w:t xml:space="preserve"> та НАН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4. Інститут вищої освіти НАПН України.</w:t>
      </w:r>
    </w:p>
    <w:p w:rsidR="00583CBF" w:rsidRPr="006B6712" w:rsidRDefault="00583CBF" w:rsidP="00583CBF">
      <w:pPr>
        <w:ind w:firstLine="709"/>
        <w:rPr>
          <w:rFonts w:ascii="Times New Roman" w:hAnsi="Times New Roman" w:cs="Times New Roman"/>
          <w:sz w:val="24"/>
          <w:szCs w:val="24"/>
        </w:rPr>
      </w:pPr>
      <w:r w:rsidRPr="006B6712">
        <w:rPr>
          <w:rFonts w:ascii="Times New Roman" w:hAnsi="Times New Roman" w:cs="Times New Roman"/>
          <w:sz w:val="24"/>
          <w:szCs w:val="24"/>
        </w:rPr>
        <w:t xml:space="preserve">5. Центр соціального партнерства при </w:t>
      </w:r>
      <w:proofErr w:type="spellStart"/>
      <w:r w:rsidRPr="006B6712">
        <w:rPr>
          <w:rFonts w:ascii="Times New Roman" w:hAnsi="Times New Roman" w:cs="Times New Roman"/>
          <w:sz w:val="24"/>
          <w:szCs w:val="24"/>
        </w:rPr>
        <w:t>НаУКМА</w:t>
      </w:r>
      <w:proofErr w:type="spellEnd"/>
      <w:r w:rsidRPr="006B6712">
        <w:rPr>
          <w:rFonts w:ascii="Times New Roman" w:hAnsi="Times New Roman" w:cs="Times New Roman"/>
          <w:sz w:val="24"/>
          <w:szCs w:val="24"/>
        </w:rPr>
        <w:t>.</w:t>
      </w:r>
    </w:p>
    <w:sectPr w:rsidR="00583CBF" w:rsidRPr="006B6712" w:rsidSect="003D0E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11" w:rsidRDefault="002D7811" w:rsidP="00D575D3">
      <w:pPr>
        <w:spacing w:after="0" w:line="240" w:lineRule="auto"/>
      </w:pPr>
      <w:r>
        <w:separator/>
      </w:r>
    </w:p>
  </w:endnote>
  <w:endnote w:type="continuationSeparator" w:id="0">
    <w:p w:rsidR="002D7811" w:rsidRDefault="002D7811" w:rsidP="00D5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95"/>
      <w:docPartObj>
        <w:docPartGallery w:val="Page Numbers (Bottom of Page)"/>
        <w:docPartUnique/>
      </w:docPartObj>
    </w:sdtPr>
    <w:sdtEndPr/>
    <w:sdtContent>
      <w:p w:rsidR="00F429FC" w:rsidRDefault="00B91682">
        <w:pPr>
          <w:pStyle w:val="a7"/>
          <w:jc w:val="right"/>
        </w:pPr>
        <w:r>
          <w:fldChar w:fldCharType="begin"/>
        </w:r>
        <w:r>
          <w:instrText xml:space="preserve"> PAGE   \* MERGEFORMAT </w:instrText>
        </w:r>
        <w:r>
          <w:fldChar w:fldCharType="separate"/>
        </w:r>
        <w:r w:rsidR="006B6712">
          <w:rPr>
            <w:noProof/>
          </w:rPr>
          <w:t>13</w:t>
        </w:r>
        <w:r>
          <w:rPr>
            <w:noProof/>
          </w:rPr>
          <w:fldChar w:fldCharType="end"/>
        </w:r>
      </w:p>
    </w:sdtContent>
  </w:sdt>
  <w:p w:rsidR="00F429FC" w:rsidRDefault="00F42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11" w:rsidRDefault="002D7811" w:rsidP="00D575D3">
      <w:pPr>
        <w:spacing w:after="0" w:line="240" w:lineRule="auto"/>
      </w:pPr>
      <w:r>
        <w:separator/>
      </w:r>
    </w:p>
  </w:footnote>
  <w:footnote w:type="continuationSeparator" w:id="0">
    <w:p w:rsidR="002D7811" w:rsidRDefault="002D7811" w:rsidP="00D57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D3" w:rsidRDefault="00D575D3">
    <w:pPr>
      <w:pStyle w:val="a5"/>
    </w:pPr>
    <w:r w:rsidRPr="00D575D3">
      <w:rPr>
        <w:noProof/>
      </w:rPr>
      <w:drawing>
        <wp:inline distT="0" distB="0" distL="0" distR="0">
          <wp:extent cx="5579493" cy="1970866"/>
          <wp:effectExtent l="19050" t="0" r="2157"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3946" cy="197243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E3"/>
    <w:rsid w:val="0003383D"/>
    <w:rsid w:val="00044135"/>
    <w:rsid w:val="00045D40"/>
    <w:rsid w:val="000544C2"/>
    <w:rsid w:val="000D6290"/>
    <w:rsid w:val="001170C2"/>
    <w:rsid w:val="0015032B"/>
    <w:rsid w:val="001615C2"/>
    <w:rsid w:val="00195867"/>
    <w:rsid w:val="001B1465"/>
    <w:rsid w:val="001D5708"/>
    <w:rsid w:val="001D5723"/>
    <w:rsid w:val="001E76D5"/>
    <w:rsid w:val="002106AB"/>
    <w:rsid w:val="00224420"/>
    <w:rsid w:val="00232BEE"/>
    <w:rsid w:val="002D7811"/>
    <w:rsid w:val="002E36E3"/>
    <w:rsid w:val="002F5F74"/>
    <w:rsid w:val="003841C0"/>
    <w:rsid w:val="003D0E26"/>
    <w:rsid w:val="003D5EB6"/>
    <w:rsid w:val="003E10D4"/>
    <w:rsid w:val="003F537D"/>
    <w:rsid w:val="00490CA2"/>
    <w:rsid w:val="00536A6A"/>
    <w:rsid w:val="00556842"/>
    <w:rsid w:val="00583CBF"/>
    <w:rsid w:val="005A6E39"/>
    <w:rsid w:val="0063012A"/>
    <w:rsid w:val="006663ED"/>
    <w:rsid w:val="00676DD7"/>
    <w:rsid w:val="006B6712"/>
    <w:rsid w:val="006D4804"/>
    <w:rsid w:val="006D5756"/>
    <w:rsid w:val="006F037D"/>
    <w:rsid w:val="006F5901"/>
    <w:rsid w:val="007063B5"/>
    <w:rsid w:val="007D1706"/>
    <w:rsid w:val="007F6710"/>
    <w:rsid w:val="00862BAE"/>
    <w:rsid w:val="00866927"/>
    <w:rsid w:val="008F30E7"/>
    <w:rsid w:val="00955CA3"/>
    <w:rsid w:val="009639C0"/>
    <w:rsid w:val="00A0662D"/>
    <w:rsid w:val="00A83E7E"/>
    <w:rsid w:val="00A95F7E"/>
    <w:rsid w:val="00AA402D"/>
    <w:rsid w:val="00AE5D24"/>
    <w:rsid w:val="00B232F2"/>
    <w:rsid w:val="00B25B64"/>
    <w:rsid w:val="00B36C96"/>
    <w:rsid w:val="00B41EC7"/>
    <w:rsid w:val="00B769EA"/>
    <w:rsid w:val="00B91682"/>
    <w:rsid w:val="00C03CDB"/>
    <w:rsid w:val="00C40D6C"/>
    <w:rsid w:val="00C423D0"/>
    <w:rsid w:val="00C45A5C"/>
    <w:rsid w:val="00D10863"/>
    <w:rsid w:val="00D569A9"/>
    <w:rsid w:val="00D575D3"/>
    <w:rsid w:val="00D750B3"/>
    <w:rsid w:val="00D963E4"/>
    <w:rsid w:val="00DA1110"/>
    <w:rsid w:val="00DC28D7"/>
    <w:rsid w:val="00E03D26"/>
    <w:rsid w:val="00E133CA"/>
    <w:rsid w:val="00E16D62"/>
    <w:rsid w:val="00E17175"/>
    <w:rsid w:val="00E21C3D"/>
    <w:rsid w:val="00E22D38"/>
    <w:rsid w:val="00EC718C"/>
    <w:rsid w:val="00EE6B67"/>
    <w:rsid w:val="00F31F8E"/>
    <w:rsid w:val="00F429FC"/>
    <w:rsid w:val="00F628C7"/>
    <w:rsid w:val="00FB53C2"/>
    <w:rsid w:val="00FF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F7E"/>
    <w:rPr>
      <w:rFonts w:ascii="Tahoma" w:hAnsi="Tahoma" w:cs="Tahoma"/>
      <w:sz w:val="16"/>
      <w:szCs w:val="16"/>
    </w:rPr>
  </w:style>
  <w:style w:type="paragraph" w:styleId="a5">
    <w:name w:val="header"/>
    <w:basedOn w:val="a"/>
    <w:link w:val="a6"/>
    <w:uiPriority w:val="99"/>
    <w:semiHidden/>
    <w:unhideWhenUsed/>
    <w:rsid w:val="00D575D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575D3"/>
  </w:style>
  <w:style w:type="paragraph" w:styleId="a7">
    <w:name w:val="footer"/>
    <w:basedOn w:val="a"/>
    <w:link w:val="a8"/>
    <w:uiPriority w:val="99"/>
    <w:unhideWhenUsed/>
    <w:rsid w:val="00D575D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57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F7E"/>
    <w:rPr>
      <w:rFonts w:ascii="Tahoma" w:hAnsi="Tahoma" w:cs="Tahoma"/>
      <w:sz w:val="16"/>
      <w:szCs w:val="16"/>
    </w:rPr>
  </w:style>
  <w:style w:type="paragraph" w:styleId="a5">
    <w:name w:val="header"/>
    <w:basedOn w:val="a"/>
    <w:link w:val="a6"/>
    <w:uiPriority w:val="99"/>
    <w:semiHidden/>
    <w:unhideWhenUsed/>
    <w:rsid w:val="00D575D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575D3"/>
  </w:style>
  <w:style w:type="paragraph" w:styleId="a7">
    <w:name w:val="footer"/>
    <w:basedOn w:val="a"/>
    <w:link w:val="a8"/>
    <w:uiPriority w:val="99"/>
    <w:unhideWhenUsed/>
    <w:rsid w:val="00D575D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5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Осіб</c:v>
                </c:pt>
              </c:strCache>
            </c:strRef>
          </c:tx>
          <c:invertIfNegative val="0"/>
          <c:cat>
            <c:strRef>
              <c:f>Лист1!$A$2:$A$8</c:f>
              <c:strCache>
                <c:ptCount val="6"/>
                <c:pt idx="0">
                  <c:v>ЦОВВ</c:v>
                </c:pt>
                <c:pt idx="1">
                  <c:v>Соціальні партнери</c:v>
                </c:pt>
                <c:pt idx="2">
                  <c:v>ВНЗ</c:v>
                </c:pt>
                <c:pt idx="3">
                  <c:v>Інші НЗ</c:v>
                </c:pt>
                <c:pt idx="4">
                  <c:v>Професійні організації</c:v>
                </c:pt>
                <c:pt idx="5">
                  <c:v>Наукові установи</c:v>
                </c:pt>
              </c:strCache>
            </c:strRef>
          </c:cat>
          <c:val>
            <c:numRef>
              <c:f>Лист1!$B$2:$B$8</c:f>
              <c:numCache>
                <c:formatCode>General</c:formatCode>
                <c:ptCount val="7"/>
                <c:pt idx="0">
                  <c:v>5</c:v>
                </c:pt>
                <c:pt idx="1">
                  <c:v>7</c:v>
                </c:pt>
                <c:pt idx="2">
                  <c:v>13</c:v>
                </c:pt>
                <c:pt idx="3">
                  <c:v>6</c:v>
                </c:pt>
                <c:pt idx="4">
                  <c:v>8</c:v>
                </c:pt>
                <c:pt idx="5">
                  <c:v>5</c:v>
                </c:pt>
                <c:pt idx="6">
                  <c:v>0</c:v>
                </c:pt>
              </c:numCache>
            </c:numRef>
          </c:val>
        </c:ser>
        <c:dLbls>
          <c:showLegendKey val="0"/>
          <c:showVal val="0"/>
          <c:showCatName val="0"/>
          <c:showSerName val="0"/>
          <c:showPercent val="0"/>
          <c:showBubbleSize val="0"/>
        </c:dLbls>
        <c:gapWidth val="150"/>
        <c:overlap val="100"/>
        <c:axId val="169992960"/>
        <c:axId val="169994496"/>
      </c:barChart>
      <c:catAx>
        <c:axId val="169992960"/>
        <c:scaling>
          <c:orientation val="minMax"/>
        </c:scaling>
        <c:delete val="0"/>
        <c:axPos val="b"/>
        <c:majorTickMark val="out"/>
        <c:minorTickMark val="none"/>
        <c:tickLblPos val="nextTo"/>
        <c:txPr>
          <a:bodyPr/>
          <a:lstStyle/>
          <a:p>
            <a:pPr>
              <a:defRPr lang="uk-UA"/>
            </a:pPr>
            <a:endParaRPr lang="ru-RU"/>
          </a:p>
        </c:txPr>
        <c:crossAx val="169994496"/>
        <c:crosses val="autoZero"/>
        <c:auto val="1"/>
        <c:lblAlgn val="ctr"/>
        <c:lblOffset val="100"/>
        <c:noMultiLvlLbl val="0"/>
      </c:catAx>
      <c:valAx>
        <c:axId val="169994496"/>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6999296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0.27300000000000002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0.68200000000000005</c:v>
                </c:pt>
              </c:numCache>
            </c:numRef>
          </c:val>
        </c:ser>
        <c:dLbls>
          <c:showLegendKey val="0"/>
          <c:showVal val="0"/>
          <c:showCatName val="0"/>
          <c:showSerName val="0"/>
          <c:showPercent val="0"/>
          <c:showBubbleSize val="0"/>
        </c:dLbls>
        <c:gapWidth val="150"/>
        <c:axId val="176321280"/>
        <c:axId val="176322816"/>
      </c:barChart>
      <c:catAx>
        <c:axId val="176321280"/>
        <c:scaling>
          <c:orientation val="minMax"/>
        </c:scaling>
        <c:delete val="0"/>
        <c:axPos val="b"/>
        <c:majorTickMark val="out"/>
        <c:minorTickMark val="none"/>
        <c:tickLblPos val="nextTo"/>
        <c:txPr>
          <a:bodyPr/>
          <a:lstStyle/>
          <a:p>
            <a:pPr>
              <a:defRPr lang="uk-UA"/>
            </a:pPr>
            <a:endParaRPr lang="ru-RU"/>
          </a:p>
        </c:txPr>
        <c:crossAx val="176322816"/>
        <c:crosses val="autoZero"/>
        <c:auto val="1"/>
        <c:lblAlgn val="ctr"/>
        <c:lblOffset val="100"/>
        <c:noMultiLvlLbl val="0"/>
      </c:catAx>
      <c:valAx>
        <c:axId val="17632281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632128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0.27300000000000002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0.68200000000000005</c:v>
                </c:pt>
              </c:numCache>
            </c:numRef>
          </c:val>
        </c:ser>
        <c:dLbls>
          <c:showLegendKey val="0"/>
          <c:showVal val="0"/>
          <c:showCatName val="0"/>
          <c:showSerName val="0"/>
          <c:showPercent val="0"/>
          <c:showBubbleSize val="0"/>
        </c:dLbls>
        <c:gapWidth val="150"/>
        <c:axId val="172389120"/>
        <c:axId val="172390656"/>
      </c:barChart>
      <c:catAx>
        <c:axId val="172389120"/>
        <c:scaling>
          <c:orientation val="minMax"/>
        </c:scaling>
        <c:delete val="0"/>
        <c:axPos val="b"/>
        <c:majorTickMark val="out"/>
        <c:minorTickMark val="none"/>
        <c:tickLblPos val="nextTo"/>
        <c:txPr>
          <a:bodyPr/>
          <a:lstStyle/>
          <a:p>
            <a:pPr>
              <a:defRPr lang="uk-UA"/>
            </a:pPr>
            <a:endParaRPr lang="ru-RU"/>
          </a:p>
        </c:txPr>
        <c:crossAx val="172390656"/>
        <c:crosses val="autoZero"/>
        <c:auto val="1"/>
        <c:lblAlgn val="ctr"/>
        <c:lblOffset val="100"/>
        <c:noMultiLvlLbl val="0"/>
      </c:catAx>
      <c:valAx>
        <c:axId val="17239065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38912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0.15900000000000022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0.27300000000000002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0.56799999999999995</c:v>
                </c:pt>
              </c:numCache>
            </c:numRef>
          </c:val>
        </c:ser>
        <c:dLbls>
          <c:showLegendKey val="0"/>
          <c:showVal val="0"/>
          <c:showCatName val="0"/>
          <c:showSerName val="0"/>
          <c:showPercent val="0"/>
          <c:showBubbleSize val="0"/>
        </c:dLbls>
        <c:gapWidth val="150"/>
        <c:axId val="172286720"/>
        <c:axId val="172288256"/>
      </c:barChart>
      <c:catAx>
        <c:axId val="172286720"/>
        <c:scaling>
          <c:orientation val="minMax"/>
        </c:scaling>
        <c:delete val="0"/>
        <c:axPos val="b"/>
        <c:majorTickMark val="out"/>
        <c:minorTickMark val="none"/>
        <c:tickLblPos val="nextTo"/>
        <c:txPr>
          <a:bodyPr/>
          <a:lstStyle/>
          <a:p>
            <a:pPr>
              <a:defRPr lang="uk-UA"/>
            </a:pPr>
            <a:endParaRPr lang="ru-RU"/>
          </a:p>
        </c:txPr>
        <c:crossAx val="172288256"/>
        <c:crosses val="autoZero"/>
        <c:auto val="1"/>
        <c:lblAlgn val="ctr"/>
        <c:lblOffset val="100"/>
        <c:noMultiLvlLbl val="0"/>
      </c:catAx>
      <c:valAx>
        <c:axId val="17228825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28672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9.1000000000000025E-2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0.22700000000000001</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0.68200000000000005</c:v>
                </c:pt>
              </c:numCache>
            </c:numRef>
          </c:val>
        </c:ser>
        <c:dLbls>
          <c:showLegendKey val="0"/>
          <c:showVal val="0"/>
          <c:showCatName val="0"/>
          <c:showSerName val="0"/>
          <c:showPercent val="0"/>
          <c:showBubbleSize val="0"/>
        </c:dLbls>
        <c:gapWidth val="150"/>
        <c:axId val="174117632"/>
        <c:axId val="174119168"/>
      </c:barChart>
      <c:catAx>
        <c:axId val="174117632"/>
        <c:scaling>
          <c:orientation val="minMax"/>
        </c:scaling>
        <c:delete val="0"/>
        <c:axPos val="b"/>
        <c:majorTickMark val="out"/>
        <c:minorTickMark val="none"/>
        <c:tickLblPos val="nextTo"/>
        <c:txPr>
          <a:bodyPr/>
          <a:lstStyle/>
          <a:p>
            <a:pPr>
              <a:defRPr lang="uk-UA"/>
            </a:pPr>
            <a:endParaRPr lang="ru-RU"/>
          </a:p>
        </c:txPr>
        <c:crossAx val="174119168"/>
        <c:crosses val="autoZero"/>
        <c:auto val="1"/>
        <c:lblAlgn val="ctr"/>
        <c:lblOffset val="100"/>
        <c:noMultiLvlLbl val="0"/>
      </c:catAx>
      <c:valAx>
        <c:axId val="174119168"/>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411763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0.114</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0.47700000000000031</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0.40900000000000031</c:v>
                </c:pt>
              </c:numCache>
            </c:numRef>
          </c:val>
        </c:ser>
        <c:dLbls>
          <c:showLegendKey val="0"/>
          <c:showVal val="0"/>
          <c:showCatName val="0"/>
          <c:showSerName val="0"/>
          <c:showPercent val="0"/>
          <c:showBubbleSize val="0"/>
        </c:dLbls>
        <c:gapWidth val="150"/>
        <c:axId val="177201920"/>
        <c:axId val="177203456"/>
      </c:barChart>
      <c:catAx>
        <c:axId val="177201920"/>
        <c:scaling>
          <c:orientation val="minMax"/>
        </c:scaling>
        <c:delete val="0"/>
        <c:axPos val="b"/>
        <c:majorTickMark val="out"/>
        <c:minorTickMark val="none"/>
        <c:tickLblPos val="nextTo"/>
        <c:txPr>
          <a:bodyPr/>
          <a:lstStyle/>
          <a:p>
            <a:pPr>
              <a:defRPr lang="uk-UA"/>
            </a:pPr>
            <a:endParaRPr lang="ru-RU"/>
          </a:p>
        </c:txPr>
        <c:crossAx val="177203456"/>
        <c:crosses val="autoZero"/>
        <c:auto val="1"/>
        <c:lblAlgn val="ctr"/>
        <c:lblOffset val="100"/>
        <c:noMultiLvlLbl val="0"/>
      </c:catAx>
      <c:valAx>
        <c:axId val="17720345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720192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2.3E-2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0.20400000000000001</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0.77300000000000091</c:v>
                </c:pt>
              </c:numCache>
            </c:numRef>
          </c:val>
        </c:ser>
        <c:dLbls>
          <c:showLegendKey val="0"/>
          <c:showVal val="0"/>
          <c:showCatName val="0"/>
          <c:showSerName val="0"/>
          <c:showPercent val="0"/>
          <c:showBubbleSize val="0"/>
        </c:dLbls>
        <c:gapWidth val="150"/>
        <c:axId val="177312512"/>
        <c:axId val="177314048"/>
      </c:barChart>
      <c:catAx>
        <c:axId val="177312512"/>
        <c:scaling>
          <c:orientation val="minMax"/>
        </c:scaling>
        <c:delete val="0"/>
        <c:axPos val="b"/>
        <c:majorTickMark val="out"/>
        <c:minorTickMark val="none"/>
        <c:tickLblPos val="nextTo"/>
        <c:txPr>
          <a:bodyPr/>
          <a:lstStyle/>
          <a:p>
            <a:pPr>
              <a:defRPr lang="uk-UA"/>
            </a:pPr>
            <a:endParaRPr lang="ru-RU"/>
          </a:p>
        </c:txPr>
        <c:crossAx val="177314048"/>
        <c:crosses val="autoZero"/>
        <c:auto val="1"/>
        <c:lblAlgn val="ctr"/>
        <c:lblOffset val="100"/>
        <c:noMultiLvlLbl val="0"/>
      </c:catAx>
      <c:valAx>
        <c:axId val="177314048"/>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731251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9.1000000000000025E-2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0.56799999999999995</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0.34100000000000008</c:v>
                </c:pt>
              </c:numCache>
            </c:numRef>
          </c:val>
        </c:ser>
        <c:dLbls>
          <c:showLegendKey val="0"/>
          <c:showVal val="0"/>
          <c:showCatName val="0"/>
          <c:showSerName val="0"/>
          <c:showPercent val="0"/>
          <c:showBubbleSize val="0"/>
        </c:dLbls>
        <c:gapWidth val="150"/>
        <c:axId val="178438912"/>
        <c:axId val="178440448"/>
      </c:barChart>
      <c:catAx>
        <c:axId val="178438912"/>
        <c:scaling>
          <c:orientation val="minMax"/>
        </c:scaling>
        <c:delete val="0"/>
        <c:axPos val="b"/>
        <c:majorTickMark val="out"/>
        <c:minorTickMark val="none"/>
        <c:tickLblPos val="nextTo"/>
        <c:txPr>
          <a:bodyPr/>
          <a:lstStyle/>
          <a:p>
            <a:pPr>
              <a:defRPr lang="uk-UA"/>
            </a:pPr>
            <a:endParaRPr lang="ru-RU"/>
          </a:p>
        </c:txPr>
        <c:crossAx val="178440448"/>
        <c:crosses val="autoZero"/>
        <c:auto val="1"/>
        <c:lblAlgn val="ctr"/>
        <c:lblOffset val="100"/>
        <c:noMultiLvlLbl val="0"/>
      </c:catAx>
      <c:valAx>
        <c:axId val="178440448"/>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843891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Розподіл відповідей респондентів  </c:v>
                </c:pt>
              </c:strCache>
            </c:strRef>
          </c:tx>
          <c:invertIfNegative val="0"/>
          <c:dPt>
            <c:idx val="0"/>
            <c:invertIfNegative val="0"/>
            <c:bubble3D val="0"/>
            <c:spPr>
              <a:solidFill>
                <a:srgbClr val="00B050"/>
              </a:solidFill>
              <a:ln>
                <a:solidFill>
                  <a:schemeClr val="bg1"/>
                </a:solidFill>
              </a:ln>
            </c:spPr>
          </c:dPt>
          <c:dPt>
            <c:idx val="1"/>
            <c:invertIfNegative val="0"/>
            <c:bubble3D val="0"/>
            <c:explosion val="17"/>
            <c:spPr>
              <a:solidFill>
                <a:srgbClr val="FFFF00"/>
              </a:solidFill>
            </c:spPr>
          </c:dPt>
          <c:dPt>
            <c:idx val="2"/>
            <c:invertIfNegative val="0"/>
            <c:bubble3D val="0"/>
            <c:spPr>
              <a:solidFill>
                <a:srgbClr val="FF0000"/>
              </a:solidFill>
            </c:spPr>
          </c:dPt>
          <c:dLbls>
            <c:txPr>
              <a:bodyPr/>
              <a:lstStyle/>
              <a:p>
                <a:pPr>
                  <a:defRPr lang="uk-UA"/>
                </a:pPr>
                <a:endParaRPr lang="ru-RU"/>
              </a:p>
            </c:txPr>
            <c:showLegendKey val="0"/>
            <c:showVal val="1"/>
            <c:showCatName val="0"/>
            <c:showSerName val="0"/>
            <c:showPercent val="0"/>
            <c:showBubbleSize val="0"/>
            <c:showLeaderLines val="0"/>
          </c:dLbls>
          <c:cat>
            <c:strRef>
              <c:f>Лист1!$A$2:$A$4</c:f>
              <c:strCache>
                <c:ptCount val="3"/>
                <c:pt idx="0">
                  <c:v>Так, все добре</c:v>
                </c:pt>
                <c:pt idx="1">
                  <c:v>Все неоднозначно</c:v>
                </c:pt>
                <c:pt idx="2">
                  <c:v>Немає (майже немає)</c:v>
                </c:pt>
              </c:strCache>
            </c:strRef>
          </c:cat>
          <c:val>
            <c:numRef>
              <c:f>Лист1!$B$2:$B$4</c:f>
              <c:numCache>
                <c:formatCode>0.00%</c:formatCode>
                <c:ptCount val="3"/>
                <c:pt idx="0">
                  <c:v>0.21700000000000019</c:v>
                </c:pt>
                <c:pt idx="1">
                  <c:v>0.48800000000000032</c:v>
                </c:pt>
                <c:pt idx="2">
                  <c:v>0.29500000000000032</c:v>
                </c:pt>
              </c:numCache>
            </c:numRef>
          </c:val>
        </c:ser>
        <c:dLbls>
          <c:showLegendKey val="0"/>
          <c:showVal val="0"/>
          <c:showCatName val="0"/>
          <c:showSerName val="0"/>
          <c:showPercent val="0"/>
          <c:showBubbleSize val="0"/>
        </c:dLbls>
        <c:gapWidth val="75"/>
        <c:axId val="173991040"/>
        <c:axId val="173981056"/>
      </c:barChart>
      <c:valAx>
        <c:axId val="173981056"/>
        <c:scaling>
          <c:orientation val="minMax"/>
        </c:scaling>
        <c:delete val="0"/>
        <c:axPos val="l"/>
        <c:majorGridlines/>
        <c:numFmt formatCode="0.00%" sourceLinked="1"/>
        <c:majorTickMark val="none"/>
        <c:minorTickMark val="none"/>
        <c:tickLblPos val="nextTo"/>
        <c:spPr>
          <a:ln w="9525">
            <a:noFill/>
          </a:ln>
        </c:spPr>
        <c:txPr>
          <a:bodyPr/>
          <a:lstStyle/>
          <a:p>
            <a:pPr>
              <a:defRPr lang="uk-UA"/>
            </a:pPr>
            <a:endParaRPr lang="ru-RU"/>
          </a:p>
        </c:txPr>
        <c:crossAx val="173991040"/>
        <c:crosses val="autoZero"/>
        <c:crossBetween val="between"/>
      </c:valAx>
      <c:catAx>
        <c:axId val="173991040"/>
        <c:scaling>
          <c:orientation val="minMax"/>
        </c:scaling>
        <c:delete val="0"/>
        <c:axPos val="b"/>
        <c:majorTickMark val="none"/>
        <c:minorTickMark val="none"/>
        <c:tickLblPos val="nextTo"/>
        <c:txPr>
          <a:bodyPr/>
          <a:lstStyle/>
          <a:p>
            <a:pPr>
              <a:defRPr lang="uk-UA"/>
            </a:pPr>
            <a:endParaRPr lang="ru-RU"/>
          </a:p>
        </c:txPr>
        <c:crossAx val="173981056"/>
        <c:crosses val="autoZero"/>
        <c:auto val="1"/>
        <c:lblAlgn val="ctr"/>
        <c:lblOffset val="100"/>
        <c:noMultiLvlLbl val="0"/>
      </c:catAx>
    </c:plotArea>
    <c:legend>
      <c:legendPos val="b"/>
      <c:overlay val="0"/>
      <c:txPr>
        <a:bodyPr/>
        <a:lstStyle/>
        <a:p>
          <a:pPr>
            <a:defRPr lang="uk-UA"/>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17249215799289"/>
          <c:y val="9.2050524934383204E-2"/>
          <c:w val="0.31893220664490157"/>
          <c:h val="0.83671950545655482"/>
        </c:manualLayout>
      </c:layout>
      <c:barChart>
        <c:barDir val="bar"/>
        <c:grouping val="clustered"/>
        <c:varyColors val="0"/>
        <c:ser>
          <c:idx val="0"/>
          <c:order val="0"/>
          <c:tx>
            <c:strRef>
              <c:f>Лист1!$B$1</c:f>
              <c:strCache>
                <c:ptCount val="1"/>
                <c:pt idx="0">
                  <c:v>Питома вага позитивних оцінок, %</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Лист1!$A$2:$A$29</c:f>
              <c:strCache>
                <c:ptCount val="28"/>
                <c:pt idx="0">
                  <c:v>Торгово-промислові палати</c:v>
                </c:pt>
                <c:pt idx="1">
                  <c:v>Національне агентство з кваліфікацій</c:v>
                </c:pt>
                <c:pt idx="2">
                  <c:v>СПО профспілок</c:v>
                </c:pt>
                <c:pt idx="3">
                  <c:v>Представники учнів та студентів</c:v>
                </c:pt>
                <c:pt idx="4">
                  <c:v>Асоціації вчителів і педагогів</c:v>
                </c:pt>
                <c:pt idx="5">
                  <c:v>Інструктори (методисти)</c:v>
                </c:pt>
                <c:pt idx="6">
                  <c:v>Інші державні установи</c:v>
                </c:pt>
                <c:pt idx="7">
                  <c:v>НАЗЯВО</c:v>
                </c:pt>
                <c:pt idx="8">
                  <c:v>Представники мігрантів</c:v>
                </c:pt>
                <c:pt idx="9">
                  <c:v>Консультанти (кар'єра, профорієнтація)</c:v>
                </c:pt>
                <c:pt idx="10">
                  <c:v>Громадські та добровільні асоціації</c:v>
                </c:pt>
                <c:pt idx="11">
                  <c:v>Інші навчальні заклади</c:v>
                </c:pt>
                <c:pt idx="12">
                  <c:v>Інші профільні ЦОВВ</c:v>
                </c:pt>
                <c:pt idx="13">
                  <c:v>Екзаменаційні органи (центри сертифікації тощо)</c:v>
                </c:pt>
                <c:pt idx="14">
                  <c:v>Галузеві об'єднання роботодавців і профспілок</c:v>
                </c:pt>
                <c:pt idx="15">
                  <c:v>Державні / комунальні заклади ПТО</c:v>
                </c:pt>
                <c:pt idx="16">
                  <c:v>Донорські організації</c:v>
                </c:pt>
                <c:pt idx="17">
                  <c:v>Мінекономрозвитку України</c:v>
                </c:pt>
                <c:pt idx="18">
                  <c:v>Органи, які присуджують кваліфікації</c:v>
                </c:pt>
                <c:pt idx="19">
                  <c:v>Консультанти (освіта, підготовка кадрів</c:v>
                </c:pt>
                <c:pt idx="20">
                  <c:v>ВНЗи</c:v>
                </c:pt>
                <c:pt idx="21">
                  <c:v>Професійні об'єднання</c:v>
                </c:pt>
                <c:pt idx="22">
                  <c:v>Представники підприємств</c:v>
                </c:pt>
                <c:pt idx="23">
                  <c:v>Наукові співробітники</c:v>
                </c:pt>
                <c:pt idx="24">
                  <c:v>Міжнародні організації</c:v>
                </c:pt>
                <c:pt idx="25">
                  <c:v>Мінсоцполітики України</c:v>
                </c:pt>
                <c:pt idx="26">
                  <c:v>СПО роботодавців</c:v>
                </c:pt>
                <c:pt idx="27">
                  <c:v>МОН України</c:v>
                </c:pt>
              </c:strCache>
            </c:strRef>
          </c:cat>
          <c:val>
            <c:numRef>
              <c:f>Лист1!$B$2:$B$29</c:f>
              <c:numCache>
                <c:formatCode>0.0%</c:formatCode>
                <c:ptCount val="28"/>
                <c:pt idx="0">
                  <c:v>2.3E-2</c:v>
                </c:pt>
                <c:pt idx="1">
                  <c:v>6.8000000000000019E-2</c:v>
                </c:pt>
                <c:pt idx="2">
                  <c:v>6.8000000000000019E-2</c:v>
                </c:pt>
                <c:pt idx="3">
                  <c:v>6.8000000000000019E-2</c:v>
                </c:pt>
                <c:pt idx="4">
                  <c:v>9.1000000000000025E-2</c:v>
                </c:pt>
                <c:pt idx="5">
                  <c:v>9.1000000000000025E-2</c:v>
                </c:pt>
                <c:pt idx="6">
                  <c:v>9.1000000000000025E-2</c:v>
                </c:pt>
                <c:pt idx="7">
                  <c:v>0.114</c:v>
                </c:pt>
                <c:pt idx="8">
                  <c:v>0.114</c:v>
                </c:pt>
                <c:pt idx="9">
                  <c:v>0.13600000000000001</c:v>
                </c:pt>
                <c:pt idx="10">
                  <c:v>0.13600000000000001</c:v>
                </c:pt>
                <c:pt idx="11">
                  <c:v>0.15900000000000014</c:v>
                </c:pt>
                <c:pt idx="12">
                  <c:v>0.15900000000000014</c:v>
                </c:pt>
                <c:pt idx="13">
                  <c:v>0.15900000000000014</c:v>
                </c:pt>
                <c:pt idx="14">
                  <c:v>0.15900000000000014</c:v>
                </c:pt>
                <c:pt idx="15">
                  <c:v>0.25</c:v>
                </c:pt>
                <c:pt idx="16">
                  <c:v>0.25</c:v>
                </c:pt>
                <c:pt idx="17">
                  <c:v>0.27300000000000002</c:v>
                </c:pt>
                <c:pt idx="18">
                  <c:v>0.34100000000000008</c:v>
                </c:pt>
                <c:pt idx="19">
                  <c:v>0.34100000000000008</c:v>
                </c:pt>
                <c:pt idx="20">
                  <c:v>0.38600000000000034</c:v>
                </c:pt>
                <c:pt idx="21">
                  <c:v>0.43200000000000027</c:v>
                </c:pt>
                <c:pt idx="22">
                  <c:v>0.43200000000000027</c:v>
                </c:pt>
                <c:pt idx="23">
                  <c:v>0.45500000000000002</c:v>
                </c:pt>
                <c:pt idx="24">
                  <c:v>0.56799999999999995</c:v>
                </c:pt>
                <c:pt idx="25">
                  <c:v>0.58799999999999997</c:v>
                </c:pt>
                <c:pt idx="26">
                  <c:v>0.59</c:v>
                </c:pt>
                <c:pt idx="27">
                  <c:v>0.70500000000000052</c:v>
                </c:pt>
              </c:numCache>
            </c:numRef>
          </c:val>
        </c:ser>
        <c:dLbls>
          <c:showLegendKey val="0"/>
          <c:showVal val="0"/>
          <c:showCatName val="0"/>
          <c:showSerName val="0"/>
          <c:showPercent val="0"/>
          <c:showBubbleSize val="0"/>
        </c:dLbls>
        <c:gapWidth val="150"/>
        <c:axId val="172041728"/>
        <c:axId val="172043264"/>
      </c:barChart>
      <c:catAx>
        <c:axId val="172041728"/>
        <c:scaling>
          <c:orientation val="minMax"/>
        </c:scaling>
        <c:delete val="0"/>
        <c:axPos val="l"/>
        <c:majorTickMark val="out"/>
        <c:minorTickMark val="none"/>
        <c:tickLblPos val="nextTo"/>
        <c:txPr>
          <a:bodyPr/>
          <a:lstStyle/>
          <a:p>
            <a:pPr>
              <a:defRPr lang="uk-UA"/>
            </a:pPr>
            <a:endParaRPr lang="ru-RU"/>
          </a:p>
        </c:txPr>
        <c:crossAx val="172043264"/>
        <c:crosses val="autoZero"/>
        <c:auto val="1"/>
        <c:lblAlgn val="ctr"/>
        <c:lblOffset val="100"/>
        <c:noMultiLvlLbl val="0"/>
      </c:catAx>
      <c:valAx>
        <c:axId val="172043264"/>
        <c:scaling>
          <c:orientation val="minMax"/>
        </c:scaling>
        <c:delete val="0"/>
        <c:axPos val="b"/>
        <c:majorGridlines/>
        <c:numFmt formatCode="0.0%" sourceLinked="1"/>
        <c:majorTickMark val="out"/>
        <c:minorTickMark val="none"/>
        <c:tickLblPos val="nextTo"/>
        <c:txPr>
          <a:bodyPr/>
          <a:lstStyle/>
          <a:p>
            <a:pPr>
              <a:defRPr lang="uk-UA"/>
            </a:pPr>
            <a:endParaRPr lang="ru-RU"/>
          </a:p>
        </c:txPr>
        <c:crossAx val="172041728"/>
        <c:crosses val="autoZero"/>
        <c:crossBetween val="between"/>
      </c:valAx>
    </c:plotArea>
    <c:legend>
      <c:legendPos val="r"/>
      <c:layout>
        <c:manualLayout>
          <c:xMode val="edge"/>
          <c:yMode val="edge"/>
          <c:x val="0.8204887651238717"/>
          <c:y val="0.51413610305290658"/>
          <c:w val="0.16731611292490881"/>
          <c:h val="0.10763796795137449"/>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Питома вага позитивних оцінок за результатами діяльності стейкхолдерів, %</c:v>
                </c:pt>
              </c:strCache>
            </c:strRef>
          </c:tx>
          <c:invertIfNegative val="0"/>
          <c:cat>
            <c:strRef>
              <c:f>Лист1!$A$2:$A$7</c:f>
              <c:strCache>
                <c:ptCount val="6"/>
                <c:pt idx="0">
                  <c:v>Торгово-промислові палати</c:v>
                </c:pt>
                <c:pt idx="1">
                  <c:v>Національне агентство з кваліфікацій</c:v>
                </c:pt>
                <c:pt idx="2">
                  <c:v>СПО об'єднань профспілок</c:v>
                </c:pt>
                <c:pt idx="3">
                  <c:v>НАЗЯВО</c:v>
                </c:pt>
                <c:pt idx="4">
                  <c:v>Галузеві об'єднання роботодавців і профспілок</c:v>
                </c:pt>
                <c:pt idx="5">
                  <c:v>Представники учнів і студентів</c:v>
                </c:pt>
              </c:strCache>
            </c:strRef>
          </c:cat>
          <c:val>
            <c:numRef>
              <c:f>Лист1!$B$2:$B$7</c:f>
              <c:numCache>
                <c:formatCode>0.0%</c:formatCode>
                <c:ptCount val="6"/>
                <c:pt idx="0">
                  <c:v>2.3E-2</c:v>
                </c:pt>
                <c:pt idx="1">
                  <c:v>6.8000000000000019E-2</c:v>
                </c:pt>
                <c:pt idx="2">
                  <c:v>6.8000000000000019E-2</c:v>
                </c:pt>
                <c:pt idx="3">
                  <c:v>0.114</c:v>
                </c:pt>
                <c:pt idx="4">
                  <c:v>0.15900000000000022</c:v>
                </c:pt>
                <c:pt idx="5">
                  <c:v>6.8000000000000019E-2</c:v>
                </c:pt>
              </c:numCache>
            </c:numRef>
          </c:val>
        </c:ser>
        <c:ser>
          <c:idx val="1"/>
          <c:order val="1"/>
          <c:tx>
            <c:strRef>
              <c:f>Лист1!$C$1</c:f>
              <c:strCache>
                <c:ptCount val="1"/>
                <c:pt idx="0">
                  <c:v>питома вага позитивних оцінок очікувань від результатів діяльності стейкхолдерів, %</c:v>
                </c:pt>
              </c:strCache>
            </c:strRef>
          </c:tx>
          <c:invertIfNegative val="0"/>
          <c:cat>
            <c:strRef>
              <c:f>Лист1!$A$2:$A$7</c:f>
              <c:strCache>
                <c:ptCount val="6"/>
                <c:pt idx="0">
                  <c:v>Торгово-промислові палати</c:v>
                </c:pt>
                <c:pt idx="1">
                  <c:v>Національне агентство з кваліфікацій</c:v>
                </c:pt>
                <c:pt idx="2">
                  <c:v>СПО об'єднань профспілок</c:v>
                </c:pt>
                <c:pt idx="3">
                  <c:v>НАЗЯВО</c:v>
                </c:pt>
                <c:pt idx="4">
                  <c:v>Галузеві об'єднання роботодавців і профспілок</c:v>
                </c:pt>
                <c:pt idx="5">
                  <c:v>Представники учнів і студентів</c:v>
                </c:pt>
              </c:strCache>
            </c:strRef>
          </c:cat>
          <c:val>
            <c:numRef>
              <c:f>Лист1!$C$2:$C$7</c:f>
              <c:numCache>
                <c:formatCode>0.0%</c:formatCode>
                <c:ptCount val="6"/>
                <c:pt idx="0">
                  <c:v>0.29500000000000032</c:v>
                </c:pt>
                <c:pt idx="1">
                  <c:v>0.81799999999999995</c:v>
                </c:pt>
                <c:pt idx="2">
                  <c:v>0.5</c:v>
                </c:pt>
                <c:pt idx="3">
                  <c:v>0.61400000000000077</c:v>
                </c:pt>
                <c:pt idx="4">
                  <c:v>0.81799999999999995</c:v>
                </c:pt>
                <c:pt idx="5">
                  <c:v>0.34100000000000008</c:v>
                </c:pt>
              </c:numCache>
            </c:numRef>
          </c:val>
        </c:ser>
        <c:ser>
          <c:idx val="2"/>
          <c:order val="2"/>
          <c:tx>
            <c:strRef>
              <c:f>Лист1!$D$1</c:f>
              <c:strCache>
                <c:ptCount val="1"/>
                <c:pt idx="0">
                  <c:v>Столбец1</c:v>
                </c:pt>
              </c:strCache>
            </c:strRef>
          </c:tx>
          <c:invertIfNegative val="0"/>
          <c:cat>
            <c:strRef>
              <c:f>Лист1!$A$2:$A$7</c:f>
              <c:strCache>
                <c:ptCount val="6"/>
                <c:pt idx="0">
                  <c:v>Торгово-промислові палати</c:v>
                </c:pt>
                <c:pt idx="1">
                  <c:v>Національне агентство з кваліфікацій</c:v>
                </c:pt>
                <c:pt idx="2">
                  <c:v>СПО об'єднань профспілок</c:v>
                </c:pt>
                <c:pt idx="3">
                  <c:v>НАЗЯВО</c:v>
                </c:pt>
                <c:pt idx="4">
                  <c:v>Галузеві об'єднання роботодавців і профспілок</c:v>
                </c:pt>
                <c:pt idx="5">
                  <c:v>Представники учнів і студентів</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72236800"/>
        <c:axId val="172238336"/>
      </c:barChart>
      <c:catAx>
        <c:axId val="172236800"/>
        <c:scaling>
          <c:orientation val="minMax"/>
        </c:scaling>
        <c:delete val="0"/>
        <c:axPos val="b"/>
        <c:majorTickMark val="out"/>
        <c:minorTickMark val="none"/>
        <c:tickLblPos val="nextTo"/>
        <c:txPr>
          <a:bodyPr/>
          <a:lstStyle/>
          <a:p>
            <a:pPr>
              <a:defRPr lang="uk-UA"/>
            </a:pPr>
            <a:endParaRPr lang="ru-RU"/>
          </a:p>
        </c:txPr>
        <c:crossAx val="172238336"/>
        <c:crosses val="autoZero"/>
        <c:auto val="1"/>
        <c:lblAlgn val="ctr"/>
        <c:lblOffset val="100"/>
        <c:noMultiLvlLbl val="0"/>
      </c:catAx>
      <c:valAx>
        <c:axId val="17223833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236800"/>
        <c:crosses val="autoZero"/>
        <c:crossBetween val="between"/>
      </c:valAx>
    </c:plotArea>
    <c:legend>
      <c:legendPos val="r"/>
      <c:legendEntry>
        <c:idx val="2"/>
        <c:delete val="1"/>
      </c:legendEntry>
      <c:overlay val="0"/>
      <c:txPr>
        <a:bodyPr/>
        <a:lstStyle/>
        <a:p>
          <a:pPr>
            <a:defRPr lang="uk-UA"/>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оцінок</c:v>
                </c:pt>
              </c:strCache>
            </c:strRef>
          </c:cat>
          <c:val>
            <c:numRef>
              <c:f>Лист1!$B$2</c:f>
              <c:numCache>
                <c:formatCode>0.0%</c:formatCode>
                <c:ptCount val="1"/>
                <c:pt idx="0">
                  <c:v>0.25</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оцінок</c:v>
                </c:pt>
              </c:strCache>
            </c:strRef>
          </c:cat>
          <c:val>
            <c:numRef>
              <c:f>Лист1!$C$2</c:f>
              <c:numCache>
                <c:formatCode>0.0%</c:formatCode>
                <c:ptCount val="1"/>
                <c:pt idx="0">
                  <c:v>0.45500000000000002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оцінок</c:v>
                </c:pt>
              </c:strCache>
            </c:strRef>
          </c:cat>
          <c:val>
            <c:numRef>
              <c:f>Лист1!$D$2</c:f>
              <c:numCache>
                <c:formatCode>0.0%</c:formatCode>
                <c:ptCount val="1"/>
                <c:pt idx="0">
                  <c:v>0.29500000000000032</c:v>
                </c:pt>
              </c:numCache>
            </c:numRef>
          </c:val>
        </c:ser>
        <c:dLbls>
          <c:showLegendKey val="0"/>
          <c:showVal val="0"/>
          <c:showCatName val="0"/>
          <c:showSerName val="0"/>
          <c:showPercent val="0"/>
          <c:showBubbleSize val="0"/>
        </c:dLbls>
        <c:gapWidth val="150"/>
        <c:axId val="172274048"/>
        <c:axId val="172275584"/>
      </c:barChart>
      <c:catAx>
        <c:axId val="172274048"/>
        <c:scaling>
          <c:orientation val="minMax"/>
        </c:scaling>
        <c:delete val="0"/>
        <c:axPos val="b"/>
        <c:majorTickMark val="out"/>
        <c:minorTickMark val="none"/>
        <c:tickLblPos val="nextTo"/>
        <c:txPr>
          <a:bodyPr/>
          <a:lstStyle/>
          <a:p>
            <a:pPr>
              <a:defRPr lang="uk-UA"/>
            </a:pPr>
            <a:endParaRPr lang="ru-RU"/>
          </a:p>
        </c:txPr>
        <c:crossAx val="172275584"/>
        <c:crosses val="autoZero"/>
        <c:auto val="1"/>
        <c:lblAlgn val="ctr"/>
        <c:lblOffset val="100"/>
        <c:noMultiLvlLbl val="0"/>
      </c:catAx>
      <c:valAx>
        <c:axId val="172275584"/>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27404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9.1000000000000025E-2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0.34100000000000008</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0.56799999999999995</c:v>
                </c:pt>
              </c:numCache>
            </c:numRef>
          </c:val>
        </c:ser>
        <c:dLbls>
          <c:showLegendKey val="0"/>
          <c:showVal val="0"/>
          <c:showCatName val="0"/>
          <c:showSerName val="0"/>
          <c:showPercent val="0"/>
          <c:showBubbleSize val="0"/>
        </c:dLbls>
        <c:gapWidth val="150"/>
        <c:axId val="172159360"/>
        <c:axId val="172160896"/>
      </c:barChart>
      <c:catAx>
        <c:axId val="172159360"/>
        <c:scaling>
          <c:orientation val="minMax"/>
        </c:scaling>
        <c:delete val="0"/>
        <c:axPos val="b"/>
        <c:majorTickMark val="out"/>
        <c:minorTickMark val="none"/>
        <c:tickLblPos val="nextTo"/>
        <c:txPr>
          <a:bodyPr/>
          <a:lstStyle/>
          <a:p>
            <a:pPr>
              <a:defRPr lang="uk-UA"/>
            </a:pPr>
            <a:endParaRPr lang="ru-RU"/>
          </a:p>
        </c:txPr>
        <c:crossAx val="172160896"/>
        <c:crosses val="autoZero"/>
        <c:auto val="1"/>
        <c:lblAlgn val="ctr"/>
        <c:lblOffset val="100"/>
        <c:noMultiLvlLbl val="0"/>
      </c:catAx>
      <c:valAx>
        <c:axId val="172160896"/>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15936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9.1000000000000025E-2</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0.27300000000000002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0.6360000000000009</c:v>
                </c:pt>
              </c:numCache>
            </c:numRef>
          </c:val>
        </c:ser>
        <c:dLbls>
          <c:showLegendKey val="0"/>
          <c:showVal val="0"/>
          <c:showCatName val="0"/>
          <c:showSerName val="0"/>
          <c:showPercent val="0"/>
          <c:showBubbleSize val="0"/>
        </c:dLbls>
        <c:gapWidth val="150"/>
        <c:axId val="172204416"/>
        <c:axId val="172205952"/>
      </c:barChart>
      <c:catAx>
        <c:axId val="172204416"/>
        <c:scaling>
          <c:orientation val="minMax"/>
        </c:scaling>
        <c:delete val="0"/>
        <c:axPos val="b"/>
        <c:majorTickMark val="out"/>
        <c:minorTickMark val="none"/>
        <c:tickLblPos val="nextTo"/>
        <c:txPr>
          <a:bodyPr/>
          <a:lstStyle/>
          <a:p>
            <a:pPr>
              <a:defRPr lang="uk-UA"/>
            </a:pPr>
            <a:endParaRPr lang="ru-RU"/>
          </a:p>
        </c:txPr>
        <c:crossAx val="172205952"/>
        <c:crosses val="autoZero"/>
        <c:auto val="1"/>
        <c:lblAlgn val="ctr"/>
        <c:lblOffset val="100"/>
        <c:noMultiLvlLbl val="0"/>
      </c:catAx>
      <c:valAx>
        <c:axId val="172205952"/>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204416"/>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0.36400000000000032</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0.6360000000000009</c:v>
                </c:pt>
              </c:numCache>
            </c:numRef>
          </c:val>
        </c:ser>
        <c:dLbls>
          <c:showLegendKey val="0"/>
          <c:showVal val="0"/>
          <c:showCatName val="0"/>
          <c:showSerName val="0"/>
          <c:showPercent val="0"/>
          <c:showBubbleSize val="0"/>
        </c:dLbls>
        <c:gapWidth val="150"/>
        <c:axId val="172401024"/>
        <c:axId val="172402560"/>
      </c:barChart>
      <c:catAx>
        <c:axId val="172401024"/>
        <c:scaling>
          <c:orientation val="minMax"/>
        </c:scaling>
        <c:delete val="0"/>
        <c:axPos val="b"/>
        <c:majorTickMark val="out"/>
        <c:minorTickMark val="none"/>
        <c:tickLblPos val="nextTo"/>
        <c:txPr>
          <a:bodyPr/>
          <a:lstStyle/>
          <a:p>
            <a:pPr>
              <a:defRPr lang="uk-UA"/>
            </a:pPr>
            <a:endParaRPr lang="ru-RU"/>
          </a:p>
        </c:txPr>
        <c:crossAx val="172402560"/>
        <c:crosses val="autoZero"/>
        <c:auto val="1"/>
        <c:lblAlgn val="ctr"/>
        <c:lblOffset val="100"/>
        <c:noMultiLvlLbl val="0"/>
      </c:catAx>
      <c:valAx>
        <c:axId val="172402560"/>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240102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Так</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Лист1!$B$2</c:f>
              <c:numCache>
                <c:formatCode>0.0%</c:formatCode>
                <c:ptCount val="1"/>
                <c:pt idx="0">
                  <c:v>0</c:v>
                </c:pt>
              </c:numCache>
            </c:numRef>
          </c:val>
        </c:ser>
        <c:ser>
          <c:idx val="1"/>
          <c:order val="1"/>
          <c:tx>
            <c:strRef>
              <c:f>Лист1!$C$1</c:f>
              <c:strCache>
                <c:ptCount val="1"/>
                <c:pt idx="0">
                  <c:v>Неоднозначно</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Лист1!$C$2</c:f>
              <c:numCache>
                <c:formatCode>0.0%</c:formatCode>
                <c:ptCount val="1"/>
                <c:pt idx="0">
                  <c:v>0.43200000000000038</c:v>
                </c:pt>
              </c:numCache>
            </c:numRef>
          </c:val>
        </c:ser>
        <c:ser>
          <c:idx val="2"/>
          <c:order val="2"/>
          <c:tx>
            <c:strRef>
              <c:f>Лист1!$D$1</c:f>
              <c:strCache>
                <c:ptCount val="1"/>
                <c:pt idx="0">
                  <c:v>Ні</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Лист1!$A$2</c:f>
              <c:strCache>
                <c:ptCount val="1"/>
                <c:pt idx="0">
                  <c:v>Розподіл відповідей</c:v>
                </c:pt>
              </c:strCache>
            </c:strRef>
          </c:cat>
          <c:val>
            <c:numRef>
              <c:f>Лист1!$D$2</c:f>
              <c:numCache>
                <c:formatCode>0.0%</c:formatCode>
                <c:ptCount val="1"/>
                <c:pt idx="0">
                  <c:v>0.56799999999999995</c:v>
                </c:pt>
              </c:numCache>
            </c:numRef>
          </c:val>
        </c:ser>
        <c:dLbls>
          <c:showLegendKey val="0"/>
          <c:showVal val="0"/>
          <c:showCatName val="0"/>
          <c:showSerName val="0"/>
          <c:showPercent val="0"/>
          <c:showBubbleSize val="0"/>
        </c:dLbls>
        <c:gapWidth val="150"/>
        <c:axId val="173896448"/>
        <c:axId val="173897984"/>
      </c:barChart>
      <c:catAx>
        <c:axId val="173896448"/>
        <c:scaling>
          <c:orientation val="minMax"/>
        </c:scaling>
        <c:delete val="0"/>
        <c:axPos val="b"/>
        <c:majorTickMark val="out"/>
        <c:minorTickMark val="none"/>
        <c:tickLblPos val="nextTo"/>
        <c:txPr>
          <a:bodyPr/>
          <a:lstStyle/>
          <a:p>
            <a:pPr>
              <a:defRPr lang="uk-UA"/>
            </a:pPr>
            <a:endParaRPr lang="ru-RU"/>
          </a:p>
        </c:txPr>
        <c:crossAx val="173897984"/>
        <c:crosses val="autoZero"/>
        <c:auto val="1"/>
        <c:lblAlgn val="ctr"/>
        <c:lblOffset val="100"/>
        <c:noMultiLvlLbl val="0"/>
      </c:catAx>
      <c:valAx>
        <c:axId val="173897984"/>
        <c:scaling>
          <c:orientation val="minMax"/>
        </c:scaling>
        <c:delete val="0"/>
        <c:axPos val="l"/>
        <c:majorGridlines/>
        <c:numFmt formatCode="0.0%" sourceLinked="1"/>
        <c:majorTickMark val="out"/>
        <c:minorTickMark val="none"/>
        <c:tickLblPos val="nextTo"/>
        <c:txPr>
          <a:bodyPr/>
          <a:lstStyle/>
          <a:p>
            <a:pPr>
              <a:defRPr lang="uk-UA"/>
            </a:pPr>
            <a:endParaRPr lang="ru-RU"/>
          </a:p>
        </c:txPr>
        <c:crossAx val="17389644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7B9AF-1890-473A-AEDD-2551FEA2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4109</Words>
  <Characters>23426</Characters>
  <Application>Microsoft Office Word</Application>
  <DocSecurity>0</DocSecurity>
  <Lines>195</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Dovhanych</cp:lastModifiedBy>
  <cp:revision>3</cp:revision>
  <cp:lastPrinted>2016-07-01T18:53:00Z</cp:lastPrinted>
  <dcterms:created xsi:type="dcterms:W3CDTF">2016-09-13T11:17:00Z</dcterms:created>
  <dcterms:modified xsi:type="dcterms:W3CDTF">2016-09-13T11:18:00Z</dcterms:modified>
</cp:coreProperties>
</file>