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E1F3C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right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ПРОЕКТ</w:t>
      </w:r>
    </w:p>
    <w:p w14:paraId="3D30FBB1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B34864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МІНІСТЕРСТВО ОСВІТИ І НАУКИ УКРАЇНИ</w:t>
      </w:r>
    </w:p>
    <w:p w14:paraId="4910F903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2B2DB50B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3872F6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НАКАЗ </w:t>
      </w:r>
    </w:p>
    <w:p w14:paraId="4431618C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5781260" w14:textId="77777777" w:rsidR="007027ED" w:rsidRPr="00D76BBC" w:rsidRDefault="00135D6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м. Київ</w:t>
      </w:r>
    </w:p>
    <w:p w14:paraId="5A65B089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534"/>
          <w:tab w:val="left" w:pos="7315"/>
        </w:tabs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__.__.___                                                                                                          № _____</w:t>
      </w:r>
    </w:p>
    <w:p w14:paraId="0A325270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534"/>
          <w:tab w:val="left" w:pos="7315"/>
        </w:tabs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Зареєстровано в</w:t>
      </w:r>
    </w:p>
    <w:p w14:paraId="47913DEC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534"/>
          <w:tab w:val="left" w:pos="7315"/>
        </w:tabs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Міністерстві юстиції України</w:t>
      </w:r>
    </w:p>
    <w:p w14:paraId="2A015928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__ ________ ______ року</w:t>
      </w:r>
    </w:p>
    <w:p w14:paraId="10C625E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за № _____________</w:t>
      </w:r>
    </w:p>
    <w:p w14:paraId="1CA7F41E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24CF265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Про затвердження Порядку формування</w:t>
      </w:r>
    </w:p>
    <w:p w14:paraId="0CFC022F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Переліку наукових фахових видань України</w:t>
      </w:r>
    </w:p>
    <w:p w14:paraId="3AEC715C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BC59750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Відповідно до Закону України «Про вищу освіту» та пункту 12 Порядку присудження наукових ступенів, затвердженого постановою Кабінету Міністрів України від 24 липня 2013 року № 567, </w:t>
      </w:r>
    </w:p>
    <w:p w14:paraId="064A9715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692AAE3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НАКАЗУЮ: </w:t>
      </w:r>
    </w:p>
    <w:p w14:paraId="73B2B162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94C0499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1. Затвердити Порядок формування Переліку наукових фахових видань України, що додається.</w:t>
      </w:r>
    </w:p>
    <w:p w14:paraId="64592F22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C72051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2. Визнати таким, що втратив чинність, наказ Міністерства освіти і науки, молоді та спорту України від 17 жовтня 2012 року № 1111 «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Про затвердження Порядку формування Переліку наукових фахових видань України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», зареєстрований у Міністерстві юстиції України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2 листопада 2012 року за № 1850/22162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.</w:t>
      </w:r>
    </w:p>
    <w:p w14:paraId="4D3B1A9A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F786374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2. Департаменту атестації кадрів вищої кваліфікації та ліцензування (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Шевцов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 А. Г.) забезпечити державну реєстрацію цього наказу в Міністерстві юстиції України в установленому законодавством порядку.</w:t>
      </w:r>
    </w:p>
    <w:p w14:paraId="788C4D5A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9806B69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3. Цей наказ набирає чинності з дня його офіційного опублікування.</w:t>
      </w:r>
    </w:p>
    <w:p w14:paraId="0EA55C69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8D6E3A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Контроль за виконанням цього наказу покласти на першого заступника Міністра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Ковтунця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В.В.</w:t>
      </w:r>
    </w:p>
    <w:p w14:paraId="66E7C698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BAA216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6E92345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8FB02E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Міністр                                                                                                 Л. М. Гриневич  </w:t>
      </w:r>
    </w:p>
    <w:p w14:paraId="70AA5265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color w:val="auto"/>
        </w:rPr>
      </w:pPr>
      <w:r w:rsidRPr="00D76BBC">
        <w:rPr>
          <w:color w:val="auto"/>
        </w:rPr>
        <w:br w:type="page"/>
      </w:r>
    </w:p>
    <w:p w14:paraId="5127D2A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2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       </w:t>
      </w:r>
    </w:p>
    <w:tbl>
      <w:tblPr>
        <w:tblStyle w:val="a5"/>
        <w:tblW w:w="98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228"/>
        <w:gridCol w:w="3600"/>
      </w:tblGrid>
      <w:tr w:rsidR="00D76BBC" w:rsidRPr="00D76BBC" w14:paraId="087A3180" w14:textId="77777777">
        <w:trPr>
          <w:trHeight w:val="1580"/>
        </w:trPr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CC33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B7CF" w14:textId="77777777" w:rsidR="007027ED" w:rsidRPr="00D76BBC" w:rsidRDefault="00135D61">
            <w:pPr>
              <w:pStyle w:val="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76BBC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ЗАТВЕРДЖЕНО</w:t>
            </w:r>
          </w:p>
          <w:p w14:paraId="05B78700" w14:textId="77777777" w:rsidR="007027ED" w:rsidRPr="00D76BBC" w:rsidRDefault="00135D61">
            <w:pPr>
              <w:pStyle w:val="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76BBC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Наказ Міністерства  освіти і науки України</w:t>
            </w:r>
          </w:p>
          <w:p w14:paraId="6CC2B5C8" w14:textId="77777777" w:rsidR="007027ED" w:rsidRPr="00D76BBC" w:rsidRDefault="00135D61">
            <w:pPr>
              <w:pStyle w:val="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76BBC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__  ________ року № _____</w:t>
            </w:r>
          </w:p>
          <w:p w14:paraId="04C4AEFF" w14:textId="77777777" w:rsidR="007027ED" w:rsidRPr="00D76BBC" w:rsidRDefault="007027ED">
            <w:pPr>
              <w:pStyle w:val="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14:paraId="52C9AC34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DE02348" w14:textId="77777777" w:rsidR="007027ED" w:rsidRPr="00D76BBC" w:rsidRDefault="007027ED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auto"/>
        </w:rPr>
      </w:pPr>
    </w:p>
    <w:p w14:paraId="3AB63336" w14:textId="77777777" w:rsidR="007027ED" w:rsidRPr="00D76BBC" w:rsidRDefault="00135D61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color w:val="auto"/>
        </w:rPr>
      </w:pPr>
      <w:r w:rsidRPr="00D76BBC">
        <w:rPr>
          <w:color w:val="auto"/>
        </w:rPr>
        <w:t xml:space="preserve">Порядок </w:t>
      </w:r>
    </w:p>
    <w:p w14:paraId="7AD75EFA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формування Переліку наукових фахових видань України</w:t>
      </w:r>
    </w:p>
    <w:p w14:paraId="33639E26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0FB6DF1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1. Порядок формування Переліку наукових фахових видань України (далі – Порядок) встановлює умови формування Переліку наукових фахових видань України (далі – Перелік), а також класифікації та моніторингу видань, включених до Переліку. Видання, яке відповідає визначеним у Порядку вимогам, набуває статусу фахового наукового видання України.</w:t>
      </w:r>
    </w:p>
    <w:p w14:paraId="759838AF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BC3838A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2. Метою об’єктивної оцінки, класифікації та моніторингу наукових фахових видань є підвищення якості опублікованої у них наукової інформації та інтеграція цих видань до світового наукового простору. Під публікацією тут розуміється випуск друкованого видання накладом не менше 50 примірників або оприлюднення видання в електронному вигляді в мережі Інтернет у форматі, не призначеному для редагування, з вільним або платним доступом.</w:t>
      </w:r>
    </w:p>
    <w:p w14:paraId="469A299D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33B35D7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3. Наукові фахові видання з Переліку застосовуються для:</w:t>
      </w:r>
    </w:p>
    <w:p w14:paraId="318D4FB9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3.1. Розвитку вітчизняного наукового потенціалу та інтеграції його у світовий науковий простір. </w:t>
      </w:r>
    </w:p>
    <w:p w14:paraId="1538452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3.2. Створення простору якісної публічної комунікації вчених, зокрема якісного донесення результатів їх діяльності до вітчизняної і світової наукової спільноти.</w:t>
      </w:r>
    </w:p>
    <w:p w14:paraId="2AC18D9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3.3. Офіційного визнання наукових публікацій, зокрема:</w:t>
      </w:r>
    </w:p>
    <w:p w14:paraId="5E61719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опублікування основних наукових результатів дисертацій здобувачами наукових ступенів та досліджень претендентів на присвоєння вчених звань;</w:t>
      </w:r>
    </w:p>
    <w:p w14:paraId="5B50376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врахування при оцінюванні результатів наукової діяльності вищих навчальних закладів і наукових установ;</w:t>
      </w:r>
    </w:p>
    <w:p w14:paraId="2F6A3A1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врахування при оцінюванні результатів наукової діяльності та атестації наукових та науково-педагогічних працівників;</w:t>
      </w:r>
    </w:p>
    <w:p w14:paraId="19427B3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врахування при оцінюванні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проектів науково-дослідних робіт, поданих на конкурси для фінансування за кошти державного чи місцевих бюджетів.</w:t>
      </w:r>
    </w:p>
    <w:p w14:paraId="267E9D91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26F8550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4. Засновниками (співзасновниками) наукового фахового видання можуть бути суб’єкти наукової і науково-технічної діяльності, які діють відповідно до Закону України «Про наукову і науково-технічну діяльність», серед яких має бути принаймні одна юридична особа.</w:t>
      </w:r>
    </w:p>
    <w:p w14:paraId="6B5A2C65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D6612D4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5. Включення наукового періодичного видання до Переліку здійснюється із зазначенням спеціальностей, за якими видання здійснює публікації.</w:t>
      </w:r>
    </w:p>
    <w:p w14:paraId="4FED3DD5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B6A0718" w14:textId="130D4532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6. До Переліку наукових фахових видань України включаються наукові періодичні видання</w:t>
      </w:r>
      <w:r w:rsidR="00C97A9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97A93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України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які включені до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наукометричних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баз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Scopus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або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of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Science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Core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Collection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(категорія «А»),  видання, які відповідають в</w:t>
      </w:r>
      <w:r w:rsidR="009300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сім переліченим нижче  вимогам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пп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6.1-6.8 (категорія «Б»), і видання, які відповідають вимогам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пп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. 6.1,6.2 з перелічених нижче, з врахуванням вимог п.12.3 (категорія «В») :</w:t>
      </w:r>
    </w:p>
    <w:p w14:paraId="0D9F0115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6.1. Наявність свідоцтва про державну реєстрацію засобу масової інформації із загальнодержавною та (або) зарубіжною сферою його розповсюдження (для періодичних друкованих наукових видань).</w:t>
      </w:r>
    </w:p>
    <w:p w14:paraId="27F9428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6.2. ISSN-номер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, що використовується для ідентифікації друкованого та/або електронного періодичного видання та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дотримання заявленої періодичності.</w:t>
      </w:r>
    </w:p>
    <w:p w14:paraId="207AA604" w14:textId="78496DFD" w:rsidR="007027ED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6.3. Забезпечення якісного незалежного рецензування поданих до публікації матеріалів вченими, які здійснюють дослідження за спеціальністю і мають за останні три роки не менше однієї публікації у в</w:t>
      </w:r>
      <w:r w:rsidR="00A04B0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иданнях, включених до Переліку,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або </w:t>
      </w:r>
      <w:r w:rsidR="00A04B0B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закордонних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виданнях, що </w:t>
      </w:r>
      <w:r w:rsidR="005B40C7">
        <w:rPr>
          <w:rFonts w:ascii="Times New Roman" w:eastAsia="Times New Roman" w:hAnsi="Times New Roman" w:cs="Times New Roman"/>
          <w:color w:val="auto"/>
          <w:sz w:val="28"/>
          <w:szCs w:val="28"/>
        </w:rPr>
        <w:t>включені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в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of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Science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Core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Collection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04B0B">
        <w:rPr>
          <w:rFonts w:ascii="Times New Roman" w:eastAsia="Times New Roman" w:hAnsi="Times New Roman" w:cs="Times New Roman"/>
          <w:color w:val="auto"/>
          <w:sz w:val="28"/>
          <w:szCs w:val="28"/>
        </w:rPr>
        <w:t>та/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або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Scopus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, або, у випадку монографій або розділів монографій, видані міжнародними видавництвами, що входять до категорій A, B, або C за класифікацією  SENSE  згідно до переліку, доступного за URL http://</w:t>
      </w:r>
      <w:hyperlink r:id="rId7">
        <w:r w:rsidRPr="00D76BBC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</w:rPr>
          <w:t>www.sense.nl</w:t>
        </w:r>
      </w:hyperlink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. Рецензії, підписані рецензентом звичайним або цифровим електронним підписом, мають зберігатися в редакції не менше трьох років.</w:t>
      </w:r>
    </w:p>
    <w:p w14:paraId="1C3FA0E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6.4. Присвоєння кожному опублікованому матеріалу міжнародного цифрового ідентифікатора DOI (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digital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object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identifier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).</w:t>
      </w:r>
    </w:p>
    <w:p w14:paraId="500D63C9" w14:textId="05DA2165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6.5. Наявність у складі редакційної колегії видання не менше семи вчених, які мають науковий ступінь за однією із спеціальностей, що відповідають науковому профілю видання згідно</w:t>
      </w:r>
      <w:r w:rsidR="001950F2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</w:t>
      </w:r>
      <w:r w:rsidR="001950F2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унктом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5 даного Порядку. Кожен з цих фахівців, включаю</w:t>
      </w:r>
      <w:r w:rsidR="001950F2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чи головного редактора видання,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повинен мати не менше трьох публікаці</w:t>
      </w:r>
      <w:r w:rsidR="001950F2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й за останні п’ять років, або не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менше семи публікацій за останні п’ятнадцять років, у тому числі не менше однієї за останні три роки</w:t>
      </w:r>
      <w:r w:rsidR="001950F2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як публікації, в даному пункті враховуються статті, монографії, розділи монографій, що відповідають науковому профілю видання, опубліковані щонайменше у двох різних виданнях, які </w:t>
      </w:r>
      <w:r w:rsidR="00D5138D">
        <w:rPr>
          <w:rFonts w:ascii="Times New Roman" w:eastAsia="Times New Roman" w:hAnsi="Times New Roman" w:cs="Times New Roman"/>
          <w:color w:val="auto"/>
          <w:sz w:val="28"/>
          <w:szCs w:val="28"/>
        </w:rPr>
        <w:t>включені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of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Science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Core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Collection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або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Scopus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, або (у випадку монографій або розділів монографій) видані міжнародними видавництвами, що входять до категорій A, B, або C за класифікацією  SENSE  згідно до переліку, доступного за URL http://</w:t>
      </w:r>
      <w:hyperlink r:id="rId8">
        <w:r w:rsidRPr="00D76BBC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www.sense.nl</w:t>
        </w:r>
      </w:hyperlink>
      <w:r w:rsidR="001950F2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 </w:t>
      </w:r>
    </w:p>
    <w:p w14:paraId="2CB9FEFF" w14:textId="0E2EE922" w:rsidR="007027ED" w:rsidRDefault="00135D61" w:rsidP="001950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 складі редакційної колегії повинно бути не менше трьох </w:t>
      </w:r>
      <w:r w:rsidR="005B40C7">
        <w:rPr>
          <w:rFonts w:ascii="Times New Roman" w:eastAsia="Times New Roman" w:hAnsi="Times New Roman" w:cs="Times New Roman"/>
          <w:color w:val="auto"/>
          <w:sz w:val="28"/>
          <w:szCs w:val="28"/>
        </w:rPr>
        <w:t>вчених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що працюють за основним місцем роботи в українських наукових установах або закладах вищої освіти, і щонайменше один науковець, що працює за основним місцем роботи в закордонній науковій установі або закладах вищої освіти. Для введення </w:t>
      </w:r>
      <w:r w:rsidR="005B40C7">
        <w:rPr>
          <w:rFonts w:ascii="Times New Roman" w:eastAsia="Times New Roman" w:hAnsi="Times New Roman" w:cs="Times New Roman"/>
          <w:color w:val="auto"/>
          <w:sz w:val="28"/>
          <w:szCs w:val="28"/>
        </w:rPr>
        <w:t>вченого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 складу редакційної колегії потрібна його письмова згода. Вчений може входити до складу не більш як трьох редакційних колегій </w:t>
      </w:r>
      <w:r w:rsidR="004B0719" w:rsidRPr="004B0719">
        <w:rPr>
          <w:rFonts w:ascii="Times New Roman" w:eastAsia="Times New Roman" w:hAnsi="Times New Roman" w:cs="Times New Roman"/>
          <w:color w:val="auto"/>
          <w:sz w:val="28"/>
          <w:szCs w:val="28"/>
        </w:rPr>
        <w:t>видань, включених до Переліку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CA5840D" w14:textId="77777777" w:rsidR="00775710" w:rsidRPr="00D76BBC" w:rsidRDefault="00775710" w:rsidP="001950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6784278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6.6. Наявність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-сайту видання з українським та англійським інтерфейсом (інтерфейс може бути іншими додатковими мовами, пов’язаними зі сферою поширення видання), або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-сторінки видання на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-сайті засновника (співзасновника) видання,  з наступною інформацією:</w:t>
      </w:r>
    </w:p>
    <w:p w14:paraId="7E9ADA85" w14:textId="1183233C" w:rsidR="007027ED" w:rsidRPr="00F4306B" w:rsidRDefault="00135D61" w:rsidP="00F4306B">
      <w:pPr>
        <w:pStyle w:val="af7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політика (мета та завдання) наукового видання;</w:t>
      </w:r>
    </w:p>
    <w:p w14:paraId="15BE13EF" w14:textId="47E202C9" w:rsidR="007027ED" w:rsidRPr="00F4306B" w:rsidRDefault="00135D61" w:rsidP="00F4306B">
      <w:pPr>
        <w:pStyle w:val="af7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склад редакційної колегії (редакційної ради, за наявності) із зазначенням наукового ступеня, звання та основного місця роботи;</w:t>
      </w:r>
    </w:p>
    <w:p w14:paraId="380F75CA" w14:textId="6830EB8C" w:rsidR="007027ED" w:rsidRPr="00F4306B" w:rsidRDefault="00135D61" w:rsidP="00F4306B">
      <w:pPr>
        <w:pStyle w:val="af7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процедура рецензування та дотримання редакційної етики;</w:t>
      </w:r>
    </w:p>
    <w:p w14:paraId="4426A88A" w14:textId="1456A7DC" w:rsidR="007027ED" w:rsidRPr="00F4306B" w:rsidRDefault="00135D61" w:rsidP="00F4306B">
      <w:pPr>
        <w:pStyle w:val="af7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порядок оформлення та подання публікації до оприлюднення;</w:t>
      </w:r>
    </w:p>
    <w:p w14:paraId="1A1C8E07" w14:textId="13E34887" w:rsidR="007027ED" w:rsidRPr="00F4306B" w:rsidRDefault="00135D61" w:rsidP="00F4306B">
      <w:pPr>
        <w:pStyle w:val="af7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у разі відкритого доступу – повні тексти, при умові розповсюдження за передплатою – інформація про умови доступу та анотації до кожної статті відповідно до змісту випусків, оприл</w:t>
      </w:r>
      <w:r w:rsidR="00F4306B"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юднених на </w:t>
      </w:r>
      <w:proofErr w:type="spellStart"/>
      <w:r w:rsidR="00F4306B"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="00F4306B"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-сторінці видання;</w:t>
      </w:r>
    </w:p>
    <w:p w14:paraId="6D4B273A" w14:textId="007590D0" w:rsidR="00CF4DFF" w:rsidRPr="00F4306B" w:rsidRDefault="00F4306B" w:rsidP="00F4306B">
      <w:pPr>
        <w:pStyle w:val="af7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Pr="00F4306B">
        <w:rPr>
          <w:rFonts w:ascii="Times New Roman" w:eastAsia="Times New Roman" w:hAnsi="Times New Roman" w:cs="Times New Roman"/>
          <w:color w:val="auto"/>
          <w:sz w:val="28"/>
          <w:szCs w:val="28"/>
        </w:rPr>
        <w:t>кщо видання не є повністю англомовним, кожна публікація не англійською мовою супроводжується анотацією англійською мовою обсягом не менш як 1800 знаків, включаючи ключові слова. Якщо видання не є повністю україномовним, то кожна публікація не українською мовою супроводжується також анотацією українською мовою обсягом не менш як 1800 знаків, включаючи ключові слова.</w:t>
      </w:r>
    </w:p>
    <w:p w14:paraId="5481587E" w14:textId="0C42E25B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6.7. Включення до профільних міжнародних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наукометричних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баз даних, перелік яких затверджується МОН за погодженням з Науковим комітетом Національної ради України з питань розвитку науки і технологій.</w:t>
      </w:r>
    </w:p>
    <w:p w14:paraId="765370BB" w14:textId="62D9DDB0" w:rsidR="00DE562F" w:rsidRPr="00D76BBC" w:rsidRDefault="00135D61" w:rsidP="00DE562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6.8. </w:t>
      </w:r>
      <w:r w:rsidR="00DE562F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Розміщення на платформі «Наукова періодика України» в Національній бібліотеці України імені В. І. Вернадського НАН України та в Національному </w:t>
      </w:r>
      <w:proofErr w:type="spellStart"/>
      <w:r w:rsidR="00DE562F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репозитарії</w:t>
      </w:r>
      <w:proofErr w:type="spellEnd"/>
      <w:r w:rsidR="00DE562F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академічних текстів у разі відкритого доступу електронних копій видання, а при умові розповсюдження за передплатою – повного бібліографічного опису та анотації до статей, які розміщуються у відповідних номерах видань, для формування реєстру академічних текстів.</w:t>
      </w:r>
    </w:p>
    <w:p w14:paraId="62628631" w14:textId="77777777" w:rsidR="00DE562F" w:rsidRPr="00D76BBC" w:rsidRDefault="00DE562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color w:val="auto"/>
        </w:rPr>
      </w:pPr>
    </w:p>
    <w:p w14:paraId="16DD2865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7. Для включення періодичного наукового фахового видання до Переліку до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МОН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подаються такі документи.</w:t>
      </w:r>
    </w:p>
    <w:p w14:paraId="3D635A75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7.1. Клопотання засновника (співзасновників) наукового фахового видання про включення до Переліку на офіційному бланку, засвідчене підписом керівника.</w:t>
      </w:r>
    </w:p>
    <w:p w14:paraId="27921FB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7.2. Заповнений бланк заявки про включення до Переліку (Додаток 1) на паперовому та електронному носіях.</w:t>
      </w:r>
    </w:p>
    <w:p w14:paraId="2BD6C21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7.3. Копія Свідоцтва про державну реєстрацію друкованого засобу масової інформації (для друкованих періодичних видань) або витяг з наказу засновника про утворення електронного наукового періодичного видання.</w:t>
      </w:r>
    </w:p>
    <w:p w14:paraId="68E0985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7.4. Документ про здійснення обов’язкового розсилання періодичного видання відповідно до Постанови Кабінету Міністрів України № 608 від 10 травня 2002 року «Про порядок доставляння обов’язкових примірників документів».</w:t>
      </w:r>
    </w:p>
    <w:p w14:paraId="0B410CF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7.5. Два останні номери видання по одному примірнику з копіями рецензій на опубліковані матеріали (з забезпеченням анонімності особи рецензента).</w:t>
      </w:r>
    </w:p>
    <w:p w14:paraId="599BEF0B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E2E6E7C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 Подані документи розглядаються відповідною експертною радою з питань проведення експертизи дисертаційних робіт МОН відповідно до підпункту 4 пункту 8 Положення про експертну раду з питань проведення експертизи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дисертаційних робіт Міністерства освіти і науки, молоді та спорту України, затвердженого наказом Міністерства освіти і науки, молоді та спорту України від 14 вересня 2011 року № 1058, зареєстрованого в Міністерстві юстиції України 10 жовтня 2011 року за № 1167/19905. У разі наявності позитивного висновку експертної ради з питань проведення експертизи дисертаційних робіт матеріали подаються на розгляд атестаційної колегії МОН для прийняття рішення.</w:t>
      </w:r>
    </w:p>
    <w:p w14:paraId="66515DB1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A84368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9. Наказ про включення наукового видання до Переліку МОН оприлюднює на офіційному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-сайті. У разі відмови про включення до Переліку або передчасного вилучення видання з Переліку, МОН офіційним листом інформує засновника (співзасновників) про причини відмови про включення або вилучення.</w:t>
      </w:r>
    </w:p>
    <w:p w14:paraId="1D2DA49A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B10789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10. Рішення МОН про відмову у включенні наукового видання до Переліку може бути оскаржене протягом місяця з дня отримання засновником (співзасновниками) офіційного листа з причиною відмови шляхом подання до МОН апеляційної заяви або до суду в порядку, передбаченому законом.</w:t>
      </w:r>
    </w:p>
    <w:p w14:paraId="41EE3D99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BBDF83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11. Наукове фахове видання може бути вилучене з Переліку за рішенням МОН у разі виявлення порушень вимог даного Порядку. У разі вилучення наукового видання з Переліку, засновник (співзасновники)  може подавати нове клопотання після виправлення зауважень МОН не раніше ніж через рік з дня прийняття такого рішення або після розсилання видавцем обов’язкових примірників наступних трьох чергових номерів видання. </w:t>
      </w:r>
    </w:p>
    <w:p w14:paraId="71E82374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У разі повторного виявлення  цих порушень, видання виключається з Переліку без права поновлення.</w:t>
      </w:r>
    </w:p>
    <w:p w14:paraId="71A51272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C1A29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12. Під час включення наукового видання до Переліку МОН, йому присвоюється відповідна категорія, яку разом з датою включення до Переліку необхідно вказувати у вихідних відомостях видання.</w:t>
      </w:r>
    </w:p>
    <w:p w14:paraId="73883CF8" w14:textId="496A3A3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12.1.</w:t>
      </w:r>
      <w:r w:rsidRPr="00D76BBC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76BB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категорія «А» –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присвоюється науковим фаховим виданням, які включені до міжнародних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наукометричних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баз даних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of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Science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Core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Collection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та/або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Scopus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Наукові фахові видання, що включені до категорій «А» вважаються такими, що постійно включені до Переліку за умови, що їх не виключили з числа таких, які </w:t>
      </w:r>
      <w:r w:rsidR="005B40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включені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Scopus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та/або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оf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Science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Core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Collection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(крім випадків, зазначених у п. 15). </w:t>
      </w:r>
    </w:p>
    <w:p w14:paraId="4C97F16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12.2. </w:t>
      </w:r>
      <w:r w:rsidRPr="00D76BB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 xml:space="preserve">категорія «Б» –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присвоюється науковим фаховим виданням, які відповідають вимогам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пп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6.1–6.8. </w:t>
      </w:r>
    </w:p>
    <w:p w14:paraId="7C15BBD5" w14:textId="54CE4689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p874b2rpdcdv" w:colFirst="0" w:colLast="0"/>
      <w:bookmarkEnd w:id="0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12.3. </w:t>
      </w:r>
      <w:r w:rsidRPr="00D76BB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категорія «В»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</w:t>
      </w:r>
      <w:r w:rsidR="000B28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присвоюється всім науковим фаховим виданням, які включені до Переліку на день затвердження цього Порядку наказами МОН</w:t>
      </w:r>
      <w:bookmarkStart w:id="1" w:name="gjdgxs" w:colFirst="0" w:colLast="0"/>
      <w:bookmarkEnd w:id="1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(Додаток 2), а також може присвоюватись виданням, які втратили право на категорію «А» або категорію «Б». Видання категорії «В» вважаються включеними до Переліку на тимчасовій основі і через один рік після набуття чинності даним Порядком повинні надати МОН документи, що підтверджують виконання вимог п. 6.3, 6.6 даного Порядку, в іншому разі ці видання виключаються з Переліку. Через два роки після набуття чинності даним Порядком, категорія «В» припиняє своє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існування, а відповідні видання, які не виконали вимог для категорії «Б» або категорії «А», виключаються з Переліку. </w:t>
      </w:r>
    </w:p>
    <w:p w14:paraId="68D3E764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460E1D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13. У разі перереєстрації друкованого видання зі зміною Свідоцтва про державну реєстрацію друкованого засобу масової інформації або зміни у електронному виданні, засновник (співзасновники) повинен упродовж одного місяця подати до МОН клопотання щодо внесення змін до Переліку та копію нового Свідоцтва про державну реєстрацію друкованого засобу масової інформації або витяг з наказу засновника про зміни у електронному науковому періодичному виданні.</w:t>
      </w:r>
    </w:p>
    <w:p w14:paraId="33C4A7E8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A6A4EF8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14. Видання, яке отримало статус фахового із визначенням певної категорії, обов’язково підлягає моніторингу МОН щодо дотримання ним вимог даного Порядку. За результатами моніторингу видання може залишитись у відповідній категорії, бути переведене в іншу категорію або може бути вилученим з Переліку, про що МОН інформує засновника (співзасновників) наукового видання та висвітлює цю інформацію на офіційному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-сайті.</w:t>
      </w:r>
    </w:p>
    <w:p w14:paraId="7B6431D8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54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DD91CAF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54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15. Підставами для виключення видання з Переліку є:</w:t>
      </w:r>
    </w:p>
    <w:p w14:paraId="1D2E5119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недотримання вимог цього Порядку;</w:t>
      </w:r>
    </w:p>
    <w:p w14:paraId="14E9F8A9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- порушення редакцією, авторами публікацій, рецензентами принципів академічної доброчесності, передбачених законами України, при опублікуванні видання;</w:t>
      </w:r>
    </w:p>
    <w:p w14:paraId="6EF5374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D76BBC">
        <w:rPr>
          <w:color w:val="auto"/>
        </w:rPr>
        <w:t xml:space="preserve"> </w:t>
      </w: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систематичні публікації матеріалів, які не містять нових наукових результатів, і водночас не містять інформації про те, що вони є оглядовими чи науково-методичними;</w:t>
      </w:r>
    </w:p>
    <w:p w14:paraId="5057388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порушення процедури незалежного рецензування та дотримання редакційної етики, декларованої виданням згідно п.6.6 даного Порядку. </w:t>
      </w:r>
    </w:p>
    <w:p w14:paraId="3D204552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A10300F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16. Голова та члени редакційної колегії несуть персональну відповідальність за політику журналу щодо організації рецензування статей та дотримання академічної доброчесності.</w:t>
      </w:r>
    </w:p>
    <w:p w14:paraId="7A107E0C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5C080F4" w14:textId="0D085661" w:rsidR="007027ED" w:rsidRPr="00FA215E" w:rsidRDefault="00B80B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17. </w:t>
      </w:r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виключенні видання  категорії “А” з </w:t>
      </w:r>
      <w:proofErr w:type="spellStart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наукометричних</w:t>
      </w:r>
      <w:proofErr w:type="spellEnd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баз  </w:t>
      </w:r>
      <w:proofErr w:type="spellStart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Web</w:t>
      </w:r>
      <w:proofErr w:type="spellEnd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of</w:t>
      </w:r>
      <w:proofErr w:type="spellEnd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Science</w:t>
      </w:r>
      <w:proofErr w:type="spellEnd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 </w:t>
      </w:r>
      <w:proofErr w:type="spellStart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Scopus</w:t>
      </w:r>
      <w:proofErr w:type="spellEnd"/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воно набуває статус видання категорії “Б”. При виявленні підстав для </w:t>
      </w:r>
      <w:r w:rsidR="00E649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ключення видання </w:t>
      </w:r>
      <w:r w:rsidR="00E649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категорії “Б”</w:t>
      </w:r>
      <w:r w:rsidR="00E649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згідно п</w:t>
      </w:r>
      <w:r w:rsidR="00E54B39">
        <w:rPr>
          <w:rFonts w:ascii="Times New Roman" w:eastAsia="Times New Roman" w:hAnsi="Times New Roman" w:cs="Times New Roman"/>
          <w:color w:val="auto"/>
          <w:sz w:val="28"/>
          <w:szCs w:val="28"/>
        </w:rPr>
        <w:t>ункту</w:t>
      </w:r>
      <w:r w:rsidR="00E649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12.2</w:t>
      </w:r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, воно набуває статус</w:t>
      </w:r>
      <w:r w:rsidR="00E649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135D61"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видання категорії “В”.</w:t>
      </w:r>
      <w:r w:rsidR="00FA215E" w:rsidRPr="00FA215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FA215E">
        <w:rPr>
          <w:rFonts w:ascii="Times New Roman" w:eastAsia="Times New Roman" w:hAnsi="Times New Roman" w:cs="Times New Roman"/>
          <w:color w:val="auto"/>
          <w:sz w:val="28"/>
          <w:szCs w:val="28"/>
        </w:rPr>
        <w:t>Таке видання підлягає перевірці на наявність підстав для виключення його з Переліку відповідно до  пункту 15.</w:t>
      </w:r>
    </w:p>
    <w:p w14:paraId="251FEE61" w14:textId="28496080" w:rsidR="007027ED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508BBA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Директор департаменту атестації </w:t>
      </w:r>
    </w:p>
    <w:p w14:paraId="4B12F8C3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кадрів вищої кваліфікації </w:t>
      </w:r>
    </w:p>
    <w:p w14:paraId="31DE328C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 ліцензування                                                                                       А. Г.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Шевцов</w:t>
      </w:r>
      <w:proofErr w:type="spellEnd"/>
    </w:p>
    <w:p w14:paraId="3445F94E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0"/>
        <w:jc w:val="both"/>
        <w:rPr>
          <w:color w:val="auto"/>
        </w:rPr>
      </w:pPr>
      <w:r w:rsidRPr="00D76BBC">
        <w:rPr>
          <w:color w:val="auto"/>
        </w:rPr>
        <w:br w:type="page"/>
      </w:r>
    </w:p>
    <w:p w14:paraId="7B79F40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Додаток 1</w:t>
      </w:r>
    </w:p>
    <w:p w14:paraId="1092E64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 наказу Міністерства </w:t>
      </w:r>
    </w:p>
    <w:p w14:paraId="6E997E9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освіти і науки України</w:t>
      </w:r>
    </w:p>
    <w:p w14:paraId="11999124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__.__.____ №____</w:t>
      </w:r>
    </w:p>
    <w:p w14:paraId="4B61CD59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14:paraId="020F9CD0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Бланк заявки на включення наукового видання до Переліку наукових фахових видань України</w:t>
      </w:r>
    </w:p>
    <w:p w14:paraId="2BFF83FF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tbl>
      <w:tblPr>
        <w:tblStyle w:val="a6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76BBC" w:rsidRPr="00D76BBC" w14:paraId="7BBA4F01" w14:textId="77777777">
        <w:trPr>
          <w:trHeight w:val="104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9C78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 Назва журналу (відповідно до свідоцтва про державну реєстрацію друкованого ЗМІ) або наказу засновника про утворення електронного наукового періодичного видання</w:t>
            </w:r>
          </w:p>
        </w:tc>
      </w:tr>
      <w:tr w:rsidR="00D76BBC" w:rsidRPr="00D76BBC" w14:paraId="0287BFB0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C809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2CD1822E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</w:p>
    <w:p w14:paraId="7C7BDDE0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7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76BBC" w:rsidRPr="00D76BBC" w14:paraId="756503E0" w14:textId="77777777">
        <w:trPr>
          <w:trHeight w:val="68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CFF0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 Міжнародний стандартний номер періодичного друкованого та/або електронного видання (</w:t>
            </w:r>
            <w:r w:rsidRPr="00D76BB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ISSN</w:t>
            </w: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</w:tr>
      <w:tr w:rsidR="00D76BBC" w:rsidRPr="00D76BBC" w14:paraId="5DCA0D96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9279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2B782755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3B89BAAD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8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76BBC" w:rsidRPr="00D76BBC" w14:paraId="6B6F9C9E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4DAC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3.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Web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-сайт (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web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-сторінка) наукового видання</w:t>
            </w:r>
          </w:p>
        </w:tc>
      </w:tr>
      <w:tr w:rsidR="00D76BBC" w:rsidRPr="00D76BBC" w14:paraId="0CAD6962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5123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73B09AE2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932B87A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9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507"/>
      </w:tblGrid>
      <w:tr w:rsidR="00D76BBC" w:rsidRPr="00D76BBC" w14:paraId="574106C1" w14:textId="77777777">
        <w:trPr>
          <w:trHeight w:val="300"/>
          <w:jc w:val="center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FB36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 Контактні дані засновника (співзасновників)</w:t>
            </w:r>
          </w:p>
        </w:tc>
      </w:tr>
      <w:tr w:rsidR="00D76BBC" w:rsidRPr="00D76BBC" w14:paraId="3CFDD07D" w14:textId="77777777">
        <w:trPr>
          <w:trHeight w:val="68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0688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Назва установи/закладу (організації)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893E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52226F2C" w14:textId="77777777">
        <w:trPr>
          <w:trHeight w:val="30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1164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Адреса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1C32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2BEE7F41" w14:textId="77777777">
        <w:trPr>
          <w:trHeight w:val="30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CFFE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Телефон/факс/e-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F10F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746F1167" w14:textId="77777777">
        <w:trPr>
          <w:trHeight w:val="30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99EE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proofErr w:type="spellStart"/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Web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-сайт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3DF1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3C7A14BE" w14:textId="77777777">
        <w:trPr>
          <w:trHeight w:val="30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87DD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Контактна особа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1568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3DFE01DC" w14:textId="77777777">
        <w:trPr>
          <w:trHeight w:val="30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8E52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e-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mail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 контактної особи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BCB4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549A1ECD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379C7C0F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a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9353"/>
      </w:tblGrid>
      <w:tr w:rsidR="00D76BBC" w:rsidRPr="00D76BBC" w14:paraId="61F2C238" w14:textId="77777777">
        <w:trPr>
          <w:trHeight w:val="680"/>
          <w:jc w:val="center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2046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5. Тематична спрямованість наукового фахового видання – спеціальності, за якими видання публікує наукові праці</w:t>
            </w:r>
          </w:p>
        </w:tc>
      </w:tr>
      <w:tr w:rsidR="00D76BBC" w:rsidRPr="00D76BBC" w14:paraId="7BEB2863" w14:textId="77777777">
        <w:trPr>
          <w:trHeight w:val="300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BF4D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1.</w:t>
            </w: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4C875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32EDB080" w14:textId="77777777">
        <w:trPr>
          <w:trHeight w:val="300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4FC9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2.</w:t>
            </w: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8233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10086026" w14:textId="77777777">
        <w:trPr>
          <w:trHeight w:val="300"/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8ED66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3.</w:t>
            </w: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4628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2C5D4FC6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2CA1ABA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b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76BBC" w:rsidRPr="00D76BBC" w14:paraId="5A33B264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0318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6. Періодичність і наклад видання</w:t>
            </w:r>
          </w:p>
        </w:tc>
      </w:tr>
      <w:tr w:rsidR="00D76BBC" w:rsidRPr="00D76BBC" w14:paraId="65728F90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9E24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76FA61E6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7E8AA58B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c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507"/>
      </w:tblGrid>
      <w:tr w:rsidR="00D76BBC" w:rsidRPr="00D76BBC" w14:paraId="4D17BB77" w14:textId="77777777">
        <w:trPr>
          <w:trHeight w:val="300"/>
          <w:jc w:val="center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C267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7. Мова видання</w:t>
            </w:r>
          </w:p>
        </w:tc>
      </w:tr>
      <w:tr w:rsidR="00D76BBC" w:rsidRPr="00D76BBC" w14:paraId="189506CE" w14:textId="77777777">
        <w:trPr>
          <w:trHeight w:val="30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9A1A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Статті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9111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0AA6A9A2" w14:textId="77777777">
        <w:trPr>
          <w:trHeight w:val="300"/>
          <w:jc w:val="center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2C735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Анотації</w:t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02D6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36C64FD1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70F0E5F5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d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9308"/>
      </w:tblGrid>
      <w:tr w:rsidR="00D76BBC" w:rsidRPr="00D76BBC" w14:paraId="3A0DDE6B" w14:textId="77777777">
        <w:trPr>
          <w:trHeight w:val="1040"/>
          <w:jc w:val="center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CA75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8. Міжнародні, закордонні і національні реферативні та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наукометричні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бази даних, в які включено наукове видання, і дата включення. Зазначити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імпакт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-фактор та/або SNIP і SJR (за наявності). </w:t>
            </w:r>
          </w:p>
        </w:tc>
      </w:tr>
      <w:tr w:rsidR="00D76BBC" w:rsidRPr="00D76BBC" w14:paraId="2A1BD7E2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88A3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1.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89FEB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789FEA96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C6F5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2.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4DEA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2A46B2DA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81F1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3.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C15C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3CA040C4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81328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4.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EE0C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06D783A0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6316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….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328F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1BB8D4CE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14547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n.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B7875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1CC8B46F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ABED8BE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e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76BBC" w:rsidRPr="00D76BBC" w14:paraId="6D4C9CAC" w14:textId="77777777">
        <w:trPr>
          <w:trHeight w:val="104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E9BB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9. Головний редактор видання (прізвище та ініціали, науковий ступінь, вчене звання, посада, установа, країна, h-індекс (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Scopus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та/або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Web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of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Science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Core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Collection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), ORCID,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ResearcherID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</w:rPr>
              <w:t xml:space="preserve"> посилання на відповідні профілі вченого; перелік посилань на публікації, що відповідають вимогам п.6.5 Порядку)</w:t>
            </w:r>
          </w:p>
        </w:tc>
      </w:tr>
      <w:tr w:rsidR="00D76BBC" w:rsidRPr="00D76BBC" w14:paraId="7C66ED87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6859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13B35406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61AB26F2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f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9308"/>
      </w:tblGrid>
      <w:tr w:rsidR="00D76BBC" w:rsidRPr="00D76BBC" w14:paraId="581EE919" w14:textId="77777777">
        <w:trPr>
          <w:trHeight w:val="1040"/>
          <w:jc w:val="center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F7AA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10. Редакційна колегія (П. І. Б., науковий ступінь, вчене звання, посада, установа, країна, h-індекс (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Scopus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та/або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Web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of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Science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Core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Collection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), ORCID, 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ResearcherID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white"/>
              </w:rPr>
              <w:t>посилання на відповідні профілі вченого; перелік посилань на публікації, що відповідають вимогам п.6.5 Порядку)</w:t>
            </w:r>
          </w:p>
          <w:p w14:paraId="2C872839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</w:tr>
      <w:tr w:rsidR="00D76BBC" w:rsidRPr="00D76BBC" w14:paraId="2742D102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4E7B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1.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9BD3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3E0B5AD0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0E05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2.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BCEA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4D76A10E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B680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3.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3DA4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5187407B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D862D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4.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625C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45B83EA1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9F73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….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E6C7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  <w:tr w:rsidR="00D76BBC" w:rsidRPr="00D76BBC" w14:paraId="6819BA6E" w14:textId="77777777">
        <w:trPr>
          <w:trHeight w:val="300"/>
          <w:jc w:val="center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7443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n.</w:t>
            </w:r>
          </w:p>
        </w:tc>
        <w:tc>
          <w:tcPr>
            <w:tcW w:w="9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1D01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3E11EC99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f0"/>
        <w:tblW w:w="985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D76BBC" w:rsidRPr="00D76BBC" w14:paraId="06A9F796" w14:textId="77777777">
        <w:trPr>
          <w:trHeight w:val="68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5ED5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both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11. Останній випуск (</w:t>
            </w:r>
            <w:proofErr w:type="spellStart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web</w:t>
            </w:r>
            <w:proofErr w:type="spellEnd"/>
            <w:r w:rsidRPr="00D76BB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-посилання на останній номер видання) і прикладені два останні номери паперових примірників)</w:t>
            </w:r>
          </w:p>
        </w:tc>
      </w:tr>
      <w:tr w:rsidR="00D76BBC" w:rsidRPr="00D76BBC" w14:paraId="2E10D3CE" w14:textId="77777777">
        <w:trPr>
          <w:trHeight w:val="300"/>
          <w:jc w:val="center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DFAD" w14:textId="77777777" w:rsidR="007027ED" w:rsidRPr="00D76BBC" w:rsidRDefault="007027E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color w:val="auto"/>
              </w:rPr>
            </w:pPr>
          </w:p>
        </w:tc>
      </w:tr>
    </w:tbl>
    <w:p w14:paraId="569A4526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f1"/>
        <w:tblW w:w="9900" w:type="dxa"/>
        <w:tblInd w:w="-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436"/>
        <w:gridCol w:w="5464"/>
      </w:tblGrid>
      <w:tr w:rsidR="00D76BBC" w:rsidRPr="00D76BBC" w14:paraId="4A94152F" w14:textId="77777777">
        <w:trPr>
          <w:trHeight w:val="680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F76A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center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Головний редактор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5A47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jc w:val="center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Керівник установи засновника (засновників) </w:t>
            </w:r>
          </w:p>
        </w:tc>
      </w:tr>
      <w:tr w:rsidR="00D76BBC" w:rsidRPr="00D76BBC" w14:paraId="5E942230" w14:textId="77777777">
        <w:trPr>
          <w:trHeight w:val="440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792D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підпис.............................................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89AA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підпис.............................................</w:t>
            </w:r>
          </w:p>
        </w:tc>
      </w:tr>
      <w:tr w:rsidR="00D76BBC" w:rsidRPr="00D76BBC" w14:paraId="68D2C295" w14:textId="77777777">
        <w:trPr>
          <w:trHeight w:val="300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66C6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ПІБ 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A3E0" w14:textId="77777777" w:rsidR="007027ED" w:rsidRPr="00D76BBC" w:rsidRDefault="00135D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1596"/>
              </w:tabs>
              <w:spacing w:after="0"/>
              <w:rPr>
                <w:color w:val="auto"/>
              </w:rPr>
            </w:pPr>
            <w:r w:rsidRPr="00D76BBC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ПІБ</w:t>
            </w:r>
          </w:p>
        </w:tc>
      </w:tr>
    </w:tbl>
    <w:p w14:paraId="787FB1C8" w14:textId="77777777" w:rsidR="007027ED" w:rsidRPr="00D76BBC" w:rsidRDefault="007027E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596"/>
        </w:tabs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</w:p>
    <w:p w14:paraId="4921B658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" w:name="_GoBack"/>
      <w:bookmarkEnd w:id="2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Директор департаменту атестації </w:t>
      </w:r>
    </w:p>
    <w:p w14:paraId="2D5D2DE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кадрів вищої кваліфікації </w:t>
      </w:r>
    </w:p>
    <w:p w14:paraId="6AB5D765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color w:val="auto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 ліцензування                                                                                       А. Г.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Шевцов</w:t>
      </w:r>
      <w:proofErr w:type="spellEnd"/>
      <w:r w:rsidRPr="00D76BBC">
        <w:rPr>
          <w:color w:val="auto"/>
        </w:rPr>
        <w:br w:type="page"/>
      </w:r>
    </w:p>
    <w:p w14:paraId="5D15228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Додаток 2</w:t>
      </w:r>
    </w:p>
    <w:p w14:paraId="0EDB1B1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 наказу Міністерства </w:t>
      </w:r>
    </w:p>
    <w:p w14:paraId="06AA3C9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освіти і науки України</w:t>
      </w:r>
    </w:p>
    <w:p w14:paraId="4BE2FF10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648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__.__.____ №____</w:t>
      </w:r>
    </w:p>
    <w:p w14:paraId="5E5FE7F8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0530929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Список наказів Міністерства, якими включено наукові видання до Переліку наукових фахових видань України</w:t>
      </w:r>
    </w:p>
    <w:p w14:paraId="2C932B3C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4EE5F43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7C9453C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7027ED" w:rsidRPr="00D76BBC" w:rsidSect="00CE0C93">
          <w:headerReference w:type="default" r:id="rId9"/>
          <w:footerReference w:type="default" r:id="rId10"/>
          <w:pgSz w:w="11900" w:h="16840"/>
          <w:pgMar w:top="851" w:right="851" w:bottom="851" w:left="1134" w:header="709" w:footer="709" w:gutter="0"/>
          <w:pgNumType w:start="1"/>
          <w:cols w:space="720"/>
        </w:sectPr>
      </w:pPr>
    </w:p>
    <w:p w14:paraId="2F71FBF8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25.01.2013 № 54</w:t>
      </w:r>
    </w:p>
    <w:p w14:paraId="42DC2585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25.04.2013 № 463</w:t>
      </w:r>
    </w:p>
    <w:p w14:paraId="129843A6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31.05.2013 № 654</w:t>
      </w:r>
    </w:p>
    <w:p w14:paraId="7667F318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04.07.2013 № 893</w:t>
      </w:r>
    </w:p>
    <w:p w14:paraId="0CE5DDFA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10.10.2013 № 1411</w:t>
      </w:r>
    </w:p>
    <w:p w14:paraId="698175D7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21.11.2013 № 1609</w:t>
      </w:r>
    </w:p>
    <w:p w14:paraId="2692B7E3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17.01.2014 № 41</w:t>
      </w:r>
    </w:p>
    <w:p w14:paraId="65A53FD4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14.02.2014 № 153</w:t>
      </w:r>
    </w:p>
    <w:p w14:paraId="0F8E82F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15.04.2014 № 455</w:t>
      </w:r>
    </w:p>
    <w:p w14:paraId="69439E4A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26.05.2014 № 642</w:t>
      </w:r>
    </w:p>
    <w:p w14:paraId="621C652E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04.07.2014 № 793</w:t>
      </w:r>
    </w:p>
    <w:p w14:paraId="76628FEA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29.09.2014 № 1081</w:t>
      </w:r>
    </w:p>
    <w:p w14:paraId="3E380E07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06.11.2014 № 1279</w:t>
      </w:r>
    </w:p>
    <w:p w14:paraId="077EEC80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29.12.2014 № 1528</w:t>
      </w:r>
    </w:p>
    <w:p w14:paraId="2B43A8B1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06.03.2015 № 261</w:t>
      </w:r>
    </w:p>
    <w:p w14:paraId="5DAB5EFF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12.05.2015 № 528</w:t>
      </w:r>
    </w:p>
    <w:p w14:paraId="12684E88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13.07.2015 № 747</w:t>
      </w:r>
    </w:p>
    <w:p w14:paraId="46996E7A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07.10.2015 № 1021</w:t>
      </w:r>
    </w:p>
    <w:p w14:paraId="07302B9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21.12.2015 № 1328</w:t>
      </w:r>
    </w:p>
    <w:p w14:paraId="5E042D1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09.03.2016 № 241</w:t>
      </w:r>
    </w:p>
    <w:p w14:paraId="6141EBBF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16.05.2016 № 515</w:t>
      </w:r>
    </w:p>
    <w:p w14:paraId="38FDE0E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11.07.2016 № 820</w:t>
      </w:r>
    </w:p>
    <w:p w14:paraId="7EAA6BBD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07.10.2016 № 1222</w:t>
      </w:r>
    </w:p>
    <w:p w14:paraId="6AF41FBA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22.12.2016 № 1604</w:t>
      </w:r>
    </w:p>
    <w:p w14:paraId="32721C54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13.03.2017 № 374</w:t>
      </w:r>
    </w:p>
    <w:p w14:paraId="5EB5A2CC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10.05.2017 № 693</w:t>
      </w:r>
    </w:p>
    <w:p w14:paraId="7933559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11.07.2017 № 996</w:t>
      </w:r>
    </w:p>
    <w:p w14:paraId="416811EC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24.10.2017 № 1413</w:t>
      </w:r>
    </w:p>
    <w:p w14:paraId="508452E4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7027ED" w:rsidRPr="00D76BBC">
          <w:type w:val="continuous"/>
          <w:pgSz w:w="11900" w:h="16840"/>
          <w:pgMar w:top="850" w:right="850" w:bottom="850" w:left="1417" w:header="708" w:footer="708" w:gutter="0"/>
          <w:cols w:num="2" w:space="720" w:equalWidth="0">
            <w:col w:w="4462" w:space="708"/>
            <w:col w:w="4462" w:space="0"/>
          </w:cols>
        </w:sect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від 12.12.2017 № ____</w:t>
      </w:r>
    </w:p>
    <w:p w14:paraId="7F6CCB97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BCB6D19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6251AB2" w14:textId="77777777" w:rsidR="007027ED" w:rsidRPr="00D76BBC" w:rsidRDefault="007027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87DE480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Директор департаменту атестації </w:t>
      </w:r>
    </w:p>
    <w:p w14:paraId="00B3C112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кадрів вищої кваліфікації </w:t>
      </w:r>
    </w:p>
    <w:p w14:paraId="0B02765B" w14:textId="77777777" w:rsidR="007027ED" w:rsidRPr="00D76BBC" w:rsidRDefault="00135D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 ліцензування                                                                                       А. Г. </w:t>
      </w:r>
      <w:proofErr w:type="spellStart"/>
      <w:r w:rsidRPr="00D76BBC">
        <w:rPr>
          <w:rFonts w:ascii="Times New Roman" w:eastAsia="Times New Roman" w:hAnsi="Times New Roman" w:cs="Times New Roman"/>
          <w:color w:val="auto"/>
          <w:sz w:val="28"/>
          <w:szCs w:val="28"/>
        </w:rPr>
        <w:t>Шевцов</w:t>
      </w:r>
      <w:proofErr w:type="spellEnd"/>
    </w:p>
    <w:sectPr w:rsidR="007027ED" w:rsidRPr="00D76BBC">
      <w:type w:val="continuous"/>
      <w:pgSz w:w="11900" w:h="16840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23E13" w14:textId="77777777" w:rsidR="00280455" w:rsidRDefault="00280455">
      <w:pPr>
        <w:spacing w:after="0" w:line="240" w:lineRule="auto"/>
      </w:pPr>
      <w:r>
        <w:separator/>
      </w:r>
    </w:p>
  </w:endnote>
  <w:endnote w:type="continuationSeparator" w:id="0">
    <w:p w14:paraId="5B1416BD" w14:textId="77777777" w:rsidR="00280455" w:rsidRDefault="0028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3EAE4" w14:textId="77777777" w:rsidR="007027ED" w:rsidRDefault="007027E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76321" w14:textId="77777777" w:rsidR="00280455" w:rsidRDefault="00280455">
      <w:pPr>
        <w:spacing w:after="0" w:line="240" w:lineRule="auto"/>
      </w:pPr>
      <w:r>
        <w:separator/>
      </w:r>
    </w:p>
  </w:footnote>
  <w:footnote w:type="continuationSeparator" w:id="0">
    <w:p w14:paraId="5021C51B" w14:textId="77777777" w:rsidR="00280455" w:rsidRDefault="0028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6C06F" w14:textId="77777777" w:rsidR="007027ED" w:rsidRDefault="007027E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56D46"/>
    <w:multiLevelType w:val="hybridMultilevel"/>
    <w:tmpl w:val="EF10D7F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EEA5A05"/>
    <w:multiLevelType w:val="hybridMultilevel"/>
    <w:tmpl w:val="5BAE9902"/>
    <w:lvl w:ilvl="0" w:tplc="18B2C0B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ED"/>
    <w:rsid w:val="00054F75"/>
    <w:rsid w:val="000913A3"/>
    <w:rsid w:val="000B2856"/>
    <w:rsid w:val="000B2875"/>
    <w:rsid w:val="00135D61"/>
    <w:rsid w:val="001950F2"/>
    <w:rsid w:val="00280455"/>
    <w:rsid w:val="002C693B"/>
    <w:rsid w:val="00464E3B"/>
    <w:rsid w:val="004B0719"/>
    <w:rsid w:val="00501251"/>
    <w:rsid w:val="005A369C"/>
    <w:rsid w:val="005B40C7"/>
    <w:rsid w:val="005E0989"/>
    <w:rsid w:val="00633AF1"/>
    <w:rsid w:val="007027ED"/>
    <w:rsid w:val="00754B7E"/>
    <w:rsid w:val="00775710"/>
    <w:rsid w:val="008F0761"/>
    <w:rsid w:val="009300AC"/>
    <w:rsid w:val="00950CFC"/>
    <w:rsid w:val="00972B62"/>
    <w:rsid w:val="00A04B0B"/>
    <w:rsid w:val="00A550DB"/>
    <w:rsid w:val="00B25888"/>
    <w:rsid w:val="00B80B21"/>
    <w:rsid w:val="00B9339D"/>
    <w:rsid w:val="00C0368F"/>
    <w:rsid w:val="00C97A93"/>
    <w:rsid w:val="00CB7FCF"/>
    <w:rsid w:val="00CE0C93"/>
    <w:rsid w:val="00CF4DFF"/>
    <w:rsid w:val="00D34569"/>
    <w:rsid w:val="00D5138D"/>
    <w:rsid w:val="00D76BBC"/>
    <w:rsid w:val="00DA38E4"/>
    <w:rsid w:val="00DE562F"/>
    <w:rsid w:val="00E54B39"/>
    <w:rsid w:val="00E64961"/>
    <w:rsid w:val="00ED662F"/>
    <w:rsid w:val="00F33A08"/>
    <w:rsid w:val="00F4306B"/>
    <w:rsid w:val="00FA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1CC6"/>
  <w15:docId w15:val="{2E3BDA7B-83E3-46FF-9D60-43193960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uk-UA" w:eastAsia="uk-UA" w:bidi="ar-SA"/>
      </w:rPr>
    </w:rPrDefault>
    <w:pPrDefault>
      <w:pPr>
        <w:pBdr>
          <w:top w:val="none" w:sz="0" w:space="31" w:color="FFFFFF"/>
          <w:left w:val="none" w:sz="0" w:space="31" w:color="FFFFFF"/>
          <w:bottom w:val="none" w:sz="0" w:space="31" w:color="FFFFFF"/>
          <w:right w:val="none" w:sz="0" w:space="31" w:color="FFFFFF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jc w:val="center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240" w:lineRule="auto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054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semiHidden/>
    <w:rsid w:val="00054F75"/>
    <w:rPr>
      <w:rFonts w:ascii="Segoe UI" w:hAnsi="Segoe UI" w:cs="Segoe UI"/>
      <w:sz w:val="18"/>
      <w:szCs w:val="18"/>
    </w:rPr>
  </w:style>
  <w:style w:type="paragraph" w:styleId="af7">
    <w:name w:val="List Paragraph"/>
    <w:basedOn w:val="a"/>
    <w:uiPriority w:val="34"/>
    <w:qFormat/>
    <w:rsid w:val="00F43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se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nse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11264</Words>
  <Characters>6422</Characters>
  <Application>Microsoft Office Word</Application>
  <DocSecurity>0</DocSecurity>
  <Lines>53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 A.G.</dc:creator>
  <cp:lastModifiedBy>Kryshtof S.D.</cp:lastModifiedBy>
  <cp:revision>5</cp:revision>
  <dcterms:created xsi:type="dcterms:W3CDTF">2017-12-19T10:14:00Z</dcterms:created>
  <dcterms:modified xsi:type="dcterms:W3CDTF">2017-12-19T12:48:00Z</dcterms:modified>
</cp:coreProperties>
</file>