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710FDF" w:rsidRDefault="007B09FB" w:rsidP="00740EFF">
      <w:pPr>
        <w:spacing w:after="0" w:line="240" w:lineRule="auto"/>
        <w:ind w:left="5812"/>
        <w:rPr>
          <w:rFonts w:eastAsia="Calibri" w:cs="Times New Roman"/>
          <w:szCs w:val="28"/>
        </w:rPr>
      </w:pPr>
      <w:r>
        <w:rPr>
          <w:rFonts w:eastAsia="Calibri" w:cs="Times New Roman"/>
          <w:szCs w:val="28"/>
        </w:rPr>
        <w:t xml:space="preserve">від </w:t>
      </w:r>
      <w:r w:rsidR="00710FDF" w:rsidRPr="00710FDF">
        <w:rPr>
          <w:rFonts w:eastAsia="Calibri" w:cs="Times New Roman"/>
          <w:szCs w:val="28"/>
          <w:lang w:val="ru-RU"/>
        </w:rPr>
        <w:t>14.06.</w:t>
      </w:r>
      <w:r w:rsidR="00710FDF">
        <w:rPr>
          <w:rFonts w:eastAsia="Calibri" w:cs="Times New Roman"/>
          <w:szCs w:val="28"/>
          <w:lang w:val="en-US"/>
        </w:rPr>
        <w:t xml:space="preserve">2021 </w:t>
      </w:r>
      <w:r w:rsidR="001B257B" w:rsidRPr="001B257B">
        <w:rPr>
          <w:rFonts w:eastAsia="Calibri" w:cs="Times New Roman"/>
          <w:szCs w:val="28"/>
        </w:rPr>
        <w:t xml:space="preserve">№ </w:t>
      </w:r>
      <w:r w:rsidR="00710FDF">
        <w:rPr>
          <w:rFonts w:eastAsia="Calibri" w:cs="Times New Roman"/>
          <w:szCs w:val="28"/>
          <w:lang w:val="en-US"/>
        </w:rPr>
        <w:t>236-</w:t>
      </w:r>
      <w:r w:rsidR="00710FDF">
        <w:rPr>
          <w:rFonts w:eastAsia="Calibri" w:cs="Times New Roman"/>
          <w:szCs w:val="28"/>
        </w:rPr>
        <w:t>а</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ED1E42" w:rsidRPr="00374150"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D1E42" w:rsidRPr="00EE7B47" w:rsidRDefault="00ED1E42" w:rsidP="00ED1E42">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D1E42" w:rsidRPr="00374150" w:rsidRDefault="00ED1E42" w:rsidP="00ED1E42">
            <w:pPr>
              <w:keepNext/>
              <w:keepLines/>
              <w:jc w:val="both"/>
              <w:rPr>
                <w:color w:val="000000"/>
                <w:szCs w:val="28"/>
              </w:rPr>
            </w:pPr>
            <w:r w:rsidRPr="00374150">
              <w:rPr>
                <w:color w:val="000000"/>
                <w:szCs w:val="28"/>
              </w:rPr>
              <w:t xml:space="preserve">Головний спеціаліст </w:t>
            </w:r>
            <w:r w:rsidR="00374150" w:rsidRPr="00374150">
              <w:rPr>
                <w:color w:val="000000"/>
                <w:szCs w:val="28"/>
              </w:rPr>
              <w:t xml:space="preserve">відділу фахової </w:t>
            </w:r>
            <w:proofErr w:type="spellStart"/>
            <w:r w:rsidR="00374150" w:rsidRPr="00374150">
              <w:rPr>
                <w:color w:val="000000"/>
                <w:szCs w:val="28"/>
              </w:rPr>
              <w:t>передвищої</w:t>
            </w:r>
            <w:proofErr w:type="spellEnd"/>
            <w:r w:rsidR="00374150" w:rsidRPr="00374150">
              <w:rPr>
                <w:color w:val="000000"/>
                <w:szCs w:val="28"/>
              </w:rPr>
              <w:t xml:space="preserve"> освіти головного управління вищої освіти і освіти дорослих</w:t>
            </w:r>
            <w:r w:rsidR="00374150" w:rsidRPr="00374150">
              <w:rPr>
                <w:rFonts w:eastAsia="Times New Roman" w:cs="Times New Roman"/>
                <w:szCs w:val="28"/>
                <w:lang w:eastAsia="ru-RU"/>
              </w:rPr>
              <w:t xml:space="preserve"> </w:t>
            </w:r>
            <w:r w:rsidR="00374150" w:rsidRPr="00374150">
              <w:rPr>
                <w:color w:val="000000"/>
                <w:szCs w:val="28"/>
              </w:rPr>
              <w:t xml:space="preserve">директорату фахової </w:t>
            </w:r>
            <w:proofErr w:type="spellStart"/>
            <w:r w:rsidR="00374150" w:rsidRPr="00374150">
              <w:rPr>
                <w:color w:val="000000"/>
                <w:szCs w:val="28"/>
              </w:rPr>
              <w:t>передвищої</w:t>
            </w:r>
            <w:proofErr w:type="spellEnd"/>
            <w:r w:rsidR="00374150" w:rsidRPr="00374150">
              <w:rPr>
                <w:color w:val="000000"/>
                <w:szCs w:val="28"/>
              </w:rPr>
              <w:t xml:space="preserve">, вищої освіти </w:t>
            </w:r>
            <w:r w:rsidRPr="00374150">
              <w:rPr>
                <w:color w:val="000000"/>
                <w:szCs w:val="28"/>
              </w:rPr>
              <w:t>, категорія В1</w:t>
            </w:r>
          </w:p>
          <w:p w:rsidR="00ED1E42" w:rsidRPr="00374150" w:rsidRDefault="00313AB1" w:rsidP="00ED1E42">
            <w:pPr>
              <w:keepNext/>
              <w:keepLines/>
              <w:jc w:val="both"/>
              <w:rPr>
                <w:color w:val="000000"/>
                <w:szCs w:val="28"/>
              </w:rPr>
            </w:pPr>
            <w:r>
              <w:rPr>
                <w:color w:val="000000"/>
                <w:szCs w:val="28"/>
              </w:rPr>
              <w:t>(2 посади)</w:t>
            </w:r>
          </w:p>
        </w:tc>
      </w:tr>
      <w:tr w:rsidR="00ED1E42" w:rsidRPr="00EE7B47" w:rsidTr="00A94AB4">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EE7B47" w:rsidRDefault="00ED1E42" w:rsidP="00ED1E42">
            <w:pPr>
              <w:spacing w:after="0" w:line="240" w:lineRule="auto"/>
              <w:ind w:left="14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374150" w:rsidRDefault="00374150" w:rsidP="00ED1E42">
            <w:pPr>
              <w:ind w:right="143"/>
              <w:jc w:val="both"/>
              <w:rPr>
                <w:szCs w:val="28"/>
              </w:rPr>
            </w:pPr>
            <w:r>
              <w:rPr>
                <w:szCs w:val="28"/>
              </w:rPr>
              <w:t>Д</w:t>
            </w:r>
            <w:r w:rsidR="00ED1E42" w:rsidRPr="00374150">
              <w:rPr>
                <w:szCs w:val="28"/>
              </w:rPr>
              <w:t xml:space="preserve">о основних завдань та обов’язків головного спеціаліста </w:t>
            </w:r>
            <w:r w:rsidRPr="00374150">
              <w:rPr>
                <w:color w:val="000000"/>
                <w:szCs w:val="28"/>
              </w:rPr>
              <w:t xml:space="preserve">відділу фахової </w:t>
            </w:r>
            <w:proofErr w:type="spellStart"/>
            <w:r w:rsidRPr="00374150">
              <w:rPr>
                <w:color w:val="000000"/>
                <w:szCs w:val="28"/>
              </w:rPr>
              <w:t>передвищої</w:t>
            </w:r>
            <w:proofErr w:type="spellEnd"/>
            <w:r w:rsidRPr="00374150">
              <w:rPr>
                <w:color w:val="000000"/>
                <w:szCs w:val="28"/>
              </w:rPr>
              <w:t xml:space="preserve"> освіти головного управління вищої освіти і освіти дорослих директорату фахової </w:t>
            </w:r>
            <w:proofErr w:type="spellStart"/>
            <w:r w:rsidRPr="00374150">
              <w:rPr>
                <w:color w:val="000000"/>
                <w:szCs w:val="28"/>
              </w:rPr>
              <w:t>передвищої</w:t>
            </w:r>
            <w:proofErr w:type="spellEnd"/>
            <w:r w:rsidRPr="00374150">
              <w:rPr>
                <w:color w:val="000000"/>
                <w:szCs w:val="28"/>
              </w:rPr>
              <w:t>, вищої освіти відносяться</w:t>
            </w:r>
            <w:r w:rsidR="00ED1E42" w:rsidRPr="00374150">
              <w:rPr>
                <w:szCs w:val="28"/>
              </w:rPr>
              <w:t>:</w:t>
            </w:r>
          </w:p>
          <w:p w:rsidR="00374150" w:rsidRPr="00374150" w:rsidRDefault="00374150" w:rsidP="00374150">
            <w:pPr>
              <w:tabs>
                <w:tab w:val="left" w:pos="536"/>
              </w:tabs>
              <w:ind w:right="143" w:firstLine="509"/>
              <w:jc w:val="both"/>
              <w:rPr>
                <w:szCs w:val="28"/>
              </w:rPr>
            </w:pPr>
            <w:r>
              <w:rPr>
                <w:szCs w:val="28"/>
              </w:rPr>
              <w:t>у</w:t>
            </w:r>
            <w:r w:rsidRPr="00374150">
              <w:rPr>
                <w:szCs w:val="28"/>
              </w:rPr>
              <w:t xml:space="preserve">часть у розробленні та проведенні експертизи нормативно-правових та розпорядчих документів з питань, пов’язаних з реалізацією державної політики у </w:t>
            </w:r>
            <w:r w:rsidR="0064713B">
              <w:rPr>
                <w:szCs w:val="28"/>
              </w:rPr>
              <w:t xml:space="preserve">сфері фахової </w:t>
            </w:r>
            <w:proofErr w:type="spellStart"/>
            <w:r w:rsidR="0064713B">
              <w:rPr>
                <w:szCs w:val="28"/>
              </w:rPr>
              <w:t>передвищої</w:t>
            </w:r>
            <w:proofErr w:type="spellEnd"/>
            <w:r w:rsidR="0064713B">
              <w:rPr>
                <w:szCs w:val="28"/>
              </w:rPr>
              <w:t xml:space="preserve"> освіти;</w:t>
            </w:r>
          </w:p>
          <w:p w:rsidR="00374150" w:rsidRPr="00374150" w:rsidRDefault="00374150" w:rsidP="00374150">
            <w:pPr>
              <w:tabs>
                <w:tab w:val="left" w:pos="536"/>
              </w:tabs>
              <w:ind w:right="143" w:firstLine="509"/>
              <w:jc w:val="both"/>
              <w:rPr>
                <w:szCs w:val="28"/>
              </w:rPr>
            </w:pPr>
            <w:r>
              <w:rPr>
                <w:szCs w:val="28"/>
              </w:rPr>
              <w:t>з</w:t>
            </w:r>
            <w:r w:rsidRPr="00374150">
              <w:rPr>
                <w:szCs w:val="28"/>
              </w:rPr>
              <w:t xml:space="preserve">абезпечення загального організаційно-методичного супроводу освітньої діяльності закладів фахової </w:t>
            </w:r>
            <w:proofErr w:type="spellStart"/>
            <w:r w:rsidRPr="00374150">
              <w:rPr>
                <w:szCs w:val="28"/>
              </w:rPr>
              <w:t>передвищої</w:t>
            </w:r>
            <w:proofErr w:type="spellEnd"/>
            <w:r w:rsidRPr="00374150">
              <w:rPr>
                <w:szCs w:val="28"/>
              </w:rPr>
              <w:t xml:space="preserve"> освіти, здійснення оперативного зв’язку з ними та з управліннями (департаментами) освіти обласних, Київської міської адміністрацій, аналізує і узагальнення матеріалів, пов’язаних з підготовкою фахівців у зак</w:t>
            </w:r>
            <w:r w:rsidR="0064713B">
              <w:rPr>
                <w:szCs w:val="28"/>
              </w:rPr>
              <w:t xml:space="preserve">ладах фахової </w:t>
            </w:r>
            <w:proofErr w:type="spellStart"/>
            <w:r w:rsidR="0064713B">
              <w:rPr>
                <w:szCs w:val="28"/>
              </w:rPr>
              <w:t>передвищої</w:t>
            </w:r>
            <w:proofErr w:type="spellEnd"/>
            <w:r w:rsidR="0064713B">
              <w:rPr>
                <w:szCs w:val="28"/>
              </w:rPr>
              <w:t xml:space="preserve"> освіти;</w:t>
            </w:r>
          </w:p>
          <w:p w:rsidR="00374150" w:rsidRPr="00374150" w:rsidRDefault="00374150" w:rsidP="00374150">
            <w:pPr>
              <w:tabs>
                <w:tab w:val="left" w:pos="536"/>
              </w:tabs>
              <w:ind w:right="143" w:firstLine="509"/>
              <w:jc w:val="both"/>
              <w:rPr>
                <w:szCs w:val="28"/>
              </w:rPr>
            </w:pPr>
            <w:r>
              <w:rPr>
                <w:szCs w:val="28"/>
              </w:rPr>
              <w:t>у</w:t>
            </w:r>
            <w:r w:rsidRPr="00374150">
              <w:rPr>
                <w:szCs w:val="28"/>
              </w:rPr>
              <w:t xml:space="preserve">часть в аналізі стану фахової </w:t>
            </w:r>
            <w:proofErr w:type="spellStart"/>
            <w:r w:rsidRPr="00374150">
              <w:rPr>
                <w:szCs w:val="28"/>
              </w:rPr>
              <w:t>передвищої</w:t>
            </w:r>
            <w:proofErr w:type="spellEnd"/>
            <w:r w:rsidRPr="00374150">
              <w:rPr>
                <w:szCs w:val="28"/>
              </w:rPr>
              <w:t xml:space="preserve"> освіти, визначенні перспектив і напрямів її розвитку, розробці організаційних і правов</w:t>
            </w:r>
            <w:r w:rsidR="0064713B">
              <w:rPr>
                <w:szCs w:val="28"/>
              </w:rPr>
              <w:t>их механізмів її функціонування;</w:t>
            </w:r>
          </w:p>
          <w:p w:rsidR="00374150" w:rsidRPr="00374150" w:rsidRDefault="00374150" w:rsidP="00374150">
            <w:pPr>
              <w:tabs>
                <w:tab w:val="left" w:pos="536"/>
              </w:tabs>
              <w:ind w:right="143" w:firstLine="509"/>
              <w:jc w:val="both"/>
              <w:rPr>
                <w:szCs w:val="28"/>
              </w:rPr>
            </w:pPr>
            <w:r>
              <w:rPr>
                <w:szCs w:val="28"/>
              </w:rPr>
              <w:t>у</w:t>
            </w:r>
            <w:r w:rsidRPr="00374150">
              <w:rPr>
                <w:szCs w:val="28"/>
              </w:rPr>
              <w:t xml:space="preserve">часть у розробленні і супроводі нормативно-правових актів з питань відрахування, поновлення, переведення студентів, їх повторного навчання </w:t>
            </w:r>
            <w:r w:rsidR="0064713B">
              <w:rPr>
                <w:szCs w:val="28"/>
              </w:rPr>
              <w:t>і надання академічних відпусток;</w:t>
            </w:r>
          </w:p>
          <w:p w:rsidR="00374150" w:rsidRPr="00374150" w:rsidRDefault="00374150" w:rsidP="00374150">
            <w:pPr>
              <w:tabs>
                <w:tab w:val="left" w:pos="536"/>
              </w:tabs>
              <w:ind w:right="143" w:firstLine="509"/>
              <w:jc w:val="both"/>
              <w:rPr>
                <w:szCs w:val="28"/>
              </w:rPr>
            </w:pPr>
            <w:r>
              <w:rPr>
                <w:szCs w:val="28"/>
              </w:rPr>
              <w:lastRenderedPageBreak/>
              <w:t>в</w:t>
            </w:r>
            <w:r w:rsidRPr="00374150">
              <w:rPr>
                <w:szCs w:val="28"/>
              </w:rPr>
              <w:t xml:space="preserve">несення пропозицій щодо оптимізації мережі закладів фахової </w:t>
            </w:r>
            <w:proofErr w:type="spellStart"/>
            <w:r w:rsidRPr="00374150">
              <w:rPr>
                <w:szCs w:val="28"/>
              </w:rPr>
              <w:t>передвищої</w:t>
            </w:r>
            <w:proofErr w:type="spellEnd"/>
            <w:r w:rsidRPr="00374150">
              <w:rPr>
                <w:szCs w:val="28"/>
              </w:rPr>
              <w:t xml:space="preserve"> освіти, що знаходяться у загальнодержавній власності, та сприяння розвитку закладів фахової </w:t>
            </w:r>
            <w:proofErr w:type="spellStart"/>
            <w:r w:rsidRPr="00374150">
              <w:rPr>
                <w:szCs w:val="28"/>
              </w:rPr>
              <w:t>передвищої</w:t>
            </w:r>
            <w:proofErr w:type="spellEnd"/>
            <w:r w:rsidRPr="00374150">
              <w:rPr>
                <w:szCs w:val="28"/>
              </w:rPr>
              <w:t xml:space="preserve"> освіти інших фо</w:t>
            </w:r>
            <w:r w:rsidR="0064713B">
              <w:rPr>
                <w:szCs w:val="28"/>
              </w:rPr>
              <w:t>рм власності та підпорядкування;</w:t>
            </w:r>
          </w:p>
          <w:p w:rsidR="00374150" w:rsidRPr="00374150" w:rsidRDefault="00374150" w:rsidP="00374150">
            <w:pPr>
              <w:tabs>
                <w:tab w:val="left" w:pos="536"/>
              </w:tabs>
              <w:ind w:right="143" w:firstLine="509"/>
              <w:jc w:val="both"/>
              <w:rPr>
                <w:szCs w:val="28"/>
              </w:rPr>
            </w:pPr>
            <w:r>
              <w:rPr>
                <w:szCs w:val="28"/>
              </w:rPr>
              <w:t>у</w:t>
            </w:r>
            <w:r w:rsidRPr="00374150">
              <w:rPr>
                <w:szCs w:val="28"/>
              </w:rPr>
              <w:t>часть в координації діяльності центральних органів виконавчої влади та місцевих органів виконавчої влади, яким підпорядковані за</w:t>
            </w:r>
            <w:r w:rsidR="0064713B">
              <w:rPr>
                <w:szCs w:val="28"/>
              </w:rPr>
              <w:t xml:space="preserve">клади фахової </w:t>
            </w:r>
            <w:proofErr w:type="spellStart"/>
            <w:r w:rsidR="0064713B">
              <w:rPr>
                <w:szCs w:val="28"/>
              </w:rPr>
              <w:t>передвищої</w:t>
            </w:r>
            <w:proofErr w:type="spellEnd"/>
            <w:r w:rsidR="0064713B">
              <w:rPr>
                <w:szCs w:val="28"/>
              </w:rPr>
              <w:t xml:space="preserve"> освіти;</w:t>
            </w:r>
          </w:p>
          <w:p w:rsidR="00374150" w:rsidRPr="00374150" w:rsidRDefault="00374150" w:rsidP="00374150">
            <w:pPr>
              <w:tabs>
                <w:tab w:val="left" w:pos="536"/>
              </w:tabs>
              <w:ind w:right="143" w:firstLine="509"/>
              <w:jc w:val="both"/>
              <w:rPr>
                <w:szCs w:val="28"/>
              </w:rPr>
            </w:pPr>
            <w:r>
              <w:rPr>
                <w:szCs w:val="28"/>
              </w:rPr>
              <w:t>к</w:t>
            </w:r>
            <w:r w:rsidRPr="00374150">
              <w:rPr>
                <w:szCs w:val="28"/>
              </w:rPr>
              <w:t xml:space="preserve">оординація і супровід розроблення стандартів фахової </w:t>
            </w:r>
            <w:proofErr w:type="spellStart"/>
            <w:r w:rsidRPr="00374150">
              <w:rPr>
                <w:szCs w:val="28"/>
              </w:rPr>
              <w:t>передвищої</w:t>
            </w:r>
            <w:proofErr w:type="spellEnd"/>
            <w:r w:rsidRPr="00374150">
              <w:rPr>
                <w:szCs w:val="28"/>
              </w:rPr>
              <w:t xml:space="preserve"> освіти сектором фахової </w:t>
            </w:r>
            <w:proofErr w:type="spellStart"/>
            <w:r w:rsidRPr="00374150">
              <w:rPr>
                <w:szCs w:val="28"/>
              </w:rPr>
              <w:t>пе</w:t>
            </w:r>
            <w:r w:rsidR="0064713B">
              <w:rPr>
                <w:szCs w:val="28"/>
              </w:rPr>
              <w:t>редвищої</w:t>
            </w:r>
            <w:proofErr w:type="spellEnd"/>
            <w:r w:rsidR="0064713B">
              <w:rPr>
                <w:szCs w:val="28"/>
              </w:rPr>
              <w:t xml:space="preserve"> освіти НМР МОН України;</w:t>
            </w:r>
          </w:p>
          <w:p w:rsidR="00374150" w:rsidRPr="00374150" w:rsidRDefault="00374150" w:rsidP="00374150">
            <w:pPr>
              <w:tabs>
                <w:tab w:val="left" w:pos="536"/>
              </w:tabs>
              <w:ind w:right="143" w:firstLine="509"/>
              <w:jc w:val="both"/>
              <w:rPr>
                <w:szCs w:val="28"/>
              </w:rPr>
            </w:pPr>
            <w:r>
              <w:rPr>
                <w:szCs w:val="28"/>
              </w:rPr>
              <w:t>н</w:t>
            </w:r>
            <w:r w:rsidRPr="00374150">
              <w:rPr>
                <w:szCs w:val="28"/>
              </w:rPr>
              <w:t xml:space="preserve">адання роз’яснень та методичної допомоги закладам фахової </w:t>
            </w:r>
            <w:proofErr w:type="spellStart"/>
            <w:r w:rsidRPr="00374150">
              <w:rPr>
                <w:szCs w:val="28"/>
              </w:rPr>
              <w:t>передвищої</w:t>
            </w:r>
            <w:proofErr w:type="spellEnd"/>
            <w:r w:rsidRPr="00374150">
              <w:rPr>
                <w:szCs w:val="28"/>
              </w:rPr>
              <w:t xml:space="preserve"> освіти з акту</w:t>
            </w:r>
            <w:r w:rsidR="0064713B">
              <w:rPr>
                <w:szCs w:val="28"/>
              </w:rPr>
              <w:t>альних питань їхньої діяльності;</w:t>
            </w:r>
          </w:p>
          <w:p w:rsidR="00374150" w:rsidRPr="00374150" w:rsidRDefault="00374150" w:rsidP="00374150">
            <w:pPr>
              <w:tabs>
                <w:tab w:val="left" w:pos="536"/>
              </w:tabs>
              <w:ind w:right="143" w:firstLine="509"/>
              <w:jc w:val="both"/>
              <w:rPr>
                <w:szCs w:val="28"/>
              </w:rPr>
            </w:pPr>
            <w:r>
              <w:rPr>
                <w:szCs w:val="28"/>
              </w:rPr>
              <w:t>р</w:t>
            </w:r>
            <w:r w:rsidRPr="00374150">
              <w:rPr>
                <w:szCs w:val="28"/>
              </w:rPr>
              <w:t>озгляд листів, скарг, звернень громадян, здійснення особистого прийому і консультування громадян з питань, що</w:t>
            </w:r>
            <w:r w:rsidR="0064713B">
              <w:rPr>
                <w:szCs w:val="28"/>
              </w:rPr>
              <w:t xml:space="preserve"> входять до компетенції відділу;</w:t>
            </w:r>
          </w:p>
          <w:p w:rsidR="00374150" w:rsidRPr="00374150" w:rsidRDefault="00374150" w:rsidP="00374150">
            <w:pPr>
              <w:tabs>
                <w:tab w:val="left" w:pos="536"/>
              </w:tabs>
              <w:ind w:right="143" w:firstLine="509"/>
              <w:jc w:val="both"/>
              <w:rPr>
                <w:szCs w:val="28"/>
              </w:rPr>
            </w:pPr>
            <w:r>
              <w:rPr>
                <w:szCs w:val="28"/>
              </w:rPr>
              <w:t>з</w:t>
            </w:r>
            <w:r w:rsidRPr="00374150">
              <w:rPr>
                <w:szCs w:val="28"/>
              </w:rPr>
              <w:t>абезпечення обліку та супроводу контро</w:t>
            </w:r>
            <w:r w:rsidR="0064713B">
              <w:rPr>
                <w:szCs w:val="28"/>
              </w:rPr>
              <w:t>льних доручень керівництва;</w:t>
            </w:r>
          </w:p>
          <w:p w:rsidR="00374150" w:rsidRPr="00374150" w:rsidRDefault="00374150" w:rsidP="00374150">
            <w:pPr>
              <w:tabs>
                <w:tab w:val="left" w:pos="536"/>
              </w:tabs>
              <w:ind w:right="143" w:firstLine="509"/>
              <w:jc w:val="both"/>
              <w:rPr>
                <w:szCs w:val="28"/>
              </w:rPr>
            </w:pPr>
            <w:r>
              <w:rPr>
                <w:szCs w:val="28"/>
              </w:rPr>
              <w:t>у</w:t>
            </w:r>
            <w:r w:rsidRPr="00374150">
              <w:rPr>
                <w:szCs w:val="28"/>
              </w:rPr>
              <w:t xml:space="preserve">часть у комунікації зі </w:t>
            </w:r>
            <w:proofErr w:type="spellStart"/>
            <w:r w:rsidRPr="00374150">
              <w:rPr>
                <w:szCs w:val="28"/>
              </w:rPr>
              <w:t>стейкхолдерами</w:t>
            </w:r>
            <w:proofErr w:type="spellEnd"/>
            <w:r w:rsidRPr="00374150">
              <w:rPr>
                <w:szCs w:val="28"/>
              </w:rPr>
              <w:t xml:space="preserve"> та у заходах з інформування громадськості щодо засад державної політики у </w:t>
            </w:r>
            <w:r w:rsidR="0064713B">
              <w:rPr>
                <w:szCs w:val="28"/>
              </w:rPr>
              <w:t xml:space="preserve">сфері фахової </w:t>
            </w:r>
            <w:proofErr w:type="spellStart"/>
            <w:r w:rsidR="0064713B">
              <w:rPr>
                <w:szCs w:val="28"/>
              </w:rPr>
              <w:t>передвищої</w:t>
            </w:r>
            <w:proofErr w:type="spellEnd"/>
            <w:r w:rsidR="0064713B">
              <w:rPr>
                <w:szCs w:val="28"/>
              </w:rPr>
              <w:t xml:space="preserve"> освіти;</w:t>
            </w:r>
          </w:p>
          <w:p w:rsidR="00374150" w:rsidRPr="00374150" w:rsidRDefault="00374150" w:rsidP="00374150">
            <w:pPr>
              <w:pStyle w:val="ad"/>
              <w:spacing w:after="0" w:line="240" w:lineRule="auto"/>
              <w:ind w:left="0" w:right="143" w:firstLine="567"/>
              <w:jc w:val="both"/>
              <w:rPr>
                <w:szCs w:val="28"/>
                <w:highlight w:val="yellow"/>
              </w:rPr>
            </w:pPr>
            <w:r>
              <w:rPr>
                <w:szCs w:val="28"/>
              </w:rPr>
              <w:t>в</w:t>
            </w:r>
            <w:r w:rsidRPr="00374150">
              <w:rPr>
                <w:szCs w:val="28"/>
              </w:rPr>
              <w:t>иконання інших обов’язків за дорученням керівництва директорату та начальника відділу в межах завдань та функцій відділу.</w:t>
            </w:r>
          </w:p>
          <w:p w:rsidR="00ED1E42" w:rsidRPr="00374150" w:rsidRDefault="00ED1E42" w:rsidP="00374150">
            <w:pPr>
              <w:spacing w:after="0" w:line="240" w:lineRule="auto"/>
              <w:ind w:right="143"/>
              <w:jc w:val="both"/>
              <w:rPr>
                <w:szCs w:val="28"/>
                <w:highlight w:val="yellow"/>
              </w:rPr>
            </w:pP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посадовий оклад – </w:t>
            </w:r>
            <w:r w:rsidRPr="0055098C">
              <w:rPr>
                <w:rFonts w:eastAsia="Times New Roman" w:cs="Times New Roman"/>
                <w:szCs w:val="28"/>
              </w:rPr>
              <w:t>10600</w:t>
            </w:r>
            <w:r w:rsidRPr="00ED1E42">
              <w:rPr>
                <w:rFonts w:eastAsia="Times New Roman" w:cs="Times New Roman"/>
                <w:szCs w:val="28"/>
              </w:rPr>
              <w:t xml:space="preserve"> грн.;</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надбавка за виконання особливо важливої роботи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ранг державного службовця – 20</w:t>
            </w:r>
            <w:r w:rsidR="00EC19C1">
              <w:rPr>
                <w:rFonts w:eastAsia="Times New Roman" w:cs="Times New Roman"/>
                <w:szCs w:val="28"/>
              </w:rPr>
              <w:t>0</w:t>
            </w:r>
            <w:r w:rsidRPr="00ED1E42">
              <w:rPr>
                <w:rFonts w:eastAsia="Times New Roman" w:cs="Times New Roman"/>
                <w:szCs w:val="28"/>
              </w:rPr>
              <w:t xml:space="preserve">-500 грн.;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lastRenderedPageBreak/>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Default="006A7956" w:rsidP="007B09FB">
            <w:pPr>
              <w:widowControl w:val="0"/>
              <w:spacing w:after="0" w:line="240" w:lineRule="auto"/>
              <w:ind w:left="136" w:right="143"/>
              <w:jc w:val="both"/>
              <w:rPr>
                <w:szCs w:val="28"/>
              </w:rPr>
            </w:pPr>
            <w:r w:rsidRPr="004B3336">
              <w:rPr>
                <w:szCs w:val="28"/>
              </w:rPr>
              <w:t xml:space="preserve">Інформація приймається до </w:t>
            </w:r>
            <w:r w:rsidR="00D30045">
              <w:rPr>
                <w:szCs w:val="28"/>
              </w:rPr>
              <w:t xml:space="preserve">21.06.2021 </w:t>
            </w:r>
          </w:p>
          <w:p w:rsidR="00D30045" w:rsidRDefault="00D30045" w:rsidP="007B09FB">
            <w:pPr>
              <w:widowControl w:val="0"/>
              <w:spacing w:after="0" w:line="240" w:lineRule="auto"/>
              <w:ind w:left="136" w:right="143"/>
              <w:jc w:val="both"/>
              <w:rPr>
                <w:szCs w:val="28"/>
              </w:rPr>
            </w:pPr>
            <w:r>
              <w:rPr>
                <w:szCs w:val="28"/>
              </w:rPr>
              <w:t>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lastRenderedPageBreak/>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86668" w:rsidRDefault="00E86668" w:rsidP="00A94AB4">
            <w:pPr>
              <w:pStyle w:val="a7"/>
              <w:spacing w:before="0" w:beforeAutospacing="0" w:after="0" w:afterAutospacing="0"/>
              <w:ind w:left="142" w:right="143"/>
              <w:jc w:val="both"/>
              <w:rPr>
                <w:rFonts w:eastAsiaTheme="minorHAnsi" w:cstheme="minorHAnsi"/>
                <w:sz w:val="28"/>
                <w:szCs w:val="28"/>
              </w:rPr>
            </w:pPr>
            <w:r>
              <w:rPr>
                <w:rFonts w:eastAsiaTheme="minorHAnsi" w:cstheme="minorHAnsi"/>
                <w:sz w:val="28"/>
                <w:szCs w:val="28"/>
              </w:rPr>
              <w:lastRenderedPageBreak/>
              <w:t xml:space="preserve">25 </w:t>
            </w:r>
            <w:proofErr w:type="spellStart"/>
            <w:r>
              <w:rPr>
                <w:rFonts w:eastAsiaTheme="minorHAnsi" w:cstheme="minorHAnsi"/>
                <w:sz w:val="28"/>
                <w:szCs w:val="28"/>
              </w:rPr>
              <w:t>червня</w:t>
            </w:r>
            <w:proofErr w:type="spellEnd"/>
            <w:r>
              <w:rPr>
                <w:rFonts w:eastAsiaTheme="minorHAnsi" w:cstheme="minorHAnsi"/>
                <w:sz w:val="28"/>
                <w:szCs w:val="28"/>
              </w:rPr>
              <w:t xml:space="preserve"> 2021 р</w:t>
            </w:r>
            <w:r w:rsidR="00A37B0F">
              <w:rPr>
                <w:rFonts w:eastAsiaTheme="minorHAnsi" w:cstheme="minorHAnsi"/>
                <w:sz w:val="28"/>
                <w:szCs w:val="28"/>
                <w:lang w:val="uk-UA"/>
              </w:rPr>
              <w:t>.</w:t>
            </w:r>
            <w:bookmarkStart w:id="1" w:name="_GoBack"/>
            <w:bookmarkEnd w:id="1"/>
            <w:r>
              <w:rPr>
                <w:rFonts w:eastAsiaTheme="minorHAnsi" w:cstheme="minorHAnsi"/>
                <w:sz w:val="28"/>
                <w:szCs w:val="28"/>
              </w:rPr>
              <w:t xml:space="preserve"> о 9:00</w:t>
            </w:r>
          </w:p>
          <w:p w:rsidR="00E86668" w:rsidRDefault="00E86668" w:rsidP="00A94AB4">
            <w:pPr>
              <w:pStyle w:val="a7"/>
              <w:spacing w:before="0" w:beforeAutospacing="0" w:after="0" w:afterAutospacing="0"/>
              <w:ind w:left="142" w:right="143"/>
              <w:jc w:val="both"/>
              <w:rPr>
                <w:rFonts w:eastAsiaTheme="minorHAnsi" w:cstheme="minorHAnsi"/>
                <w:sz w:val="28"/>
                <w:szCs w:val="28"/>
              </w:rPr>
            </w:pPr>
          </w:p>
          <w:p w:rsidR="00E86668" w:rsidRDefault="00E86668" w:rsidP="00A94AB4">
            <w:pPr>
              <w:pStyle w:val="a7"/>
              <w:spacing w:before="0" w:beforeAutospacing="0" w:after="0" w:afterAutospacing="0"/>
              <w:ind w:left="142" w:right="143"/>
              <w:jc w:val="both"/>
              <w:rPr>
                <w:rFonts w:eastAsiaTheme="minorHAnsi" w:cstheme="minorHAnsi"/>
                <w:sz w:val="28"/>
                <w:szCs w:val="28"/>
              </w:rPr>
            </w:pPr>
          </w:p>
          <w:p w:rsidR="00E86668" w:rsidRDefault="00E86668" w:rsidP="00A94AB4">
            <w:pPr>
              <w:pStyle w:val="a7"/>
              <w:spacing w:before="0" w:beforeAutospacing="0" w:after="0" w:afterAutospacing="0"/>
              <w:ind w:left="142" w:right="143"/>
              <w:jc w:val="both"/>
              <w:rPr>
                <w:rFonts w:eastAsiaTheme="minorHAnsi" w:cstheme="minorHAnsi"/>
                <w:sz w:val="28"/>
                <w:szCs w:val="28"/>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D30045" w:rsidRDefault="00D30045" w:rsidP="00A94AB4">
            <w:pPr>
              <w:spacing w:after="0" w:line="240" w:lineRule="auto"/>
              <w:ind w:left="142" w:right="143"/>
              <w:jc w:val="both"/>
              <w:rPr>
                <w:szCs w:val="28"/>
              </w:rPr>
            </w:pPr>
          </w:p>
          <w:p w:rsidR="00D30045" w:rsidRDefault="00D30045" w:rsidP="00A94AB4">
            <w:pPr>
              <w:spacing w:after="0" w:line="240" w:lineRule="auto"/>
              <w:ind w:left="142" w:right="143"/>
              <w:jc w:val="both"/>
              <w:rPr>
                <w:szCs w:val="28"/>
              </w:rPr>
            </w:pPr>
          </w:p>
          <w:p w:rsidR="00D30045" w:rsidRDefault="00D30045" w:rsidP="00A94AB4">
            <w:pPr>
              <w:spacing w:after="0" w:line="240" w:lineRule="auto"/>
              <w:ind w:left="142" w:right="143"/>
              <w:jc w:val="both"/>
              <w:rPr>
                <w:szCs w:val="28"/>
              </w:rPr>
            </w:pPr>
          </w:p>
          <w:p w:rsidR="00D30045" w:rsidRDefault="00D30045" w:rsidP="00A94AB4">
            <w:pPr>
              <w:spacing w:after="0" w:line="240" w:lineRule="auto"/>
              <w:ind w:left="142" w:right="143"/>
              <w:jc w:val="both"/>
              <w:rPr>
                <w:szCs w:val="28"/>
              </w:rPr>
            </w:pPr>
          </w:p>
          <w:p w:rsidR="00D30045" w:rsidRDefault="00D30045" w:rsidP="00A94AB4">
            <w:pPr>
              <w:spacing w:after="0" w:line="240" w:lineRule="auto"/>
              <w:ind w:left="142" w:right="143"/>
              <w:jc w:val="both"/>
              <w:rPr>
                <w:szCs w:val="28"/>
              </w:rPr>
            </w:pPr>
          </w:p>
          <w:p w:rsidR="00D30045" w:rsidRDefault="00D30045" w:rsidP="00A94AB4">
            <w:pPr>
              <w:spacing w:after="0" w:line="240" w:lineRule="auto"/>
              <w:ind w:left="142" w:right="143"/>
              <w:jc w:val="both"/>
              <w:rPr>
                <w:szCs w:val="28"/>
              </w:rPr>
            </w:pPr>
          </w:p>
          <w:p w:rsidR="00D30045" w:rsidRDefault="00D30045" w:rsidP="00A94AB4">
            <w:pPr>
              <w:spacing w:after="0" w:line="240" w:lineRule="auto"/>
              <w:ind w:left="142" w:right="143"/>
              <w:jc w:val="both"/>
              <w:rPr>
                <w:szCs w:val="28"/>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w:t>
            </w:r>
            <w:proofErr w:type="spellStart"/>
            <w:r w:rsidRPr="00EE7B47">
              <w:rPr>
                <w:rFonts w:cs="Times New Roman"/>
                <w:szCs w:val="28"/>
              </w:rPr>
              <w:t>mail</w:t>
            </w:r>
            <w:proofErr w:type="spellEnd"/>
            <w:r w:rsidRPr="00EE7B47">
              <w:rPr>
                <w:rFonts w:cs="Times New Roman"/>
                <w:szCs w:val="28"/>
              </w:rPr>
              <w:t>: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ED1E42"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374150">
            <w:pPr>
              <w:ind w:right="141"/>
              <w:jc w:val="both"/>
              <w:rPr>
                <w:szCs w:val="28"/>
              </w:rPr>
            </w:pPr>
            <w:r w:rsidRPr="00C13E6C">
              <w:rPr>
                <w:szCs w:val="28"/>
                <w:shd w:val="clear" w:color="auto" w:fill="FFFFFF"/>
              </w:rPr>
              <w:t>вища освіта, не нижче ступеня бакалавра, молодшого бакалавра</w:t>
            </w:r>
            <w:r>
              <w:rPr>
                <w:szCs w:val="28"/>
                <w:shd w:val="clear" w:color="auto" w:fill="FFFFFF"/>
              </w:rPr>
              <w:t>;</w:t>
            </w:r>
          </w:p>
        </w:tc>
      </w:tr>
      <w:tr w:rsidR="00D30045"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D30045" w:rsidRPr="00600BF2" w:rsidRDefault="00D30045" w:rsidP="00D30045">
            <w:pPr>
              <w:spacing w:after="0" w:line="240" w:lineRule="auto"/>
              <w:ind w:left="149" w:right="142"/>
              <w:rPr>
                <w:rFonts w:eastAsia="Times New Roman" w:cs="Times New Roman"/>
                <w:szCs w:val="28"/>
              </w:rPr>
            </w:pPr>
            <w:r w:rsidRPr="00600BF2">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D30045" w:rsidRPr="00C976BB" w:rsidRDefault="00A06FD9" w:rsidP="00A06FD9">
            <w:pPr>
              <w:spacing w:after="0"/>
              <w:ind w:right="141"/>
              <w:rPr>
                <w:rFonts w:cs="Times New Roman"/>
                <w:szCs w:val="28"/>
              </w:rPr>
            </w:pPr>
            <w:r>
              <w:rPr>
                <w:rFonts w:cs="Times New Roman"/>
                <w:szCs w:val="28"/>
              </w:rPr>
              <w:t>д</w:t>
            </w:r>
            <w:r w:rsidR="00D30045" w:rsidRPr="00C976BB">
              <w:rPr>
                <w:rFonts w:cs="Times New Roman"/>
                <w:szCs w:val="28"/>
              </w:rPr>
              <w:t xml:space="preserve">освід роботи у сфері </w:t>
            </w:r>
            <w:r w:rsidR="00D30045">
              <w:rPr>
                <w:rFonts w:cs="Times New Roman"/>
                <w:szCs w:val="28"/>
              </w:rPr>
              <w:t>освіти</w:t>
            </w:r>
          </w:p>
        </w:tc>
      </w:tr>
      <w:tr w:rsidR="00ED1E42"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ED1E42">
            <w:pPr>
              <w:ind w:right="141"/>
              <w:rPr>
                <w:szCs w:val="28"/>
              </w:rPr>
            </w:pPr>
            <w:r w:rsidRPr="00C13E6C">
              <w:rPr>
                <w:szCs w:val="28"/>
              </w:rPr>
              <w:t>вільне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DF7CCF" w:rsidRDefault="006A7956" w:rsidP="00DF7CCF">
            <w:pPr>
              <w:spacing w:after="0"/>
              <w:jc w:val="center"/>
              <w:rPr>
                <w:b/>
              </w:rPr>
            </w:pPr>
            <w:r w:rsidRPr="00885F31">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6A7956"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DF7CCF" w:rsidRDefault="00DF7CCF" w:rsidP="003E153D">
            <w:pPr>
              <w:spacing w:after="0" w:line="240" w:lineRule="auto"/>
              <w:ind w:left="144"/>
              <w:rPr>
                <w:szCs w:val="28"/>
                <w:lang w:val="ru-RU"/>
              </w:rPr>
            </w:pPr>
            <w:r w:rsidRPr="00DF7CCF">
              <w:rPr>
                <w:szCs w:val="28"/>
              </w:rPr>
              <w:t>Аналітичні здібності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DF7CCF">
            <w:pPr>
              <w:spacing w:after="0" w:line="240" w:lineRule="auto"/>
              <w:ind w:left="134"/>
              <w:rPr>
                <w:szCs w:val="28"/>
              </w:rPr>
            </w:pPr>
            <w:r w:rsidRPr="00DF7CCF">
              <w:rPr>
                <w:szCs w:val="28"/>
              </w:rPr>
              <w:t xml:space="preserve">- </w:t>
            </w:r>
            <w:r w:rsidR="00DF7CCF">
              <w:rPr>
                <w:szCs w:val="28"/>
              </w:rPr>
              <w:t>здатність до логічного мислення, узагальнення, конкретизації, виділити головне від другорядного, виявляти закономірності;</w:t>
            </w:r>
          </w:p>
          <w:p w:rsidR="00DF7CCF" w:rsidRDefault="00DF7CCF" w:rsidP="00DF7CCF">
            <w:pPr>
              <w:spacing w:after="0" w:line="240" w:lineRule="auto"/>
              <w:ind w:left="134"/>
              <w:rPr>
                <w:szCs w:val="28"/>
              </w:rPr>
            </w:pPr>
            <w:r>
              <w:rPr>
                <w:szCs w:val="28"/>
              </w:rPr>
              <w:t>- вміння встановлювати причинно-наслідкові зв</w:t>
            </w:r>
            <w:r w:rsidRPr="00DF7CCF">
              <w:rPr>
                <w:szCs w:val="28"/>
                <w:lang w:val="ru-RU"/>
              </w:rPr>
              <w:t>’</w:t>
            </w:r>
            <w:proofErr w:type="spellStart"/>
            <w:r>
              <w:rPr>
                <w:szCs w:val="28"/>
              </w:rPr>
              <w:t>язки</w:t>
            </w:r>
            <w:proofErr w:type="spellEnd"/>
            <w:r>
              <w:rPr>
                <w:szCs w:val="28"/>
              </w:rPr>
              <w:t>;</w:t>
            </w:r>
          </w:p>
          <w:p w:rsidR="00DF7CCF" w:rsidRPr="00DF7CCF" w:rsidRDefault="00DF7CCF" w:rsidP="00DF7CCF">
            <w:pPr>
              <w:spacing w:after="0" w:line="240" w:lineRule="auto"/>
              <w:ind w:left="134"/>
              <w:rPr>
                <w:szCs w:val="28"/>
              </w:rPr>
            </w:pPr>
            <w:r>
              <w:rPr>
                <w:szCs w:val="28"/>
              </w:rPr>
              <w:t>- вміння аналізувати інформацію та робити висновки, критично оцінювати ситуацію, прогнозувати та робити власні умовиводи</w:t>
            </w:r>
          </w:p>
        </w:tc>
      </w:tr>
      <w:tr w:rsidR="00DF7CCF"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DF7CCF" w:rsidRPr="00DF7CCF" w:rsidRDefault="00DF7CCF" w:rsidP="003E153D">
            <w:pPr>
              <w:spacing w:after="0" w:line="240" w:lineRule="auto"/>
              <w:ind w:left="144"/>
              <w:rPr>
                <w:szCs w:val="28"/>
              </w:rPr>
            </w:pPr>
            <w:r>
              <w:rPr>
                <w:szCs w:val="28"/>
              </w:rPr>
              <w:t>Самоорганізація та самостійність в роботі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DF7CCF" w:rsidRDefault="00DF7CCF" w:rsidP="0085150D">
            <w:pPr>
              <w:pStyle w:val="ad"/>
              <w:numPr>
                <w:ilvl w:val="0"/>
                <w:numId w:val="8"/>
              </w:numPr>
              <w:tabs>
                <w:tab w:val="left" w:pos="510"/>
              </w:tabs>
              <w:spacing w:after="0" w:line="240" w:lineRule="auto"/>
              <w:ind w:left="0" w:firstLine="284"/>
              <w:rPr>
                <w:szCs w:val="28"/>
              </w:rPr>
            </w:pPr>
            <w:r>
              <w:rPr>
                <w:szCs w:val="28"/>
              </w:rPr>
              <w:t>уміння самостійно організовувати свою діяльність, визначати пріоритетність виконання завдань</w:t>
            </w:r>
            <w:r w:rsidR="00A60DBB">
              <w:rPr>
                <w:szCs w:val="28"/>
              </w:rPr>
              <w:t>, встановлювати черговість їх виконання</w:t>
            </w:r>
            <w:r>
              <w:rPr>
                <w:szCs w:val="28"/>
              </w:rPr>
              <w:t>;</w:t>
            </w:r>
          </w:p>
          <w:p w:rsidR="00A60DBB" w:rsidRDefault="00A60DBB" w:rsidP="0085150D">
            <w:pPr>
              <w:pStyle w:val="ad"/>
              <w:numPr>
                <w:ilvl w:val="0"/>
                <w:numId w:val="8"/>
              </w:numPr>
              <w:tabs>
                <w:tab w:val="left" w:pos="510"/>
              </w:tabs>
              <w:spacing w:after="0" w:line="240" w:lineRule="auto"/>
              <w:ind w:left="0" w:firstLine="284"/>
              <w:rPr>
                <w:szCs w:val="28"/>
              </w:rPr>
            </w:pPr>
            <w:r>
              <w:rPr>
                <w:szCs w:val="28"/>
              </w:rPr>
              <w:t xml:space="preserve">здатність до </w:t>
            </w:r>
            <w:proofErr w:type="spellStart"/>
            <w:r>
              <w:rPr>
                <w:szCs w:val="28"/>
              </w:rPr>
              <w:t>самомотивації</w:t>
            </w:r>
            <w:proofErr w:type="spellEnd"/>
            <w:r>
              <w:rPr>
                <w:szCs w:val="28"/>
              </w:rPr>
              <w:t xml:space="preserve"> (самоуправління);</w:t>
            </w:r>
          </w:p>
          <w:p w:rsidR="00DF7CCF" w:rsidRPr="00DF7CCF" w:rsidRDefault="00DF7CCF" w:rsidP="0085150D">
            <w:pPr>
              <w:pStyle w:val="ad"/>
              <w:numPr>
                <w:ilvl w:val="0"/>
                <w:numId w:val="8"/>
              </w:numPr>
              <w:tabs>
                <w:tab w:val="left" w:pos="510"/>
              </w:tabs>
              <w:spacing w:after="0" w:line="240" w:lineRule="auto"/>
              <w:ind w:left="0" w:firstLine="284"/>
              <w:rPr>
                <w:szCs w:val="28"/>
              </w:rPr>
            </w:pPr>
            <w:r>
              <w:rPr>
                <w:szCs w:val="28"/>
              </w:rPr>
              <w:lastRenderedPageBreak/>
              <w:t xml:space="preserve"> вміння самостійно приймати рішення і виконувати завдання в процесі професійної діяльності</w:t>
            </w:r>
          </w:p>
        </w:tc>
      </w:tr>
      <w:tr w:rsidR="00DF7CCF"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DF7CCF" w:rsidRDefault="0085150D" w:rsidP="003E153D">
            <w:pPr>
              <w:spacing w:after="0" w:line="240" w:lineRule="auto"/>
              <w:ind w:left="144"/>
              <w:rPr>
                <w:szCs w:val="28"/>
              </w:rPr>
            </w:pPr>
            <w:r>
              <w:rPr>
                <w:szCs w:val="28"/>
              </w:rPr>
              <w:lastRenderedPageBreak/>
              <w:t>Цифрова грамотність</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D30045" w:rsidRPr="00D30045" w:rsidRDefault="00D30045" w:rsidP="00D30045">
            <w:pPr>
              <w:pStyle w:val="ad"/>
              <w:numPr>
                <w:ilvl w:val="0"/>
                <w:numId w:val="8"/>
              </w:numPr>
              <w:tabs>
                <w:tab w:val="left" w:pos="510"/>
              </w:tabs>
              <w:spacing w:after="0" w:line="240" w:lineRule="auto"/>
              <w:rPr>
                <w:szCs w:val="28"/>
              </w:rPr>
            </w:pPr>
            <w:r w:rsidRPr="00D30045">
              <w:rPr>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D30045" w:rsidRPr="00D30045" w:rsidRDefault="00D30045" w:rsidP="00D30045">
            <w:pPr>
              <w:pStyle w:val="ad"/>
              <w:numPr>
                <w:ilvl w:val="0"/>
                <w:numId w:val="8"/>
              </w:numPr>
              <w:tabs>
                <w:tab w:val="left" w:pos="510"/>
              </w:tabs>
              <w:spacing w:after="0" w:line="240" w:lineRule="auto"/>
              <w:rPr>
                <w:szCs w:val="28"/>
              </w:rPr>
            </w:pPr>
            <w:r w:rsidRPr="00D30045">
              <w:rPr>
                <w:szCs w:val="28"/>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D30045" w:rsidRPr="00D30045" w:rsidRDefault="00D30045" w:rsidP="00D30045">
            <w:pPr>
              <w:pStyle w:val="ad"/>
              <w:numPr>
                <w:ilvl w:val="0"/>
                <w:numId w:val="8"/>
              </w:numPr>
              <w:tabs>
                <w:tab w:val="left" w:pos="510"/>
              </w:tabs>
              <w:spacing w:after="0" w:line="240" w:lineRule="auto"/>
              <w:rPr>
                <w:szCs w:val="28"/>
              </w:rPr>
            </w:pPr>
            <w:r w:rsidRPr="00D30045">
              <w:rPr>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D30045" w:rsidRPr="00D30045" w:rsidRDefault="00D30045" w:rsidP="00D30045">
            <w:pPr>
              <w:pStyle w:val="ad"/>
              <w:numPr>
                <w:ilvl w:val="0"/>
                <w:numId w:val="8"/>
              </w:numPr>
              <w:tabs>
                <w:tab w:val="left" w:pos="510"/>
              </w:tabs>
              <w:spacing w:after="0" w:line="240" w:lineRule="auto"/>
              <w:rPr>
                <w:szCs w:val="28"/>
              </w:rPr>
            </w:pPr>
            <w:r w:rsidRPr="00D30045">
              <w:rPr>
                <w:szCs w:val="28"/>
              </w:rPr>
              <w:t>здатність уникати небезпек в цифровому середовищі, захищати особисті та конфіденційні дані;</w:t>
            </w:r>
          </w:p>
          <w:p w:rsidR="00D30045" w:rsidRPr="00D30045" w:rsidRDefault="00D30045" w:rsidP="00D30045">
            <w:pPr>
              <w:pStyle w:val="ad"/>
              <w:numPr>
                <w:ilvl w:val="0"/>
                <w:numId w:val="8"/>
              </w:numPr>
              <w:tabs>
                <w:tab w:val="left" w:pos="510"/>
              </w:tabs>
              <w:spacing w:after="0" w:line="240" w:lineRule="auto"/>
              <w:rPr>
                <w:szCs w:val="28"/>
              </w:rPr>
            </w:pPr>
            <w:r w:rsidRPr="00D30045">
              <w:rPr>
                <w:szCs w:val="28"/>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55098C" w:rsidRDefault="00D30045" w:rsidP="00D30045">
            <w:pPr>
              <w:pStyle w:val="ad"/>
              <w:numPr>
                <w:ilvl w:val="0"/>
                <w:numId w:val="8"/>
              </w:numPr>
              <w:tabs>
                <w:tab w:val="left" w:pos="510"/>
              </w:tabs>
              <w:spacing w:after="0" w:line="240" w:lineRule="auto"/>
              <w:rPr>
                <w:szCs w:val="28"/>
              </w:rPr>
            </w:pPr>
            <w:r w:rsidRPr="00D30045">
              <w:rPr>
                <w:szCs w:val="28"/>
              </w:rPr>
              <w:t>здатність використовувати відкриті цифрові ресурси для власного професійного розвитку</w:t>
            </w:r>
          </w:p>
        </w:tc>
      </w:tr>
      <w:tr w:rsidR="0055098C"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55098C" w:rsidRDefault="0055098C" w:rsidP="003E153D">
            <w:pPr>
              <w:spacing w:after="0" w:line="240" w:lineRule="auto"/>
              <w:ind w:left="144"/>
              <w:rPr>
                <w:szCs w:val="28"/>
              </w:rPr>
            </w:pPr>
            <w:proofErr w:type="spellStart"/>
            <w:r>
              <w:rPr>
                <w:szCs w:val="28"/>
              </w:rPr>
              <w:t>Стресостійкість</w:t>
            </w:r>
            <w:proofErr w:type="spellEnd"/>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55098C" w:rsidRDefault="0055098C" w:rsidP="0085150D">
            <w:pPr>
              <w:pStyle w:val="ad"/>
              <w:numPr>
                <w:ilvl w:val="0"/>
                <w:numId w:val="8"/>
              </w:numPr>
              <w:tabs>
                <w:tab w:val="left" w:pos="510"/>
              </w:tabs>
              <w:spacing w:after="0" w:line="240" w:lineRule="auto"/>
              <w:ind w:left="0" w:firstLine="284"/>
              <w:rPr>
                <w:szCs w:val="28"/>
              </w:rPr>
            </w:pPr>
            <w:r>
              <w:rPr>
                <w:szCs w:val="28"/>
              </w:rPr>
              <w:t>уміння розуміти та управляти своїми емоціями;</w:t>
            </w:r>
          </w:p>
          <w:p w:rsidR="0055098C" w:rsidRDefault="0055098C" w:rsidP="0085150D">
            <w:pPr>
              <w:pStyle w:val="ad"/>
              <w:numPr>
                <w:ilvl w:val="0"/>
                <w:numId w:val="8"/>
              </w:numPr>
              <w:tabs>
                <w:tab w:val="left" w:pos="510"/>
              </w:tabs>
              <w:spacing w:after="0" w:line="240" w:lineRule="auto"/>
              <w:ind w:left="0" w:firstLine="284"/>
              <w:rPr>
                <w:szCs w:val="28"/>
              </w:rPr>
            </w:pPr>
            <w:r>
              <w:rPr>
                <w:szCs w:val="28"/>
              </w:rPr>
              <w:t>здатність до самоконтролю;</w:t>
            </w:r>
          </w:p>
          <w:p w:rsidR="0055098C" w:rsidRDefault="0055098C" w:rsidP="0085150D">
            <w:pPr>
              <w:pStyle w:val="ad"/>
              <w:numPr>
                <w:ilvl w:val="0"/>
                <w:numId w:val="8"/>
              </w:numPr>
              <w:tabs>
                <w:tab w:val="left" w:pos="510"/>
              </w:tabs>
              <w:spacing w:after="0" w:line="240" w:lineRule="auto"/>
              <w:ind w:left="0" w:firstLine="284"/>
              <w:rPr>
                <w:szCs w:val="28"/>
              </w:rPr>
            </w:pPr>
            <w:r>
              <w:rPr>
                <w:szCs w:val="28"/>
              </w:rPr>
              <w:t xml:space="preserve">здатність до конструктивного ставлення до </w:t>
            </w:r>
            <w:proofErr w:type="spellStart"/>
            <w:r>
              <w:rPr>
                <w:szCs w:val="28"/>
              </w:rPr>
              <w:t>зворотнього</w:t>
            </w:r>
            <w:proofErr w:type="spellEnd"/>
            <w:r>
              <w:rPr>
                <w:szCs w:val="28"/>
              </w:rPr>
              <w:t xml:space="preserve"> зв</w:t>
            </w:r>
            <w:r w:rsidRPr="0055098C">
              <w:rPr>
                <w:szCs w:val="28"/>
                <w:lang w:val="ru-RU"/>
              </w:rPr>
              <w:t>’</w:t>
            </w:r>
            <w:proofErr w:type="spellStart"/>
            <w:r>
              <w:rPr>
                <w:szCs w:val="28"/>
              </w:rPr>
              <w:t>язку</w:t>
            </w:r>
            <w:proofErr w:type="spellEnd"/>
            <w:r>
              <w:rPr>
                <w:szCs w:val="28"/>
              </w:rPr>
              <w:t>, зокрема критики</w:t>
            </w:r>
            <w:r w:rsidR="00D30045">
              <w:rPr>
                <w:szCs w:val="28"/>
              </w:rPr>
              <w:t>;</w:t>
            </w:r>
          </w:p>
          <w:p w:rsidR="00D30045" w:rsidRDefault="00D30045" w:rsidP="0085150D">
            <w:pPr>
              <w:pStyle w:val="ad"/>
              <w:numPr>
                <w:ilvl w:val="0"/>
                <w:numId w:val="8"/>
              </w:numPr>
              <w:tabs>
                <w:tab w:val="left" w:pos="510"/>
              </w:tabs>
              <w:spacing w:after="0" w:line="240" w:lineRule="auto"/>
              <w:ind w:left="0" w:firstLine="284"/>
              <w:rPr>
                <w:szCs w:val="28"/>
              </w:rPr>
            </w:pPr>
            <w:r>
              <w:rPr>
                <w:szCs w:val="28"/>
              </w:rPr>
              <w:t>оптимізм</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5150D">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7B09FB">
              <w:rPr>
                <w:rFonts w:eastAsia="Times New Roman" w:cs="Times New Roman"/>
                <w:b/>
                <w:szCs w:val="28"/>
              </w:rPr>
              <w:t xml:space="preserve"> </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3E153D">
            <w:pPr>
              <w:spacing w:after="0"/>
              <w:ind w:left="144"/>
              <w:rPr>
                <w:color w:val="000000"/>
                <w:szCs w:val="28"/>
              </w:rPr>
            </w:pPr>
            <w:r w:rsidRPr="00C568A3">
              <w:rPr>
                <w:color w:val="000000"/>
                <w:szCs w:val="28"/>
              </w:rPr>
              <w:t>Знання законодавства</w:t>
            </w:r>
          </w:p>
          <w:p w:rsidR="007B09FB" w:rsidRPr="00C568A3" w:rsidRDefault="007B09FB" w:rsidP="003E153D">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sidR="00A94AB4">
              <w:rPr>
                <w:szCs w:val="28"/>
              </w:rPr>
              <w:t>«</w:t>
            </w:r>
            <w:r w:rsidRPr="000301AA">
              <w:rPr>
                <w:szCs w:val="28"/>
              </w:rPr>
              <w:t>Про державну службу</w:t>
            </w:r>
            <w:r w:rsidR="00A94AB4">
              <w:rPr>
                <w:szCs w:val="28"/>
              </w:rPr>
              <w:t>»</w:t>
            </w:r>
            <w:r w:rsidRPr="000301AA">
              <w:rPr>
                <w:szCs w:val="28"/>
              </w:rPr>
              <w:t>;</w:t>
            </w:r>
          </w:p>
          <w:p w:rsidR="006A7956" w:rsidRPr="000301AA" w:rsidRDefault="00A94AB4" w:rsidP="00A9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006A7956" w:rsidRPr="000301AA">
              <w:rPr>
                <w:szCs w:val="28"/>
              </w:rPr>
              <w:t xml:space="preserve">Закону України </w:t>
            </w:r>
            <w:r>
              <w:rPr>
                <w:szCs w:val="28"/>
              </w:rPr>
              <w:t>«</w:t>
            </w:r>
            <w:r w:rsidR="006A7956" w:rsidRPr="000301AA">
              <w:rPr>
                <w:szCs w:val="28"/>
              </w:rPr>
              <w:t>Про запобігання корупції</w:t>
            </w:r>
            <w:r>
              <w:rPr>
                <w:szCs w:val="28"/>
              </w:rPr>
              <w:t>»</w:t>
            </w:r>
            <w:r w:rsidR="006A7956" w:rsidRPr="000301AA">
              <w:rPr>
                <w:szCs w:val="28"/>
              </w:rPr>
              <w:br/>
            </w:r>
            <w:r w:rsidR="006A7956" w:rsidRPr="000301AA">
              <w:rPr>
                <w:rStyle w:val="st42"/>
                <w:szCs w:val="28"/>
              </w:rPr>
              <w:t>та іншого законодавства</w:t>
            </w:r>
          </w:p>
        </w:tc>
      </w:tr>
      <w:tr w:rsidR="0085150D"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85150D" w:rsidRPr="0092640B" w:rsidRDefault="0085150D" w:rsidP="0085150D">
            <w:r w:rsidRPr="0092640B">
              <w:t xml:space="preserve">Знання, необхідні для виконання посадових обов’язків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85150D" w:rsidRPr="0085150D" w:rsidRDefault="0085150D" w:rsidP="0085150D">
            <w:pPr>
              <w:spacing w:after="0" w:line="240" w:lineRule="auto"/>
              <w:ind w:left="24"/>
              <w:jc w:val="both"/>
              <w:rPr>
                <w:rFonts w:eastAsia="Times New Roman" w:cs="Times New Roman"/>
                <w:szCs w:val="28"/>
                <w:lang w:eastAsia="ru-RU"/>
              </w:rPr>
            </w:pPr>
            <w:r w:rsidRPr="0085150D">
              <w:rPr>
                <w:rFonts w:eastAsia="Times New Roman" w:cs="Times New Roman"/>
                <w:szCs w:val="28"/>
                <w:lang w:eastAsia="ru-RU"/>
              </w:rPr>
              <w:t xml:space="preserve">знання законів України: «Про освіту», «Про фахову </w:t>
            </w:r>
            <w:proofErr w:type="spellStart"/>
            <w:r w:rsidRPr="0085150D">
              <w:rPr>
                <w:rFonts w:eastAsia="Times New Roman" w:cs="Times New Roman"/>
                <w:szCs w:val="28"/>
                <w:lang w:eastAsia="ru-RU"/>
              </w:rPr>
              <w:t>передвищу</w:t>
            </w:r>
            <w:proofErr w:type="spellEnd"/>
            <w:r w:rsidRPr="0085150D">
              <w:rPr>
                <w:rFonts w:eastAsia="Times New Roman" w:cs="Times New Roman"/>
                <w:szCs w:val="28"/>
                <w:lang w:eastAsia="ru-RU"/>
              </w:rPr>
              <w:t xml:space="preserve"> освіту», «Про повну загальну середню освіту», «Про вищу освіту»;</w:t>
            </w:r>
          </w:p>
          <w:p w:rsidR="0085150D" w:rsidRPr="0085150D" w:rsidRDefault="0085150D" w:rsidP="0085150D">
            <w:pPr>
              <w:spacing w:after="0" w:line="240" w:lineRule="auto"/>
              <w:ind w:left="24"/>
              <w:jc w:val="both"/>
              <w:rPr>
                <w:rFonts w:eastAsia="Times New Roman" w:cs="Times New Roman"/>
                <w:szCs w:val="28"/>
                <w:lang w:eastAsia="ru-RU"/>
              </w:rPr>
            </w:pPr>
            <w:r w:rsidRPr="0085150D">
              <w:rPr>
                <w:rFonts w:eastAsia="Times New Roman" w:cs="Times New Roman"/>
                <w:szCs w:val="28"/>
                <w:lang w:eastAsia="ru-RU"/>
              </w:rPr>
              <w:t xml:space="preserve">система фахової </w:t>
            </w:r>
            <w:proofErr w:type="spellStart"/>
            <w:r w:rsidRPr="0085150D">
              <w:rPr>
                <w:rFonts w:eastAsia="Times New Roman" w:cs="Times New Roman"/>
                <w:szCs w:val="28"/>
                <w:lang w:eastAsia="ru-RU"/>
              </w:rPr>
              <w:t>передвищої</w:t>
            </w:r>
            <w:proofErr w:type="spellEnd"/>
            <w:r w:rsidRPr="0085150D">
              <w:rPr>
                <w:rFonts w:eastAsia="Times New Roman" w:cs="Times New Roman"/>
                <w:szCs w:val="28"/>
                <w:lang w:eastAsia="ru-RU"/>
              </w:rPr>
              <w:t xml:space="preserve"> освіти;</w:t>
            </w:r>
          </w:p>
          <w:p w:rsidR="0085150D" w:rsidRPr="0085150D" w:rsidRDefault="0085150D" w:rsidP="0085150D">
            <w:pPr>
              <w:spacing w:after="0" w:line="240" w:lineRule="auto"/>
              <w:ind w:left="24"/>
              <w:jc w:val="both"/>
              <w:rPr>
                <w:rFonts w:eastAsia="Times New Roman" w:cs="Times New Roman"/>
                <w:szCs w:val="28"/>
              </w:rPr>
            </w:pPr>
            <w:r w:rsidRPr="0085150D">
              <w:rPr>
                <w:rFonts w:eastAsia="Times New Roman" w:cs="Times New Roman"/>
                <w:szCs w:val="28"/>
              </w:rPr>
              <w:t xml:space="preserve">структура стандартів фахової </w:t>
            </w:r>
            <w:proofErr w:type="spellStart"/>
            <w:r w:rsidRPr="0085150D">
              <w:rPr>
                <w:rFonts w:eastAsia="Times New Roman" w:cs="Times New Roman"/>
                <w:szCs w:val="28"/>
              </w:rPr>
              <w:t>передвищої</w:t>
            </w:r>
            <w:proofErr w:type="spellEnd"/>
            <w:r w:rsidRPr="0085150D">
              <w:rPr>
                <w:rFonts w:eastAsia="Times New Roman" w:cs="Times New Roman"/>
                <w:szCs w:val="28"/>
              </w:rPr>
              <w:t xml:space="preserve"> освіти;</w:t>
            </w:r>
          </w:p>
          <w:p w:rsidR="0085150D" w:rsidRPr="0092640B" w:rsidRDefault="0085150D" w:rsidP="0085150D">
            <w:r w:rsidRPr="0085150D">
              <w:rPr>
                <w:rFonts w:eastAsia="Times New Roman" w:cs="Times New Roman"/>
                <w:szCs w:val="28"/>
              </w:rPr>
              <w:t xml:space="preserve">управління закладами фахової </w:t>
            </w:r>
            <w:proofErr w:type="spellStart"/>
            <w:r w:rsidRPr="0085150D">
              <w:rPr>
                <w:rFonts w:eastAsia="Times New Roman" w:cs="Times New Roman"/>
                <w:szCs w:val="28"/>
              </w:rPr>
              <w:t>передвищої</w:t>
            </w:r>
            <w:proofErr w:type="spellEnd"/>
            <w:r w:rsidRPr="0085150D">
              <w:rPr>
                <w:rFonts w:eastAsia="Times New Roman" w:cs="Times New Roman"/>
                <w:szCs w:val="28"/>
              </w:rPr>
              <w:t xml:space="preserve"> освіти</w:t>
            </w:r>
          </w:p>
        </w:tc>
      </w:tr>
    </w:tbl>
    <w:p w:rsidR="00A06FD9" w:rsidRDefault="00A06FD9" w:rsidP="00CE1E4D">
      <w:pPr>
        <w:spacing w:after="0" w:line="240" w:lineRule="auto"/>
        <w:jc w:val="both"/>
        <w:rPr>
          <w:rFonts w:cs="Times New Roman"/>
          <w:szCs w:val="28"/>
        </w:rPr>
      </w:pPr>
    </w:p>
    <w:sectPr w:rsidR="00A06FD9" w:rsidSect="00A06FD9">
      <w:pgSz w:w="11906" w:h="16838"/>
      <w:pgMar w:top="993"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3"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6" w15:restartNumberingAfterBreak="0">
    <w:nsid w:val="65D31160"/>
    <w:multiLevelType w:val="hybridMultilevel"/>
    <w:tmpl w:val="8F54F818"/>
    <w:lvl w:ilvl="0" w:tplc="A1E8F146">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7"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F13B6"/>
    <w:rsid w:val="0010097A"/>
    <w:rsid w:val="00122B97"/>
    <w:rsid w:val="001233DF"/>
    <w:rsid w:val="00124041"/>
    <w:rsid w:val="00136FFC"/>
    <w:rsid w:val="001440D6"/>
    <w:rsid w:val="001616D2"/>
    <w:rsid w:val="00170C82"/>
    <w:rsid w:val="00182DF7"/>
    <w:rsid w:val="00190E17"/>
    <w:rsid w:val="00193665"/>
    <w:rsid w:val="001A04F0"/>
    <w:rsid w:val="001B18CB"/>
    <w:rsid w:val="001B257B"/>
    <w:rsid w:val="001D72C6"/>
    <w:rsid w:val="00200EC0"/>
    <w:rsid w:val="002052E9"/>
    <w:rsid w:val="00243168"/>
    <w:rsid w:val="002734F3"/>
    <w:rsid w:val="002A0E18"/>
    <w:rsid w:val="002F1775"/>
    <w:rsid w:val="00313AB1"/>
    <w:rsid w:val="003279D5"/>
    <w:rsid w:val="0033116B"/>
    <w:rsid w:val="00341B7D"/>
    <w:rsid w:val="00352163"/>
    <w:rsid w:val="00374150"/>
    <w:rsid w:val="003B0FBC"/>
    <w:rsid w:val="003C0A9A"/>
    <w:rsid w:val="003E153D"/>
    <w:rsid w:val="003E3B0F"/>
    <w:rsid w:val="004204EB"/>
    <w:rsid w:val="00423C27"/>
    <w:rsid w:val="00463FCB"/>
    <w:rsid w:val="004B1132"/>
    <w:rsid w:val="004B22F4"/>
    <w:rsid w:val="004B3336"/>
    <w:rsid w:val="004D3657"/>
    <w:rsid w:val="00520749"/>
    <w:rsid w:val="0055098C"/>
    <w:rsid w:val="00553D63"/>
    <w:rsid w:val="00575A90"/>
    <w:rsid w:val="00591B44"/>
    <w:rsid w:val="005B0D8E"/>
    <w:rsid w:val="005C0144"/>
    <w:rsid w:val="005D672D"/>
    <w:rsid w:val="00600BF2"/>
    <w:rsid w:val="00603065"/>
    <w:rsid w:val="0064713B"/>
    <w:rsid w:val="00691A49"/>
    <w:rsid w:val="006A7956"/>
    <w:rsid w:val="006F302D"/>
    <w:rsid w:val="00710FDF"/>
    <w:rsid w:val="007164EA"/>
    <w:rsid w:val="00740EFF"/>
    <w:rsid w:val="00781460"/>
    <w:rsid w:val="007B09FB"/>
    <w:rsid w:val="007F2F3C"/>
    <w:rsid w:val="008117C6"/>
    <w:rsid w:val="00840321"/>
    <w:rsid w:val="008414C4"/>
    <w:rsid w:val="0085150D"/>
    <w:rsid w:val="00885F31"/>
    <w:rsid w:val="008A74D0"/>
    <w:rsid w:val="008C4899"/>
    <w:rsid w:val="008C560B"/>
    <w:rsid w:val="008E1E71"/>
    <w:rsid w:val="00990EFC"/>
    <w:rsid w:val="009E059D"/>
    <w:rsid w:val="009E0FAC"/>
    <w:rsid w:val="00A06FD9"/>
    <w:rsid w:val="00A2452F"/>
    <w:rsid w:val="00A31191"/>
    <w:rsid w:val="00A37B0F"/>
    <w:rsid w:val="00A46DBD"/>
    <w:rsid w:val="00A60DBB"/>
    <w:rsid w:val="00A61527"/>
    <w:rsid w:val="00A67C49"/>
    <w:rsid w:val="00A94AB4"/>
    <w:rsid w:val="00A9675E"/>
    <w:rsid w:val="00AB13B2"/>
    <w:rsid w:val="00AB2E7E"/>
    <w:rsid w:val="00AB5201"/>
    <w:rsid w:val="00B010E6"/>
    <w:rsid w:val="00B25185"/>
    <w:rsid w:val="00B67B51"/>
    <w:rsid w:val="00B7269D"/>
    <w:rsid w:val="00BF56CC"/>
    <w:rsid w:val="00C67583"/>
    <w:rsid w:val="00CB73C0"/>
    <w:rsid w:val="00CE1E4D"/>
    <w:rsid w:val="00CE1E8D"/>
    <w:rsid w:val="00CE3B9D"/>
    <w:rsid w:val="00CF7063"/>
    <w:rsid w:val="00D2461E"/>
    <w:rsid w:val="00D30045"/>
    <w:rsid w:val="00D57716"/>
    <w:rsid w:val="00D6003D"/>
    <w:rsid w:val="00D77829"/>
    <w:rsid w:val="00D905E6"/>
    <w:rsid w:val="00DD1675"/>
    <w:rsid w:val="00DF7CCF"/>
    <w:rsid w:val="00E11DF2"/>
    <w:rsid w:val="00E356D2"/>
    <w:rsid w:val="00E364E4"/>
    <w:rsid w:val="00E52CC2"/>
    <w:rsid w:val="00E86668"/>
    <w:rsid w:val="00EC19C1"/>
    <w:rsid w:val="00EC727D"/>
    <w:rsid w:val="00ED1E42"/>
    <w:rsid w:val="00EE7B47"/>
    <w:rsid w:val="00EF0B4D"/>
    <w:rsid w:val="00EF34E3"/>
    <w:rsid w:val="00F6581B"/>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9437"/>
  <w15:chartTrackingRefBased/>
  <w15:docId w15:val="{51916CA9-6608-41D3-9A4D-01F4D787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 w:id="1429230996">
          <w:marLeft w:val="0"/>
          <w:marRight w:val="0"/>
          <w:marTop w:val="30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0D06-0EAF-480D-8DB8-48E06414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5416</Words>
  <Characters>3088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Nastenko S.L.</cp:lastModifiedBy>
  <cp:revision>6</cp:revision>
  <cp:lastPrinted>2021-06-11T13:21:00Z</cp:lastPrinted>
  <dcterms:created xsi:type="dcterms:W3CDTF">2021-06-07T13:46:00Z</dcterms:created>
  <dcterms:modified xsi:type="dcterms:W3CDTF">2021-06-14T13:37:00Z</dcterms:modified>
</cp:coreProperties>
</file>