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37" w:rsidRDefault="009F7337" w:rsidP="00CF1DF3">
      <w:pPr>
        <w:rPr>
          <w:rFonts w:eastAsia="Calibri"/>
          <w:sz w:val="28"/>
          <w:szCs w:val="28"/>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D1175" w:rsidRPr="002D1175" w:rsidTr="002D1175">
        <w:tc>
          <w:tcPr>
            <w:tcW w:w="4395" w:type="dxa"/>
          </w:tcPr>
          <w:p w:rsidR="002D1175" w:rsidRPr="002D1175" w:rsidRDefault="002D1175" w:rsidP="00CF1DF3">
            <w:pPr>
              <w:jc w:val="both"/>
              <w:rPr>
                <w:bCs/>
                <w:color w:val="000000"/>
                <w:lang w:val="uk-UA"/>
              </w:rPr>
            </w:pPr>
          </w:p>
        </w:tc>
        <w:tc>
          <w:tcPr>
            <w:tcW w:w="4950" w:type="dxa"/>
          </w:tcPr>
          <w:p w:rsidR="002D1175" w:rsidRPr="002D1175" w:rsidRDefault="002D1175" w:rsidP="00CF1DF3">
            <w:pPr>
              <w:jc w:val="both"/>
              <w:rPr>
                <w:bCs/>
                <w:color w:val="000000"/>
                <w:sz w:val="28"/>
                <w:szCs w:val="28"/>
                <w:lang w:val="uk-UA"/>
              </w:rPr>
            </w:pPr>
            <w:r>
              <w:rPr>
                <w:bCs/>
                <w:color w:val="000000"/>
                <w:sz w:val="28"/>
                <w:szCs w:val="28"/>
                <w:lang w:val="uk-UA"/>
              </w:rPr>
              <w:t>ЗАТВЕРДЖЕНО</w:t>
            </w:r>
          </w:p>
          <w:p w:rsidR="002D1175" w:rsidRDefault="002D1175" w:rsidP="00CF1DF3">
            <w:pPr>
              <w:jc w:val="both"/>
              <w:rPr>
                <w:bCs/>
                <w:color w:val="000000"/>
                <w:sz w:val="28"/>
                <w:szCs w:val="28"/>
                <w:lang w:val="uk-UA"/>
              </w:rPr>
            </w:pPr>
            <w:r w:rsidRPr="002D1175">
              <w:rPr>
                <w:bCs/>
                <w:color w:val="000000"/>
                <w:sz w:val="28"/>
                <w:szCs w:val="28"/>
                <w:lang w:val="uk-UA"/>
              </w:rPr>
              <w:t>На</w:t>
            </w:r>
            <w:r>
              <w:rPr>
                <w:bCs/>
                <w:color w:val="000000"/>
                <w:sz w:val="28"/>
                <w:szCs w:val="28"/>
                <w:lang w:val="uk-UA"/>
              </w:rPr>
              <w:t>каз Міністерства освіти</w:t>
            </w:r>
          </w:p>
          <w:p w:rsidR="002D1175" w:rsidRDefault="002D1175" w:rsidP="00CF1DF3">
            <w:pPr>
              <w:jc w:val="both"/>
              <w:rPr>
                <w:bCs/>
                <w:color w:val="000000"/>
                <w:sz w:val="28"/>
                <w:szCs w:val="28"/>
                <w:lang w:val="uk-UA"/>
              </w:rPr>
            </w:pPr>
            <w:r>
              <w:rPr>
                <w:bCs/>
                <w:color w:val="000000"/>
                <w:sz w:val="28"/>
                <w:szCs w:val="28"/>
                <w:lang w:val="uk-UA"/>
              </w:rPr>
              <w:t>і науки України</w:t>
            </w:r>
          </w:p>
          <w:p w:rsidR="002D1175" w:rsidRDefault="00BE424E" w:rsidP="00CF1DF3">
            <w:pPr>
              <w:jc w:val="both"/>
              <w:rPr>
                <w:bCs/>
                <w:color w:val="000000"/>
                <w:sz w:val="28"/>
                <w:szCs w:val="28"/>
                <w:lang w:val="uk-UA"/>
              </w:rPr>
            </w:pPr>
            <w:proofErr w:type="spellStart"/>
            <w:r>
              <w:rPr>
                <w:rFonts w:eastAsia="Calibri"/>
                <w:sz w:val="28"/>
                <w:szCs w:val="28"/>
                <w:lang w:val="ru-RU"/>
              </w:rPr>
              <w:t>від</w:t>
            </w:r>
            <w:proofErr w:type="spellEnd"/>
            <w:r>
              <w:rPr>
                <w:rFonts w:eastAsia="Calibri"/>
                <w:sz w:val="28"/>
                <w:szCs w:val="28"/>
                <w:lang w:val="ru-RU"/>
              </w:rPr>
              <w:t xml:space="preserve"> </w:t>
            </w:r>
            <w:bookmarkStart w:id="0" w:name="_GoBack"/>
            <w:bookmarkEnd w:id="0"/>
            <w:r>
              <w:rPr>
                <w:rFonts w:eastAsia="Calibri"/>
                <w:sz w:val="28"/>
                <w:szCs w:val="28"/>
                <w:lang w:val="ru-RU"/>
              </w:rPr>
              <w:t xml:space="preserve">13.02.2020    №   35-а    </w:t>
            </w:r>
          </w:p>
          <w:p w:rsidR="002D1175" w:rsidRPr="002D1175" w:rsidRDefault="002D1175" w:rsidP="00CF1DF3">
            <w:pPr>
              <w:jc w:val="both"/>
              <w:rPr>
                <w:bCs/>
                <w:color w:val="000000"/>
                <w:sz w:val="28"/>
                <w:szCs w:val="28"/>
                <w:lang w:val="uk-UA"/>
              </w:rPr>
            </w:pPr>
          </w:p>
        </w:tc>
      </w:tr>
    </w:tbl>
    <w:p w:rsidR="002D1175" w:rsidRDefault="002D1175" w:rsidP="00CF1DF3">
      <w:pPr>
        <w:rPr>
          <w:rFonts w:eastAsia="Calibri"/>
          <w:sz w:val="28"/>
          <w:szCs w:val="28"/>
          <w:lang w:val="ru-RU"/>
        </w:rPr>
      </w:pPr>
    </w:p>
    <w:p w:rsidR="002D1175" w:rsidRDefault="002D1175" w:rsidP="00CF1DF3">
      <w:pPr>
        <w:rPr>
          <w:rFonts w:eastAsia="Calibri"/>
          <w:sz w:val="28"/>
          <w:szCs w:val="28"/>
          <w:lang w:val="ru-RU"/>
        </w:rPr>
      </w:pPr>
    </w:p>
    <w:p w:rsidR="002D1175" w:rsidRPr="002D1175" w:rsidRDefault="009F7337" w:rsidP="00CF1DF3">
      <w:pPr>
        <w:jc w:val="center"/>
        <w:rPr>
          <w:rFonts w:eastAsia="Calibri"/>
          <w:sz w:val="28"/>
          <w:szCs w:val="28"/>
          <w:lang w:val="ru-RU"/>
        </w:rPr>
      </w:pPr>
      <w:r w:rsidRPr="002D1175">
        <w:rPr>
          <w:rFonts w:eastAsia="Calibri"/>
          <w:sz w:val="28"/>
          <w:szCs w:val="28"/>
          <w:lang w:val="ru-RU"/>
        </w:rPr>
        <w:t>УМОВИ</w:t>
      </w:r>
    </w:p>
    <w:p w:rsidR="009F7337" w:rsidRPr="002D1175" w:rsidRDefault="002D1175" w:rsidP="00CF1DF3">
      <w:pPr>
        <w:jc w:val="center"/>
        <w:rPr>
          <w:rFonts w:eastAsia="Calibri"/>
          <w:sz w:val="28"/>
          <w:szCs w:val="28"/>
          <w:lang w:val="ru-RU"/>
        </w:rPr>
      </w:pPr>
      <w:r w:rsidRPr="002D1175">
        <w:rPr>
          <w:rFonts w:eastAsia="Calibri"/>
          <w:sz w:val="28"/>
          <w:szCs w:val="28"/>
          <w:lang w:val="ru-RU"/>
        </w:rPr>
        <w:t>проведення конкурсу</w:t>
      </w:r>
    </w:p>
    <w:p w:rsidR="009F7337" w:rsidRPr="002D1175" w:rsidRDefault="009F7337" w:rsidP="00CF1DF3">
      <w:pPr>
        <w:rPr>
          <w:rFonts w:eastAsia="Calibri"/>
          <w:sz w:val="28"/>
          <w:szCs w:val="28"/>
          <w:lang w:val="ru-RU"/>
        </w:rPr>
      </w:pP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6279"/>
      </w:tblGrid>
      <w:tr w:rsidR="009F7337" w:rsidTr="00A5057B">
        <w:trPr>
          <w:trHeight w:val="680"/>
        </w:trPr>
        <w:tc>
          <w:tcPr>
            <w:tcW w:w="3539" w:type="dxa"/>
            <w:tcBorders>
              <w:top w:val="single" w:sz="4" w:space="0" w:color="000000"/>
              <w:left w:val="single" w:sz="4" w:space="0" w:color="000000"/>
              <w:bottom w:val="single" w:sz="4" w:space="0" w:color="000000"/>
              <w:right w:val="single" w:sz="4" w:space="0" w:color="000000"/>
            </w:tcBorders>
            <w:hideMark/>
          </w:tcPr>
          <w:p w:rsidR="009F7337" w:rsidRDefault="009F7337" w:rsidP="00CF1DF3">
            <w:pPr>
              <w:rPr>
                <w:color w:val="000000"/>
                <w:sz w:val="28"/>
                <w:szCs w:val="28"/>
                <w:lang w:eastAsia="en-US"/>
              </w:rPr>
            </w:pPr>
            <w:r>
              <w:rPr>
                <w:color w:val="000000"/>
                <w:sz w:val="28"/>
                <w:szCs w:val="28"/>
                <w:lang w:eastAsia="en-US"/>
              </w:rPr>
              <w:t>Найменування і місцезнаходження державного органу</w:t>
            </w:r>
          </w:p>
        </w:tc>
        <w:tc>
          <w:tcPr>
            <w:tcW w:w="6279" w:type="dxa"/>
            <w:tcBorders>
              <w:top w:val="single" w:sz="4" w:space="0" w:color="000000"/>
              <w:left w:val="single" w:sz="4" w:space="0" w:color="000000"/>
              <w:bottom w:val="single" w:sz="4" w:space="0" w:color="000000"/>
              <w:right w:val="single" w:sz="4" w:space="0" w:color="000000"/>
            </w:tcBorders>
            <w:hideMark/>
          </w:tcPr>
          <w:p w:rsidR="009F7337" w:rsidRDefault="009F7337" w:rsidP="00CF1DF3">
            <w:pPr>
              <w:widowControl w:val="0"/>
              <w:tabs>
                <w:tab w:val="left" w:pos="1276"/>
              </w:tabs>
              <w:jc w:val="both"/>
              <w:rPr>
                <w:color w:val="000000"/>
                <w:sz w:val="28"/>
                <w:szCs w:val="28"/>
                <w:lang w:eastAsia="en-US"/>
              </w:rPr>
            </w:pPr>
            <w:r>
              <w:rPr>
                <w:color w:val="000000"/>
                <w:sz w:val="28"/>
                <w:szCs w:val="28"/>
                <w:lang w:eastAsia="en-US"/>
              </w:rPr>
              <w:t>Мініс</w:t>
            </w:r>
            <w:r w:rsidR="002D1175">
              <w:rPr>
                <w:color w:val="000000"/>
                <w:sz w:val="28"/>
                <w:szCs w:val="28"/>
                <w:lang w:eastAsia="en-US"/>
              </w:rPr>
              <w:t>терство освіти і науки України,</w:t>
            </w:r>
          </w:p>
          <w:p w:rsidR="009F7337" w:rsidRDefault="009F7337" w:rsidP="00CF1DF3">
            <w:pPr>
              <w:widowControl w:val="0"/>
              <w:tabs>
                <w:tab w:val="left" w:pos="1276"/>
              </w:tabs>
              <w:jc w:val="both"/>
              <w:rPr>
                <w:color w:val="000000"/>
                <w:sz w:val="28"/>
                <w:szCs w:val="28"/>
                <w:lang w:eastAsia="en-US"/>
              </w:rPr>
            </w:pPr>
            <w:r>
              <w:rPr>
                <w:color w:val="000000"/>
                <w:sz w:val="28"/>
                <w:szCs w:val="28"/>
                <w:lang w:eastAsia="en-US"/>
              </w:rPr>
              <w:t>Проспект Перемоги, 10</w:t>
            </w:r>
          </w:p>
        </w:tc>
      </w:tr>
      <w:tr w:rsidR="009F7337" w:rsidTr="00A5057B">
        <w:trPr>
          <w:trHeight w:val="680"/>
        </w:trPr>
        <w:tc>
          <w:tcPr>
            <w:tcW w:w="3539" w:type="dxa"/>
            <w:tcBorders>
              <w:top w:val="single" w:sz="4" w:space="0" w:color="000000"/>
              <w:left w:val="single" w:sz="4" w:space="0" w:color="000000"/>
              <w:bottom w:val="single" w:sz="4" w:space="0" w:color="000000"/>
              <w:right w:val="single" w:sz="4" w:space="0" w:color="000000"/>
            </w:tcBorders>
            <w:hideMark/>
          </w:tcPr>
          <w:p w:rsidR="009F7337" w:rsidRDefault="009F7337" w:rsidP="00CF1DF3">
            <w:pPr>
              <w:rPr>
                <w:color w:val="000000"/>
                <w:sz w:val="28"/>
                <w:szCs w:val="28"/>
                <w:lang w:eastAsia="en-US"/>
              </w:rPr>
            </w:pPr>
            <w:r>
              <w:rPr>
                <w:color w:val="000000"/>
                <w:sz w:val="28"/>
                <w:szCs w:val="28"/>
                <w:lang w:eastAsia="en-US"/>
              </w:rPr>
              <w:t>Назва посади</w:t>
            </w:r>
          </w:p>
        </w:tc>
        <w:tc>
          <w:tcPr>
            <w:tcW w:w="6279" w:type="dxa"/>
            <w:tcBorders>
              <w:top w:val="single" w:sz="4" w:space="0" w:color="000000"/>
              <w:left w:val="single" w:sz="4" w:space="0" w:color="000000"/>
              <w:bottom w:val="single" w:sz="4" w:space="0" w:color="000000"/>
              <w:right w:val="single" w:sz="4" w:space="0" w:color="000000"/>
            </w:tcBorders>
          </w:tcPr>
          <w:p w:rsidR="009F7337" w:rsidRDefault="00CD6830" w:rsidP="00CF1DF3">
            <w:pPr>
              <w:keepNext/>
              <w:keepLines/>
              <w:jc w:val="both"/>
              <w:rPr>
                <w:color w:val="000000"/>
                <w:sz w:val="28"/>
                <w:szCs w:val="28"/>
                <w:lang w:eastAsia="en-US"/>
              </w:rPr>
            </w:pPr>
            <w:r>
              <w:rPr>
                <w:color w:val="000000"/>
                <w:sz w:val="28"/>
                <w:szCs w:val="28"/>
                <w:lang w:eastAsia="en-US"/>
              </w:rPr>
              <w:t>Д</w:t>
            </w:r>
            <w:r w:rsidRPr="00CD6830">
              <w:rPr>
                <w:color w:val="000000"/>
                <w:sz w:val="28"/>
                <w:szCs w:val="28"/>
                <w:lang w:eastAsia="en-US"/>
              </w:rPr>
              <w:t>ержавн</w:t>
            </w:r>
            <w:r>
              <w:rPr>
                <w:color w:val="000000"/>
                <w:sz w:val="28"/>
                <w:szCs w:val="28"/>
                <w:lang w:eastAsia="en-US"/>
              </w:rPr>
              <w:t>ий</w:t>
            </w:r>
            <w:r w:rsidRPr="00CD6830">
              <w:rPr>
                <w:color w:val="000000"/>
                <w:sz w:val="28"/>
                <w:szCs w:val="28"/>
                <w:lang w:eastAsia="en-US"/>
              </w:rPr>
              <w:t xml:space="preserve"> експерт експертної групи з питань аналітики, фінансування та міжнародних </w:t>
            </w:r>
            <w:proofErr w:type="spellStart"/>
            <w:r w:rsidRPr="00CD6830">
              <w:rPr>
                <w:color w:val="000000"/>
                <w:sz w:val="28"/>
                <w:szCs w:val="28"/>
                <w:lang w:eastAsia="en-US"/>
              </w:rPr>
              <w:t>зв’язків</w:t>
            </w:r>
            <w:proofErr w:type="spellEnd"/>
            <w:r w:rsidRPr="00CD6830">
              <w:rPr>
                <w:color w:val="000000"/>
                <w:sz w:val="28"/>
                <w:szCs w:val="28"/>
                <w:lang w:eastAsia="en-US"/>
              </w:rPr>
              <w:t xml:space="preserve"> директорату вищої освіти і освіти дорослих Міністерства освіти і науки України </w:t>
            </w:r>
            <w:r w:rsidR="00CE41DF">
              <w:rPr>
                <w:color w:val="000000"/>
                <w:sz w:val="28"/>
                <w:szCs w:val="28"/>
                <w:lang w:eastAsia="en-US"/>
              </w:rPr>
              <w:t xml:space="preserve"> </w:t>
            </w:r>
            <w:r w:rsidR="00CE41DF" w:rsidRPr="00CE41DF">
              <w:rPr>
                <w:b/>
                <w:color w:val="000000"/>
                <w:sz w:val="28"/>
                <w:szCs w:val="28"/>
                <w:lang w:eastAsia="en-US"/>
              </w:rPr>
              <w:t>(2 посади)</w:t>
            </w:r>
          </w:p>
        </w:tc>
      </w:tr>
      <w:tr w:rsidR="00CD6830" w:rsidTr="00A5057B">
        <w:trPr>
          <w:trHeight w:val="680"/>
        </w:trPr>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 xml:space="preserve">Посадові обов’язки </w:t>
            </w:r>
          </w:p>
        </w:tc>
        <w:tc>
          <w:tcPr>
            <w:tcW w:w="6279" w:type="dxa"/>
            <w:tcBorders>
              <w:top w:val="single" w:sz="4" w:space="0" w:color="000000"/>
              <w:left w:val="single" w:sz="4" w:space="0" w:color="000000"/>
              <w:bottom w:val="single" w:sz="4" w:space="0" w:color="000000"/>
              <w:right w:val="single" w:sz="4" w:space="0" w:color="000000"/>
            </w:tcBorders>
          </w:tcPr>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Здійснення моніторингу та аналізу стану системи вищої освіти, включаючи політичні, правові, фінансові, організаційні та інші аспекти, аналізу існуючих та виявлення можливих проблем у сфері вищої освіти на основі дослідження статистичних даних, звернень органів державної влади та органів місцевого самоврядування, звернень громадян, інших джерел інформації.</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Підготовка пропозиції щодо визначення перспективного бачення розвитку вищої освіти і освіти дорослих, формування уявлення про альтернативні шляхи та засоби їх досягнення, розробленні пропозицій щодо формування цілей та пріоритетів розвитку вищої освіти і освіти дорослих, здійснення оцінки їх переваг та ризиків.</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Розроблення пропозицій щодо формування державної політики за результатами проведеного аналізу стану системи вищої освіти, узгодження інтересів, цілей та шляхів розв’язання існуючих проблем, підготовка відповідних документів державної політики, аналітичних, інформаційних, довідкових та інших матеріалів та подання їх на розгляд керівництву міністерства.</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 xml:space="preserve">Здійснення аналізу нормативно-правової бази у сфері вищої освіти з метою виявлення прогалин та </w:t>
            </w:r>
            <w:proofErr w:type="spellStart"/>
            <w:r w:rsidRPr="00CD6830">
              <w:rPr>
                <w:rFonts w:ascii="Times New Roman" w:hAnsi="Times New Roman"/>
                <w:sz w:val="28"/>
              </w:rPr>
              <w:t>неузгодженостей</w:t>
            </w:r>
            <w:proofErr w:type="spellEnd"/>
            <w:r w:rsidRPr="00CD6830">
              <w:rPr>
                <w:rFonts w:ascii="Times New Roman" w:hAnsi="Times New Roman"/>
                <w:sz w:val="28"/>
              </w:rPr>
              <w:t xml:space="preserve">, узагальнення практику застосування законодавства, розробка </w:t>
            </w:r>
            <w:r w:rsidRPr="00CD6830">
              <w:rPr>
                <w:rFonts w:ascii="Times New Roman" w:hAnsi="Times New Roman"/>
                <w:sz w:val="28"/>
              </w:rPr>
              <w:lastRenderedPageBreak/>
              <w:t xml:space="preserve">пропозицій щодо його вдосконалення та підготовка відповідних проектів законодавчих актів, актів Президента України та Кабінету Міністрів України, актів МОН, спрямованих, зокрема, на реалізацію автономії університетів, академічної свободи учасників освітнього та наукового процесів, інтеграції системи вищої освіти в європейський та світовий </w:t>
            </w:r>
            <w:proofErr w:type="spellStart"/>
            <w:r w:rsidRPr="00CD6830">
              <w:rPr>
                <w:rFonts w:ascii="Times New Roman" w:hAnsi="Times New Roman"/>
                <w:sz w:val="28"/>
              </w:rPr>
              <w:t>освітньо</w:t>
            </w:r>
            <w:proofErr w:type="spellEnd"/>
            <w:r w:rsidRPr="00CD6830">
              <w:rPr>
                <w:rFonts w:ascii="Times New Roman" w:hAnsi="Times New Roman"/>
                <w:sz w:val="28"/>
              </w:rPr>
              <w:t>-науковий простір.</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Проведення фінансово-економічних розрахунків щодо обсягу фінансових та матеріальних витрат, необхідних для реалізації державної політики у сфері вищої освіти, визначення джерел покриття можливих втрат доходів або додаткових видатків державного бюджету.</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Участь у бюджетному процесі на рівні міністерства з метою забезпечення ефективного використання бюджетних коштів у сфері вищої освіти, забезпечення підготовки проекту державного замовлення на підготовку кадрів з вищою освітою і внесення його Міністерству розвитку економіки, торгівлі та сільського господарства України для формування проекту Державного бюджету України.</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Укладення документу, що містить узгоджену позицію всіх органів виконавчої влади та інших заінтересованих сторін, з якими було проведено консультації, а в разі відсутності узгодженої позиції додає до такого документу окремі аналітичні розрахунки, думки, пропозиції та зауваження.</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Підготовка інформаційних матеріалів з питань формування та реалізації політики, що належить до компетенції.</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Участь у роботі Групи супроводу Болонського процесу та національної Групи супроводу Болонського процесу.</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Здійснення аналізу документів Європейського простору вищої освіти та надання пропозиції щодо імплементації положень Болонського процесу до відповідних законодавчих актів, актів Президента України та Кабінету Міністрів України, актів МОН.</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lastRenderedPageBreak/>
              <w:t>Координація проектів міжнародної технічної допомоги в сфері вищої освіти.</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Участь у координації роботи директорату в сфері вищої освіти з Радою Європи, ЮНЕСКО, Британською Радою та іншими міжнародними організаціями.</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Подання пропозиції щодо розширення міжнародного співробітництва в сфері вищої освіти.</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Висловлення в межах компетенції позиції щодо проектів документів державної політики та актів законодавства, що готуються іншими структурними підрозділами апарату міністерства або іншими державними органами та подаються на розгляд Кабінету Міністрів України, а також законопроектів, які подаються на розгляд Верховної Ради України іншими суб’єктами права законодавчої ініціативи. Готування зауваження і пропозиції до прийнятих Верховною Радою України законів, що надійшли на підпис Президентові України.</w:t>
            </w:r>
          </w:p>
          <w:p w:rsidR="00CD6830" w:rsidRPr="00CD6830" w:rsidRDefault="00CD6830" w:rsidP="00CF1DF3">
            <w:pPr>
              <w:pStyle w:val="1"/>
              <w:numPr>
                <w:ilvl w:val="0"/>
                <w:numId w:val="1"/>
              </w:numPr>
              <w:shd w:val="clear" w:color="auto" w:fill="auto"/>
              <w:tabs>
                <w:tab w:val="left" w:pos="748"/>
              </w:tabs>
              <w:spacing w:after="0" w:line="240" w:lineRule="auto"/>
              <w:ind w:left="0" w:firstLine="323"/>
              <w:jc w:val="both"/>
              <w:rPr>
                <w:rFonts w:ascii="Times New Roman" w:hAnsi="Times New Roman"/>
                <w:sz w:val="28"/>
              </w:rPr>
            </w:pPr>
            <w:r w:rsidRPr="00CD6830">
              <w:rPr>
                <w:rFonts w:ascii="Times New Roman" w:hAnsi="Times New Roman"/>
                <w:sz w:val="28"/>
              </w:rPr>
              <w:t>Виконання інших функцій відповідно до Положення про Директорат, а також доручень керівництва.</w:t>
            </w:r>
          </w:p>
        </w:tc>
      </w:tr>
      <w:tr w:rsidR="00CD6830" w:rsidTr="00A5057B">
        <w:trPr>
          <w:trHeight w:val="100"/>
        </w:trPr>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lastRenderedPageBreak/>
              <w:t xml:space="preserve">Умови оплати праці </w:t>
            </w:r>
          </w:p>
        </w:tc>
        <w:tc>
          <w:tcPr>
            <w:tcW w:w="6279" w:type="dxa"/>
            <w:tcBorders>
              <w:top w:val="single" w:sz="4" w:space="0" w:color="000000"/>
              <w:left w:val="single" w:sz="4" w:space="0" w:color="000000"/>
              <w:bottom w:val="single" w:sz="4" w:space="0" w:color="000000"/>
              <w:right w:val="single" w:sz="4" w:space="0" w:color="000000"/>
            </w:tcBorders>
          </w:tcPr>
          <w:p w:rsidR="00CD6830" w:rsidRPr="0001263A" w:rsidRDefault="00CD6830" w:rsidP="00CF1DF3">
            <w:pPr>
              <w:jc w:val="both"/>
              <w:rPr>
                <w:sz w:val="28"/>
                <w:szCs w:val="28"/>
                <w:lang w:eastAsia="ru-RU"/>
              </w:rPr>
            </w:pPr>
            <w:r w:rsidRPr="0001263A">
              <w:rPr>
                <w:sz w:val="28"/>
                <w:szCs w:val="28"/>
                <w:lang w:eastAsia="ru-RU"/>
              </w:rPr>
              <w:t>посадовий оклад –</w:t>
            </w:r>
            <w:r w:rsidR="0001263A" w:rsidRPr="0001263A">
              <w:rPr>
                <w:sz w:val="28"/>
                <w:szCs w:val="28"/>
                <w:lang w:eastAsia="ru-RU"/>
              </w:rPr>
              <w:t xml:space="preserve"> 10600</w:t>
            </w:r>
            <w:r w:rsidRPr="0001263A">
              <w:rPr>
                <w:sz w:val="28"/>
                <w:szCs w:val="28"/>
                <w:lang w:eastAsia="ru-RU"/>
              </w:rPr>
              <w:t xml:space="preserve"> грн.;</w:t>
            </w:r>
          </w:p>
          <w:p w:rsidR="0001263A" w:rsidRPr="0001263A" w:rsidRDefault="0001263A" w:rsidP="0001263A">
            <w:pPr>
              <w:jc w:val="both"/>
              <w:rPr>
                <w:sz w:val="28"/>
                <w:szCs w:val="28"/>
                <w:lang w:eastAsia="ru-RU"/>
              </w:rPr>
            </w:pPr>
            <w:r w:rsidRPr="0001263A">
              <w:rPr>
                <w:sz w:val="28"/>
                <w:szCs w:val="28"/>
                <w:lang w:eastAsia="ru-RU"/>
              </w:rPr>
              <w:t>розмір щомісячної надбавки за виконання особливо важливої роботи – 30500</w:t>
            </w:r>
            <w:r w:rsidR="00777A81">
              <w:rPr>
                <w:sz w:val="28"/>
                <w:szCs w:val="28"/>
                <w:lang w:eastAsia="ru-RU"/>
              </w:rPr>
              <w:t xml:space="preserve"> </w:t>
            </w:r>
            <w:r w:rsidR="00693017">
              <w:rPr>
                <w:color w:val="000000"/>
                <w:sz w:val="28"/>
                <w:szCs w:val="28"/>
              </w:rPr>
              <w:t>(на період випробування встановлюється в розмірі 50 %);</w:t>
            </w:r>
          </w:p>
          <w:p w:rsidR="00CD6830" w:rsidRPr="0001263A" w:rsidRDefault="00CD6830" w:rsidP="0001263A">
            <w:pPr>
              <w:jc w:val="both"/>
              <w:rPr>
                <w:sz w:val="28"/>
                <w:szCs w:val="28"/>
                <w:lang w:eastAsia="ru-RU"/>
              </w:rPr>
            </w:pPr>
            <w:r w:rsidRPr="0001263A">
              <w:rPr>
                <w:sz w:val="28"/>
                <w:szCs w:val="28"/>
                <w:lang w:eastAsia="ru-RU"/>
              </w:rPr>
              <w:t>надбавка за ранг державного службовця – 200 – 500 грн.;</w:t>
            </w:r>
          </w:p>
          <w:p w:rsidR="00CD6830" w:rsidRPr="0001263A" w:rsidRDefault="00CD6830" w:rsidP="00CF1DF3">
            <w:pPr>
              <w:jc w:val="both"/>
              <w:rPr>
                <w:sz w:val="28"/>
                <w:szCs w:val="28"/>
                <w:lang w:eastAsia="ru-RU"/>
              </w:rPr>
            </w:pPr>
            <w:r w:rsidRPr="0001263A">
              <w:rPr>
                <w:sz w:val="28"/>
                <w:szCs w:val="28"/>
                <w:lang w:eastAsia="ru-RU"/>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CD6830" w:rsidRPr="00CD6830" w:rsidRDefault="00CD6830" w:rsidP="00CF1DF3">
            <w:pPr>
              <w:jc w:val="both"/>
              <w:rPr>
                <w:color w:val="FF0000"/>
                <w:sz w:val="28"/>
                <w:szCs w:val="28"/>
                <w:lang w:eastAsia="ru-RU"/>
              </w:rPr>
            </w:pPr>
            <w:r w:rsidRPr="0001263A">
              <w:rPr>
                <w:sz w:val="28"/>
                <w:szCs w:val="28"/>
                <w:lang w:eastAsia="ru-RU"/>
              </w:rPr>
              <w:t>інші виплати, премії – у разі встановлення.</w:t>
            </w:r>
          </w:p>
        </w:tc>
      </w:tr>
      <w:tr w:rsidR="00CD6830" w:rsidTr="00A5057B">
        <w:tc>
          <w:tcPr>
            <w:tcW w:w="9818" w:type="dxa"/>
            <w:gridSpan w:val="2"/>
            <w:tcBorders>
              <w:top w:val="single" w:sz="4" w:space="0" w:color="000000"/>
              <w:left w:val="single" w:sz="4" w:space="0" w:color="000000"/>
              <w:bottom w:val="single" w:sz="4" w:space="0" w:color="000000"/>
              <w:right w:val="single" w:sz="4" w:space="0" w:color="000000"/>
            </w:tcBorders>
          </w:tcPr>
          <w:p w:rsidR="00CD6830" w:rsidRDefault="00CD6830" w:rsidP="00CF1DF3">
            <w:pPr>
              <w:jc w:val="center"/>
              <w:rPr>
                <w:color w:val="000000"/>
                <w:sz w:val="28"/>
                <w:szCs w:val="28"/>
                <w:lang w:eastAsia="en-US"/>
              </w:rPr>
            </w:pPr>
            <w:bookmarkStart w:id="1" w:name="gjdgxs"/>
            <w:bookmarkEnd w:id="1"/>
            <w:r>
              <w:rPr>
                <w:color w:val="000000"/>
                <w:sz w:val="28"/>
                <w:szCs w:val="28"/>
                <w:lang w:eastAsia="en-US"/>
              </w:rPr>
              <w:t>Кваліфікаційні вимоги</w:t>
            </w:r>
          </w:p>
          <w:p w:rsidR="00CD6830" w:rsidRDefault="00CD6830" w:rsidP="00CF1DF3">
            <w:pPr>
              <w:jc w:val="center"/>
              <w:rPr>
                <w:color w:val="000000"/>
                <w:sz w:val="28"/>
                <w:szCs w:val="28"/>
                <w:lang w:eastAsia="en-US"/>
              </w:rPr>
            </w:pP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Освіта</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sidRPr="00A5057B">
              <w:rPr>
                <w:color w:val="000000"/>
                <w:sz w:val="28"/>
                <w:szCs w:val="28"/>
                <w:lang w:eastAsia="en-US"/>
              </w:rPr>
              <w:t>наявність вищої освіти ступеня не нижче бакалавра</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Досвід роботи</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Не потребує</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Володіння державною мовою</w:t>
            </w:r>
          </w:p>
        </w:tc>
        <w:tc>
          <w:tcPr>
            <w:tcW w:w="6279" w:type="dxa"/>
            <w:tcBorders>
              <w:top w:val="single" w:sz="4" w:space="0" w:color="000000"/>
              <w:left w:val="single" w:sz="4" w:space="0" w:color="000000"/>
              <w:bottom w:val="single" w:sz="4" w:space="0" w:color="000000"/>
              <w:right w:val="single" w:sz="4" w:space="0" w:color="000000"/>
            </w:tcBorders>
          </w:tcPr>
          <w:p w:rsidR="00CD6830" w:rsidRDefault="00CD6830" w:rsidP="00CF1DF3">
            <w:pPr>
              <w:rPr>
                <w:color w:val="000000"/>
                <w:sz w:val="28"/>
                <w:szCs w:val="28"/>
                <w:lang w:eastAsia="en-US"/>
              </w:rPr>
            </w:pPr>
            <w:r>
              <w:rPr>
                <w:color w:val="000000"/>
                <w:sz w:val="28"/>
                <w:szCs w:val="28"/>
                <w:lang w:eastAsia="en-US"/>
              </w:rPr>
              <w:t>вільне володіння державною мовою</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Інформація про строковість чи безстроковість призначення на посаду</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jc w:val="both"/>
              <w:rPr>
                <w:color w:val="000000"/>
                <w:sz w:val="28"/>
                <w:szCs w:val="28"/>
                <w:lang w:eastAsia="en-US"/>
              </w:rPr>
            </w:pPr>
            <w:r>
              <w:rPr>
                <w:color w:val="000000"/>
                <w:sz w:val="28"/>
                <w:szCs w:val="28"/>
                <w:lang w:eastAsia="en-US"/>
              </w:rPr>
              <w:t>безстроково</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sz w:val="28"/>
                <w:szCs w:val="28"/>
                <w:lang w:eastAsia="en-US"/>
              </w:rPr>
            </w:pPr>
            <w:r>
              <w:rPr>
                <w:sz w:val="28"/>
                <w:szCs w:val="28"/>
                <w:lang w:eastAsia="en-US"/>
              </w:rPr>
              <w:lastRenderedPageBreak/>
              <w:t>Перелік інформації, необхідної для участі в конкурсі, та строк її подання</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8265A" w:rsidRDefault="00CD6830" w:rsidP="00CF1DF3">
            <w:pPr>
              <w:rPr>
                <w:sz w:val="28"/>
                <w:szCs w:val="28"/>
                <w:lang w:eastAsia="en-US"/>
              </w:rPr>
            </w:pPr>
            <w:r w:rsidRPr="00C8265A">
              <w:rPr>
                <w:sz w:val="28"/>
                <w:szCs w:val="28"/>
                <w:lang w:eastAsia="en-US"/>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w:t>
            </w:r>
          </w:p>
          <w:p w:rsidR="00CD6830" w:rsidRPr="00C8265A" w:rsidRDefault="00CD6830" w:rsidP="00CF1DF3">
            <w:pPr>
              <w:rPr>
                <w:sz w:val="28"/>
                <w:szCs w:val="28"/>
                <w:lang w:eastAsia="en-US"/>
              </w:rPr>
            </w:pPr>
            <w:r w:rsidRPr="00C8265A">
              <w:rPr>
                <w:sz w:val="28"/>
                <w:szCs w:val="28"/>
                <w:lang w:eastAsia="en-US"/>
              </w:rPr>
              <w:t>2) резюме за формою згідно з додатком 21 до Порядку проведення конкурсу на зайняття посад державної служби, в якому обов’язково зазначається така інформація:</w:t>
            </w:r>
          </w:p>
          <w:p w:rsidR="00CD6830" w:rsidRPr="00C8265A" w:rsidRDefault="00CD6830" w:rsidP="00CF1DF3">
            <w:pPr>
              <w:rPr>
                <w:sz w:val="28"/>
                <w:szCs w:val="28"/>
                <w:lang w:eastAsia="en-US"/>
              </w:rPr>
            </w:pPr>
            <w:r w:rsidRPr="00C8265A">
              <w:rPr>
                <w:sz w:val="28"/>
                <w:szCs w:val="28"/>
                <w:lang w:eastAsia="en-US"/>
              </w:rPr>
              <w:t xml:space="preserve"> прізвище, ім’я, по батькові кандидата;</w:t>
            </w:r>
          </w:p>
          <w:p w:rsidR="00CD6830" w:rsidRPr="00C8265A" w:rsidRDefault="00CD6830" w:rsidP="00CF1DF3">
            <w:pPr>
              <w:rPr>
                <w:sz w:val="28"/>
                <w:szCs w:val="28"/>
                <w:lang w:eastAsia="en-US"/>
              </w:rPr>
            </w:pPr>
            <w:r w:rsidRPr="00C8265A">
              <w:rPr>
                <w:sz w:val="28"/>
                <w:szCs w:val="28"/>
                <w:lang w:eastAsia="en-US"/>
              </w:rPr>
              <w:t xml:space="preserve"> реквізити документа, що посвідчує особу та підтверджує громадянство України;</w:t>
            </w:r>
          </w:p>
          <w:p w:rsidR="00CD6830" w:rsidRPr="00C8265A" w:rsidRDefault="00CD6830" w:rsidP="00CF1DF3">
            <w:pPr>
              <w:rPr>
                <w:sz w:val="28"/>
                <w:szCs w:val="28"/>
                <w:lang w:eastAsia="en-US"/>
              </w:rPr>
            </w:pPr>
            <w:r w:rsidRPr="00C8265A">
              <w:rPr>
                <w:sz w:val="28"/>
                <w:szCs w:val="28"/>
                <w:lang w:eastAsia="en-US"/>
              </w:rPr>
              <w:t xml:space="preserve"> підтвердження наявності відповідного ступеня вищої освіти;</w:t>
            </w:r>
          </w:p>
          <w:p w:rsidR="00CD6830" w:rsidRPr="00C8265A" w:rsidRDefault="00CD6830" w:rsidP="00CF1DF3">
            <w:pPr>
              <w:rPr>
                <w:sz w:val="28"/>
                <w:szCs w:val="28"/>
                <w:lang w:eastAsia="en-US"/>
              </w:rPr>
            </w:pPr>
            <w:r w:rsidRPr="00C8265A">
              <w:rPr>
                <w:sz w:val="28"/>
                <w:szCs w:val="28"/>
                <w:lang w:eastAsia="en-US"/>
              </w:rPr>
              <w:t xml:space="preserve"> підтвердження рівня вільного володіння державною мовою;</w:t>
            </w:r>
          </w:p>
          <w:p w:rsidR="00CD6830" w:rsidRPr="00C8265A" w:rsidRDefault="00CD6830" w:rsidP="00CF1DF3">
            <w:pPr>
              <w:rPr>
                <w:sz w:val="28"/>
                <w:szCs w:val="28"/>
                <w:lang w:eastAsia="en-US"/>
              </w:rPr>
            </w:pPr>
            <w:r w:rsidRPr="00C8265A">
              <w:rPr>
                <w:sz w:val="28"/>
                <w:szCs w:val="28"/>
                <w:lang w:eastAsia="en-US"/>
              </w:rPr>
              <w:t xml:space="preserve"> відомості про стаж роботи, стаж державної служби (за наявності), досвід роботи на відповідних посадах;</w:t>
            </w:r>
          </w:p>
          <w:p w:rsidR="00CD6830" w:rsidRPr="00C8265A" w:rsidRDefault="00CD6830" w:rsidP="00CF1DF3">
            <w:pPr>
              <w:rPr>
                <w:sz w:val="28"/>
                <w:szCs w:val="28"/>
                <w:lang w:eastAsia="en-US"/>
              </w:rPr>
            </w:pPr>
            <w:r w:rsidRPr="00C8265A">
              <w:rPr>
                <w:sz w:val="28"/>
                <w:szCs w:val="28"/>
                <w:lang w:eastAsia="en-US"/>
              </w:rPr>
              <w:t xml:space="preserve">3) заяву, в якій повідомляє, що до неї не застосовуються заборони, визначені </w:t>
            </w:r>
            <w:hyperlink r:id="rId5" w:anchor="n13" w:history="1">
              <w:r w:rsidRPr="00C8265A">
                <w:rPr>
                  <w:rStyle w:val="a3"/>
                  <w:color w:val="auto"/>
                  <w:sz w:val="28"/>
                  <w:szCs w:val="28"/>
                  <w:lang w:eastAsia="en-US"/>
                </w:rPr>
                <w:t>частиною третьою</w:t>
              </w:r>
            </w:hyperlink>
            <w:r w:rsidRPr="00C8265A">
              <w:rPr>
                <w:sz w:val="28"/>
                <w:szCs w:val="28"/>
                <w:lang w:eastAsia="en-US"/>
              </w:rPr>
              <w:t xml:space="preserve"> або </w:t>
            </w:r>
            <w:hyperlink r:id="rId6" w:anchor="n14" w:history="1">
              <w:r w:rsidRPr="00C8265A">
                <w:rPr>
                  <w:rStyle w:val="a3"/>
                  <w:color w:val="auto"/>
                  <w:sz w:val="28"/>
                  <w:szCs w:val="28"/>
                  <w:lang w:eastAsia="en-US"/>
                </w:rPr>
                <w:t>четвертою</w:t>
              </w:r>
            </w:hyperlink>
            <w:r w:rsidRPr="00C8265A">
              <w:rPr>
                <w:sz w:val="28"/>
                <w:szCs w:val="28"/>
                <w:lang w:eastAsia="en-US"/>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D6830" w:rsidRPr="00C8265A" w:rsidRDefault="00CD6830" w:rsidP="00CF1DF3">
            <w:pPr>
              <w:rPr>
                <w:sz w:val="28"/>
                <w:szCs w:val="28"/>
                <w:lang w:eastAsia="en-US"/>
              </w:rPr>
            </w:pPr>
            <w:r w:rsidRPr="00C8265A">
              <w:rPr>
                <w:sz w:val="28"/>
                <w:szCs w:val="28"/>
                <w:lang w:eastAsia="en-US"/>
              </w:rPr>
              <w:t xml:space="preserve">4)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C8265A">
              <w:rPr>
                <w:sz w:val="28"/>
                <w:szCs w:val="28"/>
                <w:lang w:eastAsia="en-US"/>
              </w:rPr>
              <w:t>компетентностей</w:t>
            </w:r>
            <w:proofErr w:type="spellEnd"/>
            <w:r w:rsidRPr="00C8265A">
              <w:rPr>
                <w:sz w:val="28"/>
                <w:szCs w:val="28"/>
                <w:lang w:eastAsia="en-US"/>
              </w:rPr>
              <w:t>, репутації (характеристики, рекомендації, наукові публікації тощо.</w:t>
            </w:r>
            <w:r w:rsidRPr="00C8265A">
              <w:rPr>
                <w:sz w:val="28"/>
                <w:szCs w:val="28"/>
                <w:lang w:eastAsia="en-US"/>
              </w:rPr>
              <w:br/>
            </w:r>
          </w:p>
          <w:p w:rsidR="00CD6830" w:rsidRPr="00C8265A" w:rsidRDefault="00CD6830" w:rsidP="0001263A">
            <w:pPr>
              <w:rPr>
                <w:sz w:val="28"/>
                <w:szCs w:val="28"/>
                <w:lang w:eastAsia="en-US"/>
              </w:rPr>
            </w:pPr>
            <w:r w:rsidRPr="00C8265A">
              <w:rPr>
                <w:sz w:val="28"/>
                <w:szCs w:val="28"/>
                <w:lang w:eastAsia="en-US"/>
              </w:rPr>
              <w:t xml:space="preserve">Документи приймаються до </w:t>
            </w:r>
            <w:r w:rsidR="0001263A" w:rsidRPr="00C8265A">
              <w:rPr>
                <w:sz w:val="28"/>
                <w:szCs w:val="28"/>
                <w:lang w:eastAsia="en-US"/>
              </w:rPr>
              <w:t>25.02</w:t>
            </w:r>
            <w:r w:rsidRPr="00C8265A">
              <w:rPr>
                <w:sz w:val="28"/>
                <w:szCs w:val="28"/>
                <w:lang w:eastAsia="en-US"/>
              </w:rPr>
              <w:t>.20</w:t>
            </w:r>
            <w:r w:rsidR="0001263A" w:rsidRPr="00C8265A">
              <w:rPr>
                <w:sz w:val="28"/>
                <w:szCs w:val="28"/>
                <w:lang w:eastAsia="en-US"/>
              </w:rPr>
              <w:t>20</w:t>
            </w:r>
            <w:r w:rsidRPr="00C8265A">
              <w:rPr>
                <w:sz w:val="28"/>
                <w:szCs w:val="28"/>
                <w:lang w:eastAsia="en-US"/>
              </w:rPr>
              <w:t xml:space="preserve"> року 18:00 год. за </w:t>
            </w:r>
            <w:proofErr w:type="spellStart"/>
            <w:r w:rsidRPr="00C8265A">
              <w:rPr>
                <w:sz w:val="28"/>
                <w:szCs w:val="28"/>
                <w:lang w:eastAsia="en-US"/>
              </w:rPr>
              <w:t>адресою</w:t>
            </w:r>
            <w:proofErr w:type="spellEnd"/>
            <w:r w:rsidRPr="00C8265A">
              <w:rPr>
                <w:sz w:val="28"/>
                <w:szCs w:val="28"/>
                <w:lang w:eastAsia="en-US"/>
              </w:rPr>
              <w:t xml:space="preserve"> м. Київ, проспект Перемоги, 10  </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8265A" w:rsidRDefault="00CD6830" w:rsidP="00CF1DF3">
            <w:pPr>
              <w:rPr>
                <w:sz w:val="28"/>
                <w:szCs w:val="28"/>
                <w:lang w:eastAsia="en-US"/>
              </w:rPr>
            </w:pPr>
            <w:r w:rsidRPr="00C8265A">
              <w:rPr>
                <w:sz w:val="28"/>
                <w:szCs w:val="28"/>
                <w:lang w:eastAsia="en-US"/>
              </w:rPr>
              <w:t>Додаткові (необов’язкові) документи</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8265A" w:rsidRDefault="00CD6830" w:rsidP="00CF1DF3">
            <w:pPr>
              <w:rPr>
                <w:sz w:val="28"/>
                <w:szCs w:val="28"/>
                <w:lang w:eastAsia="en-US"/>
              </w:rPr>
            </w:pPr>
            <w:r w:rsidRPr="00C8265A">
              <w:rPr>
                <w:sz w:val="28"/>
                <w:szCs w:val="28"/>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8265A" w:rsidRDefault="00CD6830" w:rsidP="00CF1DF3">
            <w:pPr>
              <w:rPr>
                <w:sz w:val="28"/>
                <w:szCs w:val="28"/>
                <w:lang w:eastAsia="en-US"/>
              </w:rPr>
            </w:pPr>
            <w:r w:rsidRPr="00C8265A">
              <w:rPr>
                <w:sz w:val="28"/>
                <w:szCs w:val="28"/>
                <w:lang w:eastAsia="en-US"/>
              </w:rPr>
              <w:t>Дата і місце початку проведення конкурсу</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8265A" w:rsidRDefault="00CD6830" w:rsidP="00CF1DF3">
            <w:pPr>
              <w:jc w:val="both"/>
              <w:rPr>
                <w:sz w:val="28"/>
                <w:szCs w:val="28"/>
                <w:lang w:eastAsia="en-US"/>
              </w:rPr>
            </w:pPr>
            <w:r w:rsidRPr="00C8265A">
              <w:rPr>
                <w:sz w:val="28"/>
                <w:szCs w:val="28"/>
                <w:lang w:eastAsia="en-US"/>
              </w:rPr>
              <w:t xml:space="preserve">м. Київ, вул. Прорізна 15 </w:t>
            </w:r>
          </w:p>
          <w:p w:rsidR="00CD6830" w:rsidRPr="00C8265A" w:rsidRDefault="00760798" w:rsidP="00760798">
            <w:pPr>
              <w:jc w:val="both"/>
              <w:rPr>
                <w:sz w:val="28"/>
                <w:szCs w:val="28"/>
                <w:lang w:eastAsia="en-US"/>
              </w:rPr>
            </w:pPr>
            <w:r>
              <w:rPr>
                <w:sz w:val="28"/>
                <w:szCs w:val="28"/>
                <w:lang w:val="ru-RU" w:eastAsia="en-US"/>
              </w:rPr>
              <w:t>02</w:t>
            </w:r>
            <w:r w:rsidR="005125C9" w:rsidRPr="00C8265A">
              <w:rPr>
                <w:sz w:val="28"/>
                <w:szCs w:val="28"/>
                <w:lang w:eastAsia="en-US"/>
              </w:rPr>
              <w:t>.03</w:t>
            </w:r>
            <w:r w:rsidR="00CD6830" w:rsidRPr="00C8265A">
              <w:rPr>
                <w:sz w:val="28"/>
                <w:szCs w:val="28"/>
                <w:lang w:eastAsia="en-US"/>
              </w:rPr>
              <w:t>.20</w:t>
            </w:r>
            <w:r w:rsidR="005125C9" w:rsidRPr="00C8265A">
              <w:rPr>
                <w:sz w:val="28"/>
                <w:szCs w:val="28"/>
                <w:lang w:eastAsia="en-US"/>
              </w:rPr>
              <w:t>20</w:t>
            </w:r>
            <w:r w:rsidR="00CD6830" w:rsidRPr="00C8265A">
              <w:rPr>
                <w:sz w:val="28"/>
                <w:szCs w:val="28"/>
                <w:lang w:eastAsia="en-US"/>
              </w:rPr>
              <w:t xml:space="preserve"> року о 10:00.</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5125C9" w:rsidRDefault="00CD6830" w:rsidP="00CF1DF3">
            <w:pPr>
              <w:rPr>
                <w:sz w:val="28"/>
                <w:szCs w:val="28"/>
                <w:lang w:eastAsia="en-US"/>
              </w:rPr>
            </w:pPr>
            <w:r w:rsidRPr="005125C9">
              <w:rPr>
                <w:sz w:val="28"/>
                <w:szCs w:val="28"/>
                <w:lang w:eastAsia="en-US"/>
              </w:rPr>
              <w:t xml:space="preserve">Прізвище, номер телефону та адреса електронної </w:t>
            </w:r>
            <w:r w:rsidRPr="005125C9">
              <w:rPr>
                <w:sz w:val="28"/>
                <w:szCs w:val="28"/>
                <w:lang w:eastAsia="en-US"/>
              </w:rPr>
              <w:lastRenderedPageBreak/>
              <w:t>пошти особи, яка надає додаткову інформацію з питань проведення конкурсу</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5125C9" w:rsidRDefault="00CD6830" w:rsidP="00CF1DF3">
            <w:pPr>
              <w:jc w:val="both"/>
              <w:rPr>
                <w:sz w:val="28"/>
                <w:szCs w:val="28"/>
                <w:lang w:eastAsia="en-US"/>
              </w:rPr>
            </w:pPr>
            <w:r w:rsidRPr="005125C9">
              <w:rPr>
                <w:sz w:val="28"/>
                <w:szCs w:val="28"/>
                <w:lang w:eastAsia="en-US"/>
              </w:rPr>
              <w:lastRenderedPageBreak/>
              <w:t>Настенко Світлана Леонідівна</w:t>
            </w:r>
          </w:p>
          <w:p w:rsidR="00CD6830" w:rsidRPr="005125C9" w:rsidRDefault="00CD6830" w:rsidP="00CF1DF3">
            <w:pPr>
              <w:jc w:val="both"/>
              <w:rPr>
                <w:sz w:val="28"/>
                <w:szCs w:val="28"/>
                <w:lang w:eastAsia="en-US"/>
              </w:rPr>
            </w:pPr>
            <w:proofErr w:type="spellStart"/>
            <w:r w:rsidRPr="005125C9">
              <w:rPr>
                <w:sz w:val="28"/>
                <w:szCs w:val="28"/>
                <w:lang w:eastAsia="en-US"/>
              </w:rPr>
              <w:t>Тел</w:t>
            </w:r>
            <w:proofErr w:type="spellEnd"/>
            <w:r w:rsidRPr="005125C9">
              <w:rPr>
                <w:sz w:val="28"/>
                <w:szCs w:val="28"/>
                <w:lang w:eastAsia="en-US"/>
              </w:rPr>
              <w:t>. 481-32-70</w:t>
            </w:r>
          </w:p>
          <w:p w:rsidR="00CD6830" w:rsidRPr="005125C9" w:rsidRDefault="00CD6830" w:rsidP="00CF1DF3">
            <w:pPr>
              <w:jc w:val="both"/>
              <w:rPr>
                <w:sz w:val="28"/>
                <w:szCs w:val="28"/>
                <w:lang w:eastAsia="en-US"/>
              </w:rPr>
            </w:pPr>
            <w:r w:rsidRPr="005125C9">
              <w:rPr>
                <w:sz w:val="28"/>
                <w:szCs w:val="28"/>
                <w:lang w:eastAsia="en-US"/>
              </w:rPr>
              <w:lastRenderedPageBreak/>
              <w:t>e-</w:t>
            </w:r>
            <w:proofErr w:type="spellStart"/>
            <w:r w:rsidRPr="005125C9">
              <w:rPr>
                <w:sz w:val="28"/>
                <w:szCs w:val="28"/>
                <w:lang w:eastAsia="en-US"/>
              </w:rPr>
              <w:t>mail</w:t>
            </w:r>
            <w:proofErr w:type="spellEnd"/>
            <w:r w:rsidRPr="005125C9">
              <w:rPr>
                <w:sz w:val="28"/>
                <w:szCs w:val="28"/>
                <w:lang w:eastAsia="en-US"/>
              </w:rPr>
              <w:t>: nastenko@mon.gov.ua</w:t>
            </w:r>
          </w:p>
        </w:tc>
      </w:tr>
      <w:tr w:rsidR="00CD6830" w:rsidTr="00A5057B">
        <w:tc>
          <w:tcPr>
            <w:tcW w:w="9818" w:type="dxa"/>
            <w:gridSpan w:val="2"/>
            <w:tcBorders>
              <w:top w:val="single" w:sz="4" w:space="0" w:color="000000"/>
              <w:left w:val="single" w:sz="4" w:space="0" w:color="000000"/>
              <w:bottom w:val="single" w:sz="4" w:space="0" w:color="000000"/>
              <w:right w:val="single" w:sz="4" w:space="0" w:color="000000"/>
            </w:tcBorders>
            <w:hideMark/>
          </w:tcPr>
          <w:p w:rsidR="00CD6830" w:rsidRDefault="00CD6830" w:rsidP="00CF1DF3">
            <w:pPr>
              <w:jc w:val="center"/>
              <w:rPr>
                <w:color w:val="000000"/>
                <w:sz w:val="28"/>
                <w:szCs w:val="28"/>
                <w:lang w:eastAsia="en-US"/>
              </w:rPr>
            </w:pPr>
            <w:r>
              <w:rPr>
                <w:color w:val="000000"/>
                <w:sz w:val="28"/>
                <w:szCs w:val="28"/>
                <w:lang w:eastAsia="en-US"/>
              </w:rPr>
              <w:lastRenderedPageBreak/>
              <w:t>Професійні знання</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jc w:val="center"/>
              <w:rPr>
                <w:color w:val="000000"/>
                <w:sz w:val="28"/>
                <w:szCs w:val="28"/>
                <w:lang w:eastAsia="en-US"/>
              </w:rPr>
            </w:pPr>
            <w:r>
              <w:rPr>
                <w:color w:val="000000"/>
                <w:sz w:val="28"/>
                <w:szCs w:val="28"/>
                <w:lang w:eastAsia="en-US"/>
              </w:rPr>
              <w:t>Вимога</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jc w:val="center"/>
              <w:rPr>
                <w:color w:val="000000"/>
                <w:sz w:val="28"/>
                <w:szCs w:val="28"/>
                <w:lang w:eastAsia="en-US"/>
              </w:rPr>
            </w:pPr>
            <w:r>
              <w:rPr>
                <w:color w:val="000000"/>
                <w:sz w:val="28"/>
                <w:szCs w:val="28"/>
                <w:lang w:eastAsia="en-US"/>
              </w:rPr>
              <w:t>Компоненти вимоги</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Знання законодавства</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lang w:eastAsia="en-US"/>
              </w:rPr>
            </w:pPr>
            <w:r>
              <w:rPr>
                <w:color w:val="000000"/>
                <w:sz w:val="28"/>
                <w:szCs w:val="28"/>
                <w:lang w:eastAsia="en-US"/>
              </w:rPr>
              <w:t>Конституція України, Закони України «Про державну службу», «Про запобігання корупції»</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Знання спеціального законодавства, (пов’язане із завданнями та змістом роботи державного службовця)</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jc w:val="both"/>
              <w:rPr>
                <w:color w:val="000000"/>
                <w:sz w:val="28"/>
                <w:szCs w:val="28"/>
                <w:lang w:eastAsia="en-US"/>
              </w:rPr>
            </w:pPr>
            <w:r>
              <w:rPr>
                <w:sz w:val="28"/>
                <w:szCs w:val="28"/>
                <w:lang w:eastAsia="en-US"/>
              </w:rPr>
              <w:t>З</w:t>
            </w:r>
            <w:r w:rsidRPr="00CD6830">
              <w:rPr>
                <w:sz w:val="28"/>
                <w:szCs w:val="28"/>
                <w:lang w:eastAsia="en-US"/>
              </w:rPr>
              <w:t>акони України «Про освіту», «Про вищу освіту», «Про наукову і науково-технічну діяльність», «Про центральні органи виконавчої влади», Положення про Міністерство освіти і науки України, затверджене постановою Кабінету Міністрів України від 16 жовтня 2014 р. № 630.</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Default="00CD6830" w:rsidP="00CF1DF3">
            <w:pPr>
              <w:rPr>
                <w:color w:val="000000"/>
                <w:sz w:val="28"/>
                <w:szCs w:val="28"/>
                <w:lang w:eastAsia="en-US"/>
              </w:rPr>
            </w:pPr>
            <w:r>
              <w:rPr>
                <w:color w:val="000000"/>
                <w:sz w:val="28"/>
                <w:szCs w:val="28"/>
                <w:lang w:eastAsia="en-US"/>
              </w:rPr>
              <w:t>Знання сфери політики</w:t>
            </w:r>
          </w:p>
        </w:tc>
        <w:tc>
          <w:tcPr>
            <w:tcW w:w="6279" w:type="dxa"/>
            <w:tcBorders>
              <w:top w:val="single" w:sz="4" w:space="0" w:color="000000"/>
              <w:left w:val="single" w:sz="4" w:space="0" w:color="000000"/>
              <w:bottom w:val="single" w:sz="4" w:space="0" w:color="000000"/>
              <w:right w:val="single" w:sz="4" w:space="0" w:color="000000"/>
            </w:tcBorders>
          </w:tcPr>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особливості системи вищої освіти України та мережі закладів вищої освіти;</w:t>
            </w:r>
          </w:p>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зміст та наповнення концептів автономії закладів вищої освіти та академічної свободи учасників освітнього процесу;</w:t>
            </w:r>
          </w:p>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інструментарій ефективного управління закладом вищої освіти та освітнім процесом;</w:t>
            </w:r>
          </w:p>
          <w:p w:rsidR="00CD6830" w:rsidRDefault="00CD6830" w:rsidP="00CF1DF3">
            <w:pPr>
              <w:shd w:val="clear" w:color="auto" w:fill="FFFFFF"/>
              <w:jc w:val="both"/>
              <w:rPr>
                <w:color w:val="000000"/>
                <w:sz w:val="28"/>
                <w:szCs w:val="28"/>
                <w:lang w:eastAsia="en-US"/>
              </w:rPr>
            </w:pPr>
            <w:r w:rsidRPr="00CD6830">
              <w:rPr>
                <w:color w:val="000000"/>
                <w:sz w:val="28"/>
                <w:szCs w:val="28"/>
                <w:lang w:eastAsia="en-US"/>
              </w:rPr>
              <w:t>- засади державної політики у сфері вищої освіти та освіти дорослих</w:t>
            </w:r>
          </w:p>
        </w:tc>
      </w:tr>
      <w:tr w:rsidR="00CD6830" w:rsidRPr="00A5057B"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964D97">
            <w:pPr>
              <w:rPr>
                <w:color w:val="000000"/>
                <w:sz w:val="28"/>
                <w:szCs w:val="28"/>
                <w:lang w:eastAsia="en-US"/>
              </w:rPr>
            </w:pPr>
            <w:r w:rsidRPr="00CD6830">
              <w:rPr>
                <w:color w:val="000000"/>
                <w:sz w:val="28"/>
                <w:szCs w:val="28"/>
                <w:lang w:eastAsia="en-US"/>
              </w:rPr>
              <w:t xml:space="preserve">Знання процедур </w:t>
            </w:r>
            <w:r w:rsidRPr="00964D97">
              <w:rPr>
                <w:color w:val="000000"/>
                <w:sz w:val="28"/>
                <w:szCs w:val="28"/>
                <w:lang w:eastAsia="en-US"/>
              </w:rPr>
              <w:t>розроблення проектів актів законодавства</w:t>
            </w:r>
            <w:r w:rsidR="00964D97" w:rsidRPr="00964D97">
              <w:rPr>
                <w:sz w:val="28"/>
                <w:szCs w:val="28"/>
              </w:rPr>
              <w:t xml:space="preserve"> в сфері аналітики, фінансування та міжнародних зв’язків вищої освіти</w:t>
            </w:r>
          </w:p>
        </w:tc>
        <w:tc>
          <w:tcPr>
            <w:tcW w:w="6279" w:type="dxa"/>
            <w:tcBorders>
              <w:top w:val="single" w:sz="4" w:space="0" w:color="000000"/>
              <w:left w:val="single" w:sz="4" w:space="0" w:color="000000"/>
              <w:bottom w:val="single" w:sz="4" w:space="0" w:color="000000"/>
              <w:right w:val="single" w:sz="4" w:space="0" w:color="000000"/>
            </w:tcBorders>
          </w:tcPr>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механізми аналізу та узагальнення практики застосування законодавства;</w:t>
            </w:r>
          </w:p>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xml:space="preserve">- процедури розроблення і погодження проектів документів державної політики та нормативно-правових актів; </w:t>
            </w:r>
          </w:p>
          <w:p w:rsidR="00CD6830" w:rsidRPr="00CD6830" w:rsidRDefault="00CD6830" w:rsidP="00CF1DF3">
            <w:pPr>
              <w:shd w:val="clear" w:color="auto" w:fill="FFFFFF"/>
              <w:jc w:val="both"/>
              <w:rPr>
                <w:color w:val="000000"/>
                <w:sz w:val="28"/>
                <w:szCs w:val="28"/>
                <w:lang w:eastAsia="en-US"/>
              </w:rPr>
            </w:pPr>
            <w:r w:rsidRPr="00CD6830">
              <w:rPr>
                <w:color w:val="000000"/>
                <w:sz w:val="28"/>
                <w:szCs w:val="28"/>
                <w:lang w:eastAsia="en-US"/>
              </w:rPr>
              <w:t>- обґрунтування розрахунків та бюджетування</w:t>
            </w:r>
          </w:p>
        </w:tc>
      </w:tr>
      <w:tr w:rsidR="00CD6830" w:rsidTr="00A5057B">
        <w:tc>
          <w:tcPr>
            <w:tcW w:w="9818" w:type="dxa"/>
            <w:gridSpan w:val="2"/>
            <w:tcBorders>
              <w:top w:val="single" w:sz="4" w:space="0" w:color="000000"/>
              <w:left w:val="single" w:sz="4" w:space="0" w:color="000000"/>
              <w:bottom w:val="single" w:sz="4" w:space="0" w:color="000000"/>
              <w:right w:val="single" w:sz="4" w:space="0" w:color="000000"/>
            </w:tcBorders>
            <w:vAlign w:val="center"/>
            <w:hideMark/>
          </w:tcPr>
          <w:p w:rsidR="00CD6830" w:rsidRDefault="00CD6830" w:rsidP="00CF1DF3">
            <w:pPr>
              <w:jc w:val="center"/>
              <w:rPr>
                <w:color w:val="000000"/>
                <w:sz w:val="28"/>
                <w:szCs w:val="28"/>
                <w:lang w:eastAsia="en-US"/>
              </w:rPr>
            </w:pPr>
            <w:r>
              <w:rPr>
                <w:color w:val="000000"/>
                <w:sz w:val="28"/>
                <w:szCs w:val="28"/>
                <w:lang w:eastAsia="en-US"/>
              </w:rPr>
              <w:t>Вимоги до компетентності</w:t>
            </w:r>
            <w:r>
              <w:rPr>
                <w:color w:val="FF0000"/>
                <w:sz w:val="28"/>
                <w:szCs w:val="28"/>
                <w:lang w:eastAsia="en-US"/>
              </w:rPr>
              <w:t xml:space="preserve"> </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vAlign w:val="center"/>
            <w:hideMark/>
          </w:tcPr>
          <w:p w:rsidR="00CD6830" w:rsidRDefault="00CD6830" w:rsidP="00CF1DF3">
            <w:pPr>
              <w:rPr>
                <w:color w:val="000000"/>
                <w:sz w:val="28"/>
                <w:szCs w:val="28"/>
                <w:lang w:eastAsia="en-US"/>
              </w:rPr>
            </w:pPr>
            <w:r>
              <w:rPr>
                <w:color w:val="000000"/>
                <w:sz w:val="28"/>
                <w:szCs w:val="28"/>
                <w:lang w:eastAsia="en-US"/>
              </w:rPr>
              <w:t xml:space="preserve">         Вимога </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CD6830" w:rsidRDefault="00CD6830" w:rsidP="00CF1DF3">
            <w:pPr>
              <w:jc w:val="center"/>
              <w:rPr>
                <w:color w:val="000000"/>
                <w:sz w:val="28"/>
                <w:szCs w:val="28"/>
                <w:lang w:eastAsia="en-US"/>
              </w:rPr>
            </w:pPr>
            <w:r>
              <w:rPr>
                <w:color w:val="000000"/>
                <w:sz w:val="28"/>
                <w:szCs w:val="28"/>
                <w:lang w:eastAsia="en-US"/>
              </w:rPr>
              <w:t>Компоненти вимоги</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rPr>
                <w:color w:val="000000"/>
                <w:sz w:val="28"/>
                <w:szCs w:val="28"/>
                <w:lang w:eastAsia="en-US"/>
              </w:rPr>
            </w:pPr>
            <w:r w:rsidRPr="00CD6830">
              <w:rPr>
                <w:sz w:val="28"/>
                <w:szCs w:val="28"/>
                <w:lang w:eastAsia="en-US"/>
              </w:rPr>
              <w:t>Ефективність аналізу та висновків</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ind w:firstLine="34"/>
              <w:jc w:val="both"/>
              <w:rPr>
                <w:sz w:val="28"/>
                <w:szCs w:val="28"/>
                <w:lang w:eastAsia="en-US"/>
              </w:rPr>
            </w:pPr>
            <w:r w:rsidRPr="00CD6830">
              <w:rPr>
                <w:sz w:val="28"/>
                <w:szCs w:val="28"/>
                <w:lang w:eastAsia="en-US"/>
              </w:rPr>
              <w:t xml:space="preserve">- здатність ефективно узагальнювати інформацію; </w:t>
            </w:r>
          </w:p>
          <w:p w:rsidR="00CD6830" w:rsidRPr="00CD6830" w:rsidRDefault="00CD6830" w:rsidP="00CF1DF3">
            <w:pPr>
              <w:ind w:firstLine="34"/>
              <w:jc w:val="both"/>
              <w:rPr>
                <w:sz w:val="28"/>
                <w:szCs w:val="28"/>
                <w:lang w:eastAsia="en-US"/>
              </w:rPr>
            </w:pPr>
            <w:r w:rsidRPr="00CD6830">
              <w:rPr>
                <w:sz w:val="28"/>
                <w:szCs w:val="28"/>
                <w:lang w:eastAsia="en-US"/>
              </w:rPr>
              <w:t xml:space="preserve">- здатність встановлювати логічні взаємозв’язки; </w:t>
            </w:r>
          </w:p>
          <w:p w:rsidR="00CD6830" w:rsidRPr="00CD6830" w:rsidRDefault="00CD6830" w:rsidP="00CF1DF3">
            <w:pPr>
              <w:ind w:firstLine="34"/>
              <w:jc w:val="both"/>
              <w:rPr>
                <w:color w:val="000000"/>
                <w:sz w:val="28"/>
                <w:szCs w:val="28"/>
                <w:lang w:eastAsia="en-US"/>
              </w:rPr>
            </w:pPr>
            <w:r w:rsidRPr="00CD6830">
              <w:rPr>
                <w:sz w:val="28"/>
                <w:szCs w:val="28"/>
                <w:lang w:eastAsia="en-US"/>
              </w:rPr>
              <w:t>- здатність робити коректні висновки;</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Комунікація та взаємодія</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вміння ефективно слухати та сприймати думки; </w:t>
            </w:r>
          </w:p>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вміння ефективно дослухатися до думки, чітко висловлюватися (усно та письмово)</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Досягнення результатів</w:t>
            </w:r>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чітке бачення результату; </w:t>
            </w:r>
          </w:p>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сфокусовані зусилля для досягнення результату; </w:t>
            </w:r>
          </w:p>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запобігання та ефективне подолання перешкод</w:t>
            </w:r>
          </w:p>
        </w:tc>
      </w:tr>
      <w:tr w:rsidR="00CD6830" w:rsidTr="00A5057B">
        <w:tc>
          <w:tcPr>
            <w:tcW w:w="353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proofErr w:type="spellStart"/>
            <w:r w:rsidRPr="00CD6830">
              <w:rPr>
                <w:rFonts w:ascii="Times New Roman" w:hAnsi="Times New Roman"/>
                <w:sz w:val="28"/>
                <w:szCs w:val="28"/>
              </w:rPr>
              <w:t>Стресостійкість</w:t>
            </w:r>
            <w:proofErr w:type="spellEnd"/>
          </w:p>
        </w:tc>
        <w:tc>
          <w:tcPr>
            <w:tcW w:w="6279" w:type="dxa"/>
            <w:tcBorders>
              <w:top w:val="single" w:sz="4" w:space="0" w:color="000000"/>
              <w:left w:val="single" w:sz="4" w:space="0" w:color="000000"/>
              <w:bottom w:val="single" w:sz="4" w:space="0" w:color="000000"/>
              <w:right w:val="single" w:sz="4" w:space="0" w:color="000000"/>
            </w:tcBorders>
            <w:hideMark/>
          </w:tcPr>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розуміння своїх емоцій; </w:t>
            </w:r>
          </w:p>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управління своїми емоціями; </w:t>
            </w:r>
          </w:p>
          <w:p w:rsidR="00CD6830" w:rsidRPr="00CD6830" w:rsidRDefault="00CD6830"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оптимізм</w:t>
            </w:r>
          </w:p>
        </w:tc>
      </w:tr>
      <w:tr w:rsidR="00CF1DF3" w:rsidTr="00A5057B">
        <w:tc>
          <w:tcPr>
            <w:tcW w:w="3539" w:type="dxa"/>
            <w:tcBorders>
              <w:top w:val="single" w:sz="4" w:space="0" w:color="000000"/>
              <w:left w:val="single" w:sz="4" w:space="0" w:color="000000"/>
              <w:bottom w:val="single" w:sz="4" w:space="0" w:color="000000"/>
              <w:right w:val="single" w:sz="4" w:space="0" w:color="000000"/>
            </w:tcBorders>
            <w:hideMark/>
          </w:tcPr>
          <w:p w:rsidR="00CF1DF3" w:rsidRPr="00CD6830" w:rsidRDefault="00CF1DF3" w:rsidP="00CF1DF3">
            <w:pPr>
              <w:rPr>
                <w:color w:val="000000"/>
                <w:sz w:val="28"/>
                <w:szCs w:val="28"/>
                <w:lang w:eastAsia="en-US"/>
              </w:rPr>
            </w:pPr>
            <w:r w:rsidRPr="001E6FA7">
              <w:rPr>
                <w:color w:val="000000" w:themeColor="text1"/>
                <w:sz w:val="28"/>
                <w:szCs w:val="28"/>
              </w:rPr>
              <w:t>Аналітичні здібності</w:t>
            </w:r>
          </w:p>
        </w:tc>
        <w:tc>
          <w:tcPr>
            <w:tcW w:w="6279" w:type="dxa"/>
            <w:tcBorders>
              <w:top w:val="single" w:sz="4" w:space="0" w:color="000000"/>
              <w:left w:val="single" w:sz="4" w:space="0" w:color="000000"/>
              <w:bottom w:val="single" w:sz="4" w:space="0" w:color="000000"/>
              <w:right w:val="single" w:sz="4" w:space="0" w:color="000000"/>
            </w:tcBorders>
            <w:hideMark/>
          </w:tcPr>
          <w:p w:rsidR="00CF1DF3" w:rsidRPr="00CF1DF3" w:rsidRDefault="00CF1DF3"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t xml:space="preserve">- </w:t>
            </w:r>
            <w:r w:rsidRPr="00CF1DF3">
              <w:rPr>
                <w:rFonts w:ascii="Times New Roman" w:hAnsi="Times New Roman"/>
                <w:sz w:val="28"/>
                <w:szCs w:val="28"/>
              </w:rPr>
              <w:t xml:space="preserve">логічне мислення, абстрактне мислення; </w:t>
            </w:r>
          </w:p>
          <w:p w:rsidR="00CF1DF3" w:rsidRPr="00CF1DF3" w:rsidRDefault="00CF1DF3" w:rsidP="00CF1DF3">
            <w:pPr>
              <w:pStyle w:val="a4"/>
              <w:widowControl w:val="0"/>
              <w:spacing w:before="0"/>
              <w:ind w:firstLine="0"/>
              <w:rPr>
                <w:rFonts w:ascii="Times New Roman" w:hAnsi="Times New Roman"/>
                <w:sz w:val="28"/>
                <w:szCs w:val="28"/>
              </w:rPr>
            </w:pPr>
            <w:r w:rsidRPr="00CD6830">
              <w:rPr>
                <w:rFonts w:ascii="Times New Roman" w:hAnsi="Times New Roman"/>
                <w:sz w:val="28"/>
                <w:szCs w:val="28"/>
              </w:rPr>
              <w:lastRenderedPageBreak/>
              <w:t xml:space="preserve">- </w:t>
            </w:r>
            <w:r w:rsidRPr="00CF1DF3">
              <w:rPr>
                <w:rFonts w:ascii="Times New Roman" w:hAnsi="Times New Roman"/>
                <w:sz w:val="28"/>
                <w:szCs w:val="28"/>
              </w:rPr>
              <w:t>встановлення причинно-наслідкового зв’язку</w:t>
            </w:r>
          </w:p>
        </w:tc>
      </w:tr>
      <w:tr w:rsidR="00CF1DF3" w:rsidRPr="00CF1DF3" w:rsidTr="00A5057B">
        <w:tc>
          <w:tcPr>
            <w:tcW w:w="3539" w:type="dxa"/>
            <w:tcBorders>
              <w:top w:val="single" w:sz="4" w:space="0" w:color="000000"/>
              <w:left w:val="single" w:sz="4" w:space="0" w:color="000000"/>
              <w:bottom w:val="single" w:sz="4" w:space="0" w:color="000000"/>
              <w:right w:val="single" w:sz="4" w:space="0" w:color="000000"/>
            </w:tcBorders>
            <w:hideMark/>
          </w:tcPr>
          <w:p w:rsidR="00CF1DF3" w:rsidRPr="00CF1DF3" w:rsidRDefault="00CF1DF3" w:rsidP="00CF1DF3">
            <w:pPr>
              <w:rPr>
                <w:color w:val="000000" w:themeColor="text1"/>
                <w:sz w:val="28"/>
                <w:szCs w:val="28"/>
              </w:rPr>
            </w:pPr>
            <w:r w:rsidRPr="00CF1DF3">
              <w:rPr>
                <w:color w:val="000000" w:themeColor="text1"/>
                <w:sz w:val="28"/>
                <w:szCs w:val="28"/>
              </w:rPr>
              <w:lastRenderedPageBreak/>
              <w:t>Числове мислення</w:t>
            </w:r>
          </w:p>
        </w:tc>
        <w:tc>
          <w:tcPr>
            <w:tcW w:w="6279" w:type="dxa"/>
            <w:tcBorders>
              <w:top w:val="single" w:sz="4" w:space="0" w:color="000000"/>
              <w:left w:val="single" w:sz="4" w:space="0" w:color="000000"/>
              <w:bottom w:val="single" w:sz="4" w:space="0" w:color="000000"/>
              <w:right w:val="single" w:sz="4" w:space="0" w:color="000000"/>
            </w:tcBorders>
            <w:hideMark/>
          </w:tcPr>
          <w:p w:rsidR="00CF1DF3" w:rsidRPr="00CF1DF3" w:rsidRDefault="00CF1DF3" w:rsidP="00CF1DF3">
            <w:pPr>
              <w:rPr>
                <w:color w:val="000000" w:themeColor="text1"/>
                <w:sz w:val="28"/>
                <w:szCs w:val="28"/>
              </w:rPr>
            </w:pPr>
            <w:r w:rsidRPr="00CD6830">
              <w:rPr>
                <w:sz w:val="28"/>
                <w:szCs w:val="28"/>
              </w:rPr>
              <w:t xml:space="preserve">- </w:t>
            </w:r>
            <w:r w:rsidRPr="00CF1DF3">
              <w:rPr>
                <w:color w:val="000000" w:themeColor="text1"/>
                <w:sz w:val="28"/>
                <w:szCs w:val="28"/>
              </w:rPr>
              <w:t>здатність розуміти та працювати з числовою інформацією</w:t>
            </w:r>
          </w:p>
        </w:tc>
      </w:tr>
    </w:tbl>
    <w:p w:rsidR="009F7337" w:rsidRDefault="009F7337" w:rsidP="00CF1DF3">
      <w:pPr>
        <w:rPr>
          <w:color w:val="000000"/>
          <w:sz w:val="28"/>
          <w:szCs w:val="28"/>
        </w:rPr>
      </w:pPr>
    </w:p>
    <w:p w:rsidR="009F7337" w:rsidRDefault="009F7337" w:rsidP="00CF1DF3">
      <w:pPr>
        <w:rPr>
          <w:color w:val="000000"/>
          <w:sz w:val="28"/>
          <w:szCs w:val="28"/>
        </w:rPr>
      </w:pPr>
    </w:p>
    <w:p w:rsidR="00CF1DF3" w:rsidRDefault="00CF1DF3" w:rsidP="00CF1DF3">
      <w:pPr>
        <w:rPr>
          <w:color w:val="000000"/>
          <w:sz w:val="28"/>
          <w:szCs w:val="28"/>
        </w:rPr>
      </w:pPr>
    </w:p>
    <w:p w:rsidR="00CF1DF3" w:rsidRDefault="00CF1DF3" w:rsidP="00CF1DF3">
      <w:pPr>
        <w:rPr>
          <w:color w:val="000000"/>
          <w:sz w:val="28"/>
          <w:szCs w:val="28"/>
        </w:rPr>
      </w:pPr>
    </w:p>
    <w:sectPr w:rsidR="00CF1DF3" w:rsidSect="002D117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2C10"/>
    <w:multiLevelType w:val="hybridMultilevel"/>
    <w:tmpl w:val="503A3352"/>
    <w:lvl w:ilvl="0" w:tplc="35A43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0C"/>
    <w:rsid w:val="0001263A"/>
    <w:rsid w:val="00042F12"/>
    <w:rsid w:val="00136FFC"/>
    <w:rsid w:val="001616D2"/>
    <w:rsid w:val="00170C82"/>
    <w:rsid w:val="001A04F0"/>
    <w:rsid w:val="002052E9"/>
    <w:rsid w:val="002D1175"/>
    <w:rsid w:val="003279D5"/>
    <w:rsid w:val="00352163"/>
    <w:rsid w:val="003B0FBC"/>
    <w:rsid w:val="00441D0C"/>
    <w:rsid w:val="00463FCB"/>
    <w:rsid w:val="004D3657"/>
    <w:rsid w:val="005125C9"/>
    <w:rsid w:val="005C0144"/>
    <w:rsid w:val="00603065"/>
    <w:rsid w:val="00684277"/>
    <w:rsid w:val="00693017"/>
    <w:rsid w:val="007164EA"/>
    <w:rsid w:val="00760798"/>
    <w:rsid w:val="00777A81"/>
    <w:rsid w:val="00781460"/>
    <w:rsid w:val="008117C6"/>
    <w:rsid w:val="008C4899"/>
    <w:rsid w:val="00964D97"/>
    <w:rsid w:val="009E0FAC"/>
    <w:rsid w:val="009F7337"/>
    <w:rsid w:val="00A2452F"/>
    <w:rsid w:val="00A5057B"/>
    <w:rsid w:val="00A61527"/>
    <w:rsid w:val="00B010E6"/>
    <w:rsid w:val="00B51BE6"/>
    <w:rsid w:val="00B67B51"/>
    <w:rsid w:val="00BE424E"/>
    <w:rsid w:val="00C8265A"/>
    <w:rsid w:val="00CA4350"/>
    <w:rsid w:val="00CD6830"/>
    <w:rsid w:val="00CE41DF"/>
    <w:rsid w:val="00CE679F"/>
    <w:rsid w:val="00CF1DF3"/>
    <w:rsid w:val="00D6003D"/>
    <w:rsid w:val="00D905E6"/>
    <w:rsid w:val="00D918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DC28"/>
  <w15:chartTrackingRefBased/>
  <w15:docId w15:val="{2CEC3BFF-E5FD-42CA-89EA-F62555B7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37"/>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337"/>
    <w:rPr>
      <w:color w:val="0563C1" w:themeColor="hyperlink"/>
      <w:u w:val="single"/>
    </w:rPr>
  </w:style>
  <w:style w:type="paragraph" w:customStyle="1" w:styleId="a4">
    <w:name w:val="Нормальний текст"/>
    <w:basedOn w:val="a"/>
    <w:rsid w:val="009F7337"/>
    <w:pPr>
      <w:spacing w:before="120"/>
      <w:ind w:firstLine="567"/>
    </w:pPr>
    <w:rPr>
      <w:rFonts w:ascii="Antiqua" w:hAnsi="Antiqua"/>
      <w:sz w:val="26"/>
      <w:lang w:eastAsia="ru-RU"/>
    </w:rPr>
  </w:style>
  <w:style w:type="table" w:styleId="a5">
    <w:name w:val="Table Grid"/>
    <w:basedOn w:val="a1"/>
    <w:uiPriority w:val="39"/>
    <w:rsid w:val="002D117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_"/>
    <w:basedOn w:val="a0"/>
    <w:link w:val="1"/>
    <w:rsid w:val="00CD6830"/>
    <w:rPr>
      <w:rFonts w:eastAsia="Times New Roman" w:cs="Times New Roman"/>
      <w:szCs w:val="28"/>
      <w:shd w:val="clear" w:color="auto" w:fill="FFFFFF"/>
    </w:rPr>
  </w:style>
  <w:style w:type="paragraph" w:customStyle="1" w:styleId="1">
    <w:name w:val="Основний текст1"/>
    <w:basedOn w:val="a"/>
    <w:link w:val="a6"/>
    <w:rsid w:val="00CD6830"/>
    <w:pPr>
      <w:shd w:val="clear" w:color="auto" w:fill="FFFFFF"/>
      <w:spacing w:after="60" w:line="0" w:lineRule="atLeast"/>
    </w:pPr>
    <w:rPr>
      <w:rFonts w:asciiTheme="minorHAnsi" w:hAnsiTheme="minorHAnsi"/>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5749</Words>
  <Characters>3278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Nastenko S.L.</cp:lastModifiedBy>
  <cp:revision>11</cp:revision>
  <dcterms:created xsi:type="dcterms:W3CDTF">2020-02-07T13:41:00Z</dcterms:created>
  <dcterms:modified xsi:type="dcterms:W3CDTF">2020-02-13T14:10:00Z</dcterms:modified>
</cp:coreProperties>
</file>