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3D4" w:rsidRDefault="00E943D4">
      <w:pPr>
        <w:ind w:left="4961"/>
        <w:rPr>
          <w:sz w:val="28"/>
          <w:szCs w:val="28"/>
        </w:rPr>
      </w:pPr>
    </w:p>
    <w:p w:rsidR="00E943D4" w:rsidRPr="000E64BD" w:rsidRDefault="006454F7">
      <w:pPr>
        <w:ind w:left="5527"/>
        <w:rPr>
          <w:sz w:val="28"/>
          <w:szCs w:val="28"/>
        </w:rPr>
      </w:pPr>
      <w:r w:rsidRPr="000E64BD">
        <w:rPr>
          <w:sz w:val="28"/>
          <w:szCs w:val="28"/>
        </w:rPr>
        <w:t xml:space="preserve">ЗАТВЕРДЖЕНО </w:t>
      </w:r>
    </w:p>
    <w:p w:rsidR="00E943D4" w:rsidRPr="000E64BD" w:rsidRDefault="006454F7">
      <w:pPr>
        <w:ind w:left="5527"/>
        <w:rPr>
          <w:sz w:val="28"/>
          <w:szCs w:val="28"/>
        </w:rPr>
      </w:pPr>
      <w:r w:rsidRPr="000E64BD">
        <w:rPr>
          <w:sz w:val="28"/>
          <w:szCs w:val="28"/>
        </w:rPr>
        <w:t xml:space="preserve">Наказ Міністерства освіти і науки </w:t>
      </w:r>
    </w:p>
    <w:p w:rsidR="00E943D4" w:rsidRPr="000E64BD" w:rsidRDefault="006454F7">
      <w:pPr>
        <w:ind w:left="5527"/>
        <w:rPr>
          <w:sz w:val="28"/>
          <w:szCs w:val="28"/>
        </w:rPr>
      </w:pPr>
      <w:r w:rsidRPr="000E64BD">
        <w:rPr>
          <w:sz w:val="28"/>
          <w:szCs w:val="28"/>
        </w:rPr>
        <w:t>Укр</w:t>
      </w:r>
      <w:r w:rsidR="0079285C">
        <w:rPr>
          <w:sz w:val="28"/>
          <w:szCs w:val="28"/>
        </w:rPr>
        <w:t xml:space="preserve">аїни від  </w:t>
      </w:r>
      <w:r w:rsidR="0079285C">
        <w:rPr>
          <w:rFonts w:eastAsia="Calibri"/>
          <w:sz w:val="28"/>
          <w:szCs w:val="28"/>
          <w:lang w:val="ru-RU"/>
        </w:rPr>
        <w:t xml:space="preserve">13.02.2020    №   35-а    </w:t>
      </w:r>
      <w:bookmarkStart w:id="0" w:name="_GoBack"/>
      <w:bookmarkEnd w:id="0"/>
      <w:r w:rsidR="0079285C">
        <w:rPr>
          <w:sz w:val="28"/>
          <w:szCs w:val="28"/>
        </w:rPr>
        <w:t xml:space="preserve">             </w:t>
      </w:r>
    </w:p>
    <w:p w:rsidR="00E943D4" w:rsidRPr="000E64BD" w:rsidRDefault="006454F7">
      <w:pPr>
        <w:keepNext/>
        <w:keepLines/>
        <w:spacing w:before="120" w:after="120"/>
        <w:jc w:val="center"/>
        <w:rPr>
          <w:color w:val="000000"/>
          <w:sz w:val="28"/>
          <w:szCs w:val="28"/>
        </w:rPr>
      </w:pPr>
      <w:r w:rsidRPr="000E64BD">
        <w:rPr>
          <w:color w:val="000000"/>
          <w:sz w:val="28"/>
          <w:szCs w:val="28"/>
        </w:rPr>
        <w:t xml:space="preserve">УМОВИ </w:t>
      </w:r>
      <w:r w:rsidRPr="000E64BD">
        <w:rPr>
          <w:color w:val="000000"/>
          <w:sz w:val="28"/>
          <w:szCs w:val="28"/>
        </w:rPr>
        <w:br/>
        <w:t xml:space="preserve">проведення конкурсу </w:t>
      </w:r>
    </w:p>
    <w:tbl>
      <w:tblPr>
        <w:tblStyle w:val="a5"/>
        <w:tblW w:w="98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0"/>
        <w:gridCol w:w="6255"/>
      </w:tblGrid>
      <w:tr w:rsidR="00E943D4" w:rsidRPr="000E64BD">
        <w:trPr>
          <w:trHeight w:val="68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Найменування і місцезнаходження державного органу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 xml:space="preserve">Міністерство освіти і науки України, 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Проспект Перемоги, 10</w:t>
            </w:r>
          </w:p>
        </w:tc>
      </w:tr>
      <w:tr w:rsidR="00E943D4" w:rsidRPr="000E64BD">
        <w:trPr>
          <w:trHeight w:val="68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Назва посади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Керівник експертної групи з аналітики</w:t>
            </w:r>
            <w:r w:rsidRPr="000E64BD">
              <w:rPr>
                <w:sz w:val="28"/>
                <w:szCs w:val="28"/>
              </w:rPr>
              <w:t xml:space="preserve"> </w:t>
            </w:r>
            <w:r w:rsidRPr="000E64BD">
              <w:rPr>
                <w:color w:val="000000"/>
                <w:sz w:val="28"/>
                <w:szCs w:val="28"/>
              </w:rPr>
              <w:t xml:space="preserve">директорату стратегічного планування та європейської інтеграції Міністерства освіти і науки України </w:t>
            </w:r>
          </w:p>
        </w:tc>
      </w:tr>
      <w:tr w:rsidR="00E943D4" w:rsidRPr="000E64BD">
        <w:trPr>
          <w:trHeight w:val="68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 xml:space="preserve">Посадові обов’язки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Посадові обов’язки пов’язані із аналітичним супроводом формування та реалізації державних політик у сферах освіти та науки, аналітичним забезпеченням прийняття управлінських рішень, зокрема: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аналітичний супровід стратегічного планування та координації політик у сферах освіти і науки;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аналіз державної політики - виявлення та вивчення проблем політики та їх причин, розроблення варіантів політики;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моніторинг та оцінка державних політик, надання пропозицій щодо методів, інструментів та індикаторів проведення моніторингу та оцінки державних політик;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  <w:shd w:val="clear" w:color="auto" w:fill="93C47D"/>
              </w:rPr>
            </w:pPr>
            <w:r w:rsidRPr="000E64BD">
              <w:rPr>
                <w:sz w:val="28"/>
                <w:szCs w:val="28"/>
              </w:rPr>
              <w:t>- участь у процесі стратегічного планування діяльності Міністерства, розроблення пропозицій щодо визначення стратегії державної політики у сферах освіти і науки, формування цілей і пріоритетів діяльності Міністерства та показників ефективності їх реалізації;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розроблення аналітичних документів з питань, проблем та напрямів державної політики в межах компетенції Міністерства для забезпечення прийняття управлінських рішень;</w:t>
            </w:r>
          </w:p>
          <w:p w:rsidR="00E943D4" w:rsidRPr="000E64BD" w:rsidRDefault="006454F7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аналіз зарубіжного досвіду у сферах освіти, науки та інновацій для його можливого врахування при розробленні Міністерством державних політик у цих сферах.</w:t>
            </w:r>
          </w:p>
        </w:tc>
      </w:tr>
      <w:tr w:rsidR="00E943D4" w:rsidRPr="000E64BD">
        <w:trPr>
          <w:trHeight w:val="10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 xml:space="preserve">Умови оплати праці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4BD" w:rsidRDefault="000E64BD" w:rsidP="000E64BD">
            <w:pPr>
              <w:widowControl w:val="0"/>
              <w:ind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посадовий оклад – 13600 грн.;</w:t>
            </w:r>
          </w:p>
          <w:p w:rsidR="000E64BD" w:rsidRDefault="000E64BD" w:rsidP="000E64B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виконання особливо важливої роботи – 33200 грн. (на період випробування встановлюється в розмірі 50 %);</w:t>
            </w:r>
          </w:p>
          <w:p w:rsidR="000E64BD" w:rsidRDefault="000E64BD" w:rsidP="000E64BD">
            <w:pPr>
              <w:widowControl w:val="0"/>
              <w:ind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надбавка за ранг державного службовця – 500 – </w:t>
            </w:r>
            <w:r>
              <w:rPr>
                <w:sz w:val="28"/>
                <w:szCs w:val="28"/>
              </w:rPr>
              <w:lastRenderedPageBreak/>
              <w:t xml:space="preserve">800 грн.; </w:t>
            </w:r>
          </w:p>
          <w:p w:rsidR="000E64BD" w:rsidRDefault="000E64BD" w:rsidP="000E64BD">
            <w:pPr>
              <w:widowControl w:val="0"/>
              <w:ind w:right="1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E943D4" w:rsidRPr="000E64BD" w:rsidRDefault="000E64BD" w:rsidP="000E64B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виплати, премії – у разі встановлення</w:t>
            </w:r>
          </w:p>
        </w:tc>
      </w:tr>
      <w:tr w:rsidR="00E943D4" w:rsidRPr="000E64BD">
        <w:tc>
          <w:tcPr>
            <w:tcW w:w="9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jc w:val="center"/>
              <w:rPr>
                <w:color w:val="000000"/>
                <w:sz w:val="28"/>
                <w:szCs w:val="28"/>
              </w:rPr>
            </w:pPr>
            <w:bookmarkStart w:id="1" w:name="gjdgxs" w:colFirst="0" w:colLast="0"/>
            <w:bookmarkEnd w:id="1"/>
            <w:r w:rsidRPr="000E64BD">
              <w:rPr>
                <w:color w:val="000000"/>
                <w:sz w:val="28"/>
                <w:szCs w:val="28"/>
              </w:rPr>
              <w:lastRenderedPageBreak/>
              <w:t>Кваліфікаційні вимоги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наявність вищої освіти ступеня не нижче  магістра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Досвід роботи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E943D4" w:rsidRPr="000E64BD" w:rsidTr="001B2B74">
        <w:trPr>
          <w:trHeight w:val="77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 w:rsidP="001B2B74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вільне володіння державною мовою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jc w:val="both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безстроково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 прізвище, ім’я, по батькові кандидата;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 реквізити документа, що посвідчує особу та підтверджує громадянство України;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 підтвердження наявності відповідного ступеня вищої освіти;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 підтвердження рівня вільного володіння державною мовою;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3) заяву, в якій повідомляє, що до неї не застосовуються заборони, визначені </w:t>
            </w:r>
            <w:hyperlink r:id="rId4" w:anchor="n13">
              <w:r w:rsidRPr="000E64BD">
                <w:rPr>
                  <w:color w:val="0563C1"/>
                  <w:sz w:val="28"/>
                  <w:szCs w:val="28"/>
                  <w:u w:val="single"/>
                </w:rPr>
                <w:t>частиною третьою</w:t>
              </w:r>
            </w:hyperlink>
            <w:r w:rsidRPr="000E64BD">
              <w:rPr>
                <w:sz w:val="28"/>
                <w:szCs w:val="28"/>
              </w:rPr>
              <w:t xml:space="preserve"> або </w:t>
            </w:r>
            <w:hyperlink r:id="rId5" w:anchor="n14">
              <w:r w:rsidRPr="000E64BD">
                <w:rPr>
                  <w:color w:val="0563C1"/>
                  <w:sz w:val="28"/>
                  <w:szCs w:val="28"/>
                  <w:u w:val="single"/>
                </w:rPr>
                <w:t>четвертою</w:t>
              </w:r>
            </w:hyperlink>
            <w:r w:rsidRPr="000E64BD">
              <w:rPr>
                <w:sz w:val="28"/>
                <w:szCs w:val="28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lastRenderedPageBreak/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0E64BD">
              <w:rPr>
                <w:sz w:val="28"/>
                <w:szCs w:val="28"/>
              </w:rPr>
              <w:t>компетентностей</w:t>
            </w:r>
            <w:proofErr w:type="spellEnd"/>
            <w:r w:rsidRPr="000E64BD">
              <w:rPr>
                <w:sz w:val="28"/>
                <w:szCs w:val="28"/>
              </w:rPr>
              <w:t>, репутації (характеристики, рекомендації, наукові публікації тощо.</w:t>
            </w:r>
            <w:r w:rsidRPr="000E64BD">
              <w:rPr>
                <w:sz w:val="28"/>
                <w:szCs w:val="28"/>
              </w:rPr>
              <w:br/>
            </w:r>
          </w:p>
          <w:p w:rsidR="00E943D4" w:rsidRPr="000E64BD" w:rsidRDefault="006454F7" w:rsidP="00102E63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Документи приймаються до </w:t>
            </w:r>
            <w:r w:rsidR="00102E63">
              <w:rPr>
                <w:sz w:val="28"/>
                <w:szCs w:val="28"/>
              </w:rPr>
              <w:t>25.02.2020</w:t>
            </w:r>
            <w:r w:rsidRPr="000E64BD">
              <w:rPr>
                <w:sz w:val="28"/>
                <w:szCs w:val="28"/>
              </w:rPr>
              <w:t xml:space="preserve"> року 18:00 год. за адресою м. Київ, проспект Перемоги, 10  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Дата і місце початку проведення конкурсу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102E63" w:rsidRDefault="006454F7">
            <w:pPr>
              <w:jc w:val="both"/>
              <w:rPr>
                <w:sz w:val="28"/>
                <w:szCs w:val="28"/>
              </w:rPr>
            </w:pPr>
            <w:r w:rsidRPr="00102E63">
              <w:rPr>
                <w:sz w:val="28"/>
                <w:szCs w:val="28"/>
              </w:rPr>
              <w:t xml:space="preserve">м. Київ, вул. Прорізна 15 </w:t>
            </w:r>
          </w:p>
          <w:p w:rsidR="00E943D4" w:rsidRPr="000E64BD" w:rsidRDefault="005C7EBF" w:rsidP="005C7E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6454F7" w:rsidRPr="00102E63">
              <w:rPr>
                <w:sz w:val="28"/>
                <w:szCs w:val="28"/>
              </w:rPr>
              <w:t>.</w:t>
            </w:r>
            <w:r w:rsidR="00102E63" w:rsidRPr="00102E63">
              <w:rPr>
                <w:sz w:val="28"/>
                <w:szCs w:val="28"/>
              </w:rPr>
              <w:t>03</w:t>
            </w:r>
            <w:r w:rsidR="006454F7" w:rsidRPr="00102E63">
              <w:rPr>
                <w:sz w:val="28"/>
                <w:szCs w:val="28"/>
              </w:rPr>
              <w:t>.20</w:t>
            </w:r>
            <w:r w:rsidR="00102E63" w:rsidRPr="00102E63">
              <w:rPr>
                <w:sz w:val="28"/>
                <w:szCs w:val="28"/>
              </w:rPr>
              <w:t>20</w:t>
            </w:r>
            <w:r w:rsidR="006454F7" w:rsidRPr="00102E63">
              <w:rPr>
                <w:sz w:val="28"/>
                <w:szCs w:val="28"/>
              </w:rPr>
              <w:t xml:space="preserve"> року о 10:00.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jc w:val="both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Настенко Світлана Леонідівна</w:t>
            </w:r>
          </w:p>
          <w:p w:rsidR="00E943D4" w:rsidRPr="000E64BD" w:rsidRDefault="006454F7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E64BD">
              <w:rPr>
                <w:color w:val="000000"/>
                <w:sz w:val="28"/>
                <w:szCs w:val="28"/>
              </w:rPr>
              <w:t>Тел</w:t>
            </w:r>
            <w:proofErr w:type="spellEnd"/>
            <w:r w:rsidRPr="000E64BD">
              <w:rPr>
                <w:color w:val="000000"/>
                <w:sz w:val="28"/>
                <w:szCs w:val="28"/>
              </w:rPr>
              <w:t>. 481-32-70</w:t>
            </w:r>
          </w:p>
          <w:p w:rsidR="00E943D4" w:rsidRPr="000E64BD" w:rsidRDefault="006454F7">
            <w:pPr>
              <w:jc w:val="both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e-</w:t>
            </w:r>
            <w:proofErr w:type="spellStart"/>
            <w:r w:rsidRPr="000E64BD">
              <w:rPr>
                <w:color w:val="000000"/>
                <w:sz w:val="28"/>
                <w:szCs w:val="28"/>
              </w:rPr>
              <w:t>mail</w:t>
            </w:r>
            <w:proofErr w:type="spellEnd"/>
            <w:r w:rsidRPr="000E64BD">
              <w:rPr>
                <w:color w:val="000000"/>
                <w:sz w:val="28"/>
                <w:szCs w:val="28"/>
              </w:rPr>
              <w:t>: nastenko@mon.gov.ua</w:t>
            </w:r>
          </w:p>
        </w:tc>
      </w:tr>
      <w:tr w:rsidR="00E943D4" w:rsidRPr="000E64BD">
        <w:tc>
          <w:tcPr>
            <w:tcW w:w="9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jc w:val="center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Професійні знання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jc w:val="center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Вимога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jc w:val="center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Знання законодавства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548DD4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E943D4" w:rsidRPr="000E64BD">
        <w:tc>
          <w:tcPr>
            <w:tcW w:w="3570" w:type="dxa"/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55" w:type="dxa"/>
          </w:tcPr>
          <w:p w:rsidR="00E943D4" w:rsidRPr="000E64BD" w:rsidRDefault="006454F7">
            <w:pPr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Закон України «Про освіту»;</w:t>
            </w:r>
          </w:p>
          <w:p w:rsidR="00E943D4" w:rsidRPr="000E64BD" w:rsidRDefault="006454F7">
            <w:pPr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Закон України «Про наукову і науково-технічну діяльність»;</w:t>
            </w:r>
          </w:p>
          <w:p w:rsidR="00E943D4" w:rsidRPr="000E64BD" w:rsidRDefault="006454F7">
            <w:pPr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Положення про Міністерство освіти і науки України;</w:t>
            </w:r>
          </w:p>
          <w:p w:rsidR="00E943D4" w:rsidRPr="000E64BD" w:rsidRDefault="006454F7">
            <w:pPr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Закон України «Про центральні органи виконавчої влади»;</w:t>
            </w:r>
          </w:p>
          <w:p w:rsidR="00E943D4" w:rsidRPr="000E64BD" w:rsidRDefault="006454F7">
            <w:pPr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Угода про асоціацію між Україною та Європейським Союзом</w:t>
            </w:r>
          </w:p>
        </w:tc>
      </w:tr>
      <w:tr w:rsidR="00E943D4" w:rsidRPr="000E64BD">
        <w:tc>
          <w:tcPr>
            <w:tcW w:w="3570" w:type="dxa"/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Знання сфери політики</w:t>
            </w:r>
          </w:p>
        </w:tc>
        <w:tc>
          <w:tcPr>
            <w:tcW w:w="6255" w:type="dxa"/>
          </w:tcPr>
          <w:p w:rsidR="00E943D4" w:rsidRPr="000E64BD" w:rsidRDefault="006454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особливості формування та реалізації державних політик у сфері освіти, науки та інновацій;</w:t>
            </w:r>
          </w:p>
          <w:p w:rsidR="00E943D4" w:rsidRPr="000E64BD" w:rsidRDefault="006454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цикл державної політики;</w:t>
            </w:r>
          </w:p>
          <w:p w:rsidR="00E943D4" w:rsidRPr="000E64BD" w:rsidRDefault="006454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аналіз державної політики, етапи аналізу політики</w:t>
            </w:r>
          </w:p>
        </w:tc>
      </w:tr>
      <w:tr w:rsidR="00E943D4" w:rsidRPr="000E64BD">
        <w:tc>
          <w:tcPr>
            <w:tcW w:w="3570" w:type="dxa"/>
          </w:tcPr>
          <w:p w:rsidR="00E943D4" w:rsidRPr="000E64BD" w:rsidRDefault="006454F7">
            <w:pPr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Знання інструментарію аналізу державної політики</w:t>
            </w:r>
          </w:p>
        </w:tc>
        <w:tc>
          <w:tcPr>
            <w:tcW w:w="6255" w:type="dxa"/>
          </w:tcPr>
          <w:p w:rsidR="00E943D4" w:rsidRPr="000E64BD" w:rsidRDefault="006454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інструменти та процедури аналізу, стратегічного прогнозування і планування;</w:t>
            </w:r>
          </w:p>
          <w:p w:rsidR="00E943D4" w:rsidRPr="000E64BD" w:rsidRDefault="006454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 xml:space="preserve">- основи </w:t>
            </w:r>
            <w:proofErr w:type="spellStart"/>
            <w:r w:rsidRPr="000E64BD">
              <w:rPr>
                <w:sz w:val="28"/>
                <w:szCs w:val="28"/>
              </w:rPr>
              <w:t>проєктного</w:t>
            </w:r>
            <w:proofErr w:type="spellEnd"/>
            <w:r w:rsidRPr="000E64BD">
              <w:rPr>
                <w:sz w:val="28"/>
                <w:szCs w:val="28"/>
              </w:rPr>
              <w:t xml:space="preserve"> менеджменту;</w:t>
            </w:r>
          </w:p>
          <w:p w:rsidR="00E943D4" w:rsidRDefault="006454F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E64BD">
              <w:rPr>
                <w:sz w:val="28"/>
                <w:szCs w:val="28"/>
              </w:rPr>
              <w:t>- розроблення аналітичних документів</w:t>
            </w:r>
          </w:p>
          <w:p w:rsidR="00102E63" w:rsidRPr="000E64BD" w:rsidRDefault="00102E63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E943D4" w:rsidRPr="000E64BD">
        <w:tc>
          <w:tcPr>
            <w:tcW w:w="9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3D4" w:rsidRPr="000E64BD" w:rsidRDefault="006454F7">
            <w:pPr>
              <w:jc w:val="center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lastRenderedPageBreak/>
              <w:t>Вимоги до компетентності</w:t>
            </w:r>
            <w:r w:rsidRPr="000E64BD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43D4" w:rsidRPr="000E64BD" w:rsidRDefault="006454F7">
            <w:pPr>
              <w:jc w:val="center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Концептуальне та інноваційне мислення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здатність сприймати інформацію та мислити концептуально;</w:t>
            </w:r>
            <w:r w:rsidRPr="000E64BD">
              <w:rPr>
                <w:color w:val="000000"/>
                <w:sz w:val="28"/>
                <w:szCs w:val="28"/>
              </w:rPr>
              <w:br/>
              <w:t>- здатність формувати закінчені (оформлені) пропозиції;</w:t>
            </w:r>
            <w:r w:rsidRPr="000E64BD">
              <w:rPr>
                <w:color w:val="000000"/>
                <w:sz w:val="28"/>
                <w:szCs w:val="28"/>
              </w:rPr>
              <w:br/>
              <w:t>- здатність формувати нові/інноваційні ідеї та підходи;</w:t>
            </w:r>
            <w:r w:rsidRPr="000E64BD">
              <w:rPr>
                <w:color w:val="000000"/>
                <w:sz w:val="28"/>
                <w:szCs w:val="28"/>
              </w:rPr>
              <w:br/>
              <w:t>- здатність здійснювати гендерний аналіз в процесі підготовки (оформлення) пропозицій та рішень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Управління організацією роботи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чітке бачення цілі;</w:t>
            </w:r>
            <w:r w:rsidRPr="000E64BD">
              <w:rPr>
                <w:color w:val="000000"/>
                <w:sz w:val="28"/>
                <w:szCs w:val="28"/>
              </w:rPr>
              <w:br/>
              <w:t>- ефективне управління ресурсами;</w:t>
            </w:r>
            <w:r w:rsidRPr="000E64BD">
              <w:rPr>
                <w:color w:val="000000"/>
                <w:sz w:val="28"/>
                <w:szCs w:val="28"/>
              </w:rPr>
              <w:br/>
              <w:t>- чітке планування реалізації;</w:t>
            </w:r>
            <w:r w:rsidRPr="000E64BD">
              <w:rPr>
                <w:color w:val="000000"/>
                <w:sz w:val="28"/>
                <w:szCs w:val="28"/>
              </w:rPr>
              <w:br/>
              <w:t>- ефективне формування та управління процесами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Управління персоналом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делегування та управління результатами;</w:t>
            </w:r>
            <w:r w:rsidRPr="000E64BD">
              <w:rPr>
                <w:color w:val="000000"/>
                <w:sz w:val="28"/>
                <w:szCs w:val="28"/>
              </w:rPr>
              <w:br/>
              <w:t>- управління мотивацією;</w:t>
            </w:r>
            <w:r w:rsidRPr="000E64BD">
              <w:rPr>
                <w:color w:val="000000"/>
                <w:sz w:val="28"/>
                <w:szCs w:val="28"/>
              </w:rPr>
              <w:br/>
              <w:t>- наставництво та розвиток талантів;</w:t>
            </w:r>
            <w:r w:rsidRPr="000E64BD">
              <w:rPr>
                <w:color w:val="000000"/>
                <w:sz w:val="28"/>
                <w:szCs w:val="28"/>
              </w:rPr>
              <w:br/>
              <w:t>- стимулювання командної роботи та співробітництва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вміння дослухатися до думки;</w:t>
            </w:r>
            <w:r w:rsidRPr="000E64BD">
              <w:rPr>
                <w:color w:val="000000"/>
                <w:sz w:val="28"/>
                <w:szCs w:val="28"/>
              </w:rPr>
              <w:br/>
              <w:t>- вміння викладати свою думку, чітко висловлюватися (усно та письмово), переконувати;</w:t>
            </w:r>
            <w:r w:rsidRPr="000E64BD">
              <w:rPr>
                <w:color w:val="000000"/>
                <w:sz w:val="28"/>
                <w:szCs w:val="28"/>
              </w:rPr>
              <w:br/>
              <w:t>- вміння виступати перед аудиторією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proofErr w:type="spellStart"/>
            <w:r w:rsidRPr="000E64BD">
              <w:rPr>
                <w:color w:val="000000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розуміння своїх емоцій;</w:t>
            </w:r>
            <w:r w:rsidRPr="000E64BD">
              <w:rPr>
                <w:color w:val="000000"/>
                <w:sz w:val="28"/>
                <w:szCs w:val="28"/>
              </w:rPr>
              <w:br/>
              <w:t>- управління своїми емоціями;</w:t>
            </w:r>
            <w:r w:rsidRPr="000E64BD">
              <w:rPr>
                <w:color w:val="000000"/>
                <w:sz w:val="28"/>
                <w:szCs w:val="28"/>
              </w:rPr>
              <w:br/>
              <w:t>- оптимізм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Абстрактне мислення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здатність до логічного мислення;</w:t>
            </w:r>
          </w:p>
          <w:p w:rsidR="00E943D4" w:rsidRPr="000E64BD" w:rsidRDefault="006454F7">
            <w:pPr>
              <w:widowControl w:val="0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вміння встановлювати причинно-наслідкові зв’язки</w:t>
            </w:r>
          </w:p>
        </w:tc>
      </w:tr>
      <w:tr w:rsidR="00E943D4" w:rsidRPr="000E64BD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Вербальне мислення</w:t>
            </w:r>
          </w:p>
        </w:tc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D4" w:rsidRPr="000E64BD" w:rsidRDefault="006454F7">
            <w:pPr>
              <w:widowControl w:val="0"/>
              <w:rPr>
                <w:color w:val="000000"/>
                <w:sz w:val="28"/>
                <w:szCs w:val="28"/>
              </w:rPr>
            </w:pPr>
            <w:r w:rsidRPr="000E64BD">
              <w:rPr>
                <w:color w:val="000000"/>
                <w:sz w:val="28"/>
                <w:szCs w:val="28"/>
              </w:rPr>
              <w:t>- здатність розуміти та працювати з текстовою інформацією</w:t>
            </w:r>
          </w:p>
        </w:tc>
      </w:tr>
    </w:tbl>
    <w:p w:rsidR="00E943D4" w:rsidRPr="000E64BD" w:rsidRDefault="00E943D4">
      <w:pPr>
        <w:rPr>
          <w:sz w:val="28"/>
          <w:szCs w:val="28"/>
        </w:rPr>
      </w:pPr>
    </w:p>
    <w:p w:rsidR="00E943D4" w:rsidRPr="000E64BD" w:rsidRDefault="00E943D4">
      <w:pPr>
        <w:rPr>
          <w:sz w:val="28"/>
          <w:szCs w:val="28"/>
        </w:rPr>
      </w:pPr>
    </w:p>
    <w:sectPr w:rsidR="00E943D4" w:rsidRPr="000E64BD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3D4"/>
    <w:rsid w:val="000E64BD"/>
    <w:rsid w:val="00102E63"/>
    <w:rsid w:val="001B2B74"/>
    <w:rsid w:val="002F6380"/>
    <w:rsid w:val="005C7EBF"/>
    <w:rsid w:val="006454F7"/>
    <w:rsid w:val="0079285C"/>
    <w:rsid w:val="007A6B69"/>
    <w:rsid w:val="00823101"/>
    <w:rsid w:val="00E9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5CCA"/>
  <w15:docId w15:val="{C891F110-E7AF-418F-9FCE-8FB3AE13E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3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4173</Words>
  <Characters>2380</Characters>
  <Application>Microsoft Office Word</Application>
  <DocSecurity>0</DocSecurity>
  <Lines>19</Lines>
  <Paragraphs>13</Paragraphs>
  <ScaleCrop>false</ScaleCrop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Nastenko S.L.</cp:lastModifiedBy>
  <cp:revision>13</cp:revision>
  <dcterms:created xsi:type="dcterms:W3CDTF">2020-02-10T16:33:00Z</dcterms:created>
  <dcterms:modified xsi:type="dcterms:W3CDTF">2020-02-13T14:10:00Z</dcterms:modified>
</cp:coreProperties>
</file>