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62" w:rsidRPr="00E236DD" w:rsidRDefault="006D7562" w:rsidP="00921F6A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ЗАТВЕРДЖЕНО </w:t>
      </w:r>
    </w:p>
    <w:p w:rsidR="006D7562" w:rsidRPr="00E236DD" w:rsidRDefault="006D7562" w:rsidP="00921F6A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Наказ Міністерства освіти і науки </w:t>
      </w:r>
    </w:p>
    <w:p w:rsidR="006D7562" w:rsidRPr="00E236DD" w:rsidRDefault="006D7562" w:rsidP="00921F6A">
      <w:pPr>
        <w:ind w:left="4961"/>
        <w:rPr>
          <w:sz w:val="28"/>
          <w:szCs w:val="28"/>
        </w:rPr>
      </w:pPr>
      <w:r w:rsidRPr="00E236DD">
        <w:rPr>
          <w:sz w:val="28"/>
          <w:szCs w:val="28"/>
        </w:rPr>
        <w:t xml:space="preserve">України від </w:t>
      </w:r>
      <w:r w:rsidR="00F13C30">
        <w:rPr>
          <w:rFonts w:eastAsia="Calibri"/>
          <w:sz w:val="28"/>
          <w:szCs w:val="28"/>
          <w:lang w:val="ru-RU"/>
        </w:rPr>
        <w:t xml:space="preserve">13.02.2020    №   35-а    </w:t>
      </w:r>
      <w:bookmarkStart w:id="0" w:name="_GoBack"/>
      <w:bookmarkEnd w:id="0"/>
    </w:p>
    <w:p w:rsidR="006D7562" w:rsidRPr="00E236DD" w:rsidRDefault="006D7562" w:rsidP="00921F6A">
      <w:pPr>
        <w:keepNext/>
        <w:keepLines/>
        <w:jc w:val="center"/>
        <w:rPr>
          <w:color w:val="000000"/>
          <w:sz w:val="28"/>
          <w:szCs w:val="28"/>
        </w:rPr>
      </w:pPr>
    </w:p>
    <w:p w:rsidR="006D7562" w:rsidRDefault="006D7562" w:rsidP="00921F6A">
      <w:pPr>
        <w:keepNext/>
        <w:keepLine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9F7337" w:rsidRDefault="009F7337" w:rsidP="00921F6A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279"/>
      </w:tblGrid>
      <w:tr w:rsidR="009F7337" w:rsidRPr="00453E49" w:rsidTr="00A5057B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6D7562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Найменування 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Міністерство освіти і науки України,</w:t>
            </w:r>
          </w:p>
          <w:p w:rsidR="009F7337" w:rsidRPr="00453E49" w:rsidRDefault="009F7337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Проспект Перемоги, 10</w:t>
            </w:r>
          </w:p>
        </w:tc>
      </w:tr>
      <w:tr w:rsidR="009F7337" w:rsidRPr="00453E49" w:rsidTr="00A5057B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E49" w:rsidRPr="00453E49" w:rsidRDefault="00453E49" w:rsidP="00921F6A">
            <w:pPr>
              <w:keepNext/>
              <w:keepLines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Державний експерт експертної групи з питань змісту та забезпечення якості освіти директорату професійної освіти</w:t>
            </w:r>
          </w:p>
        </w:tc>
      </w:tr>
      <w:tr w:rsidR="009F7337" w:rsidRPr="00453E49" w:rsidTr="00A5057B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E49" w:rsidRPr="00453E49" w:rsidRDefault="00453E49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Посадові обов’язки пов’язані з організаційно-методичним забезпеченням реформування державної політики у сфері професійної освіти, зокрема: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узагальнення практики застосування законодавства та реалізації державної політики у сфері професійної освіти, виявлення проблем, надання альтернативних пропозицій щодо їх розв’язання, оцінка й обґрунтування переваг і ризиків; 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розроблення проектів актів законодавства, що забезпечують імплементацію Закону України «Про освіту» з питань ліцензування, громадської акредитації, інституційного аудиту, забезпечення права на освіту тощо;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розроблення механізмів впровадження Національної рамки кваліфікацій;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розроблення пропозицій з питань визначення стратегії, перегляду або коригування державної політики </w:t>
            </w:r>
            <w:r>
              <w:rPr>
                <w:color w:val="000000"/>
                <w:sz w:val="28"/>
                <w:szCs w:val="28"/>
                <w:lang w:eastAsia="en-US"/>
              </w:rPr>
              <w:t>у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 сфері професійної освіти;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підготовка методичних рекомендацій та надання роз’яснень з питань, що належать до компетенції директорату;</w:t>
            </w:r>
          </w:p>
          <w:p w:rsidR="00453E49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координація розроблення державних стандартів професійно-технічної освіти, програм та інших документів щодо змісту професійно-технічної освіти та організації навчального процесу,</w:t>
            </w:r>
          </w:p>
          <w:p w:rsidR="009F7337" w:rsidRPr="00453E49" w:rsidRDefault="00F83D24" w:rsidP="00921F6A">
            <w:pPr>
              <w:widowControl w:val="0"/>
              <w:tabs>
                <w:tab w:val="left" w:pos="1276"/>
              </w:tabs>
              <w:jc w:val="both"/>
              <w:rPr>
                <w:rFonts w:eastAsia="Arial"/>
                <w:color w:val="333333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підготовка інформаційних матеріалів, участь у заходах з інформування громадськості та фахова комунікація зі </w:t>
            </w:r>
            <w:proofErr w:type="spellStart"/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стейкхолдерами</w:t>
            </w:r>
            <w:proofErr w:type="spellEnd"/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 (зокрема, громадськістю та ЗМІ) з питань формування та реалізації політики, що належать до компетенції директорату</w:t>
            </w:r>
          </w:p>
        </w:tc>
      </w:tr>
      <w:tr w:rsidR="009F7337" w:rsidRPr="00453E49" w:rsidTr="00A5057B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37" w:rsidRPr="006D7562" w:rsidRDefault="00F83D24" w:rsidP="00921F6A">
            <w:pPr>
              <w:widowControl w:val="0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7562">
              <w:rPr>
                <w:color w:val="000000"/>
                <w:sz w:val="28"/>
                <w:szCs w:val="28"/>
                <w:lang w:eastAsia="en-US"/>
              </w:rPr>
              <w:t>П</w:t>
            </w:r>
            <w:r w:rsidR="009F7337" w:rsidRPr="006D7562">
              <w:rPr>
                <w:color w:val="000000"/>
                <w:sz w:val="28"/>
                <w:szCs w:val="28"/>
                <w:lang w:eastAsia="en-US"/>
              </w:rPr>
              <w:t>осадовий оклад – 1</w:t>
            </w:r>
            <w:r w:rsidR="006D7562" w:rsidRPr="006D7562">
              <w:rPr>
                <w:color w:val="000000"/>
                <w:sz w:val="28"/>
                <w:szCs w:val="28"/>
                <w:lang w:eastAsia="en-US"/>
              </w:rPr>
              <w:t>0600</w:t>
            </w:r>
            <w:r w:rsidR="009F7337" w:rsidRPr="006D7562">
              <w:rPr>
                <w:color w:val="000000"/>
                <w:sz w:val="28"/>
                <w:szCs w:val="28"/>
                <w:lang w:eastAsia="en-US"/>
              </w:rPr>
              <w:t xml:space="preserve"> грн.;</w:t>
            </w:r>
          </w:p>
          <w:p w:rsidR="009F7337" w:rsidRPr="006D7562" w:rsidRDefault="009F7337" w:rsidP="00921F6A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7562">
              <w:rPr>
                <w:color w:val="000000"/>
                <w:sz w:val="28"/>
                <w:szCs w:val="28"/>
                <w:lang w:eastAsia="en-US"/>
              </w:rPr>
              <w:t>надбавка за виконання особливо важливої роботи – 3</w:t>
            </w:r>
            <w:r w:rsidR="006D7562" w:rsidRPr="006D7562">
              <w:rPr>
                <w:color w:val="000000"/>
                <w:sz w:val="28"/>
                <w:szCs w:val="28"/>
                <w:lang w:eastAsia="en-US"/>
              </w:rPr>
              <w:t>0500</w:t>
            </w:r>
            <w:r w:rsidRPr="006D7562">
              <w:rPr>
                <w:color w:val="000000"/>
                <w:sz w:val="28"/>
                <w:szCs w:val="28"/>
                <w:lang w:eastAsia="en-US"/>
              </w:rPr>
              <w:t xml:space="preserve"> грн. (на період випробування встановлюється в розмірі 50 %);</w:t>
            </w:r>
          </w:p>
          <w:p w:rsidR="009F7337" w:rsidRPr="006D7562" w:rsidRDefault="009F7337" w:rsidP="00921F6A">
            <w:pPr>
              <w:widowControl w:val="0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7562">
              <w:rPr>
                <w:color w:val="000000"/>
                <w:sz w:val="28"/>
                <w:szCs w:val="28"/>
                <w:lang w:eastAsia="en-US"/>
              </w:rPr>
              <w:t xml:space="preserve">надбавка за ранг державного службовця – </w:t>
            </w:r>
            <w:r w:rsidR="006D7562" w:rsidRPr="006D7562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117FEA">
              <w:rPr>
                <w:color w:val="000000"/>
                <w:sz w:val="28"/>
                <w:szCs w:val="28"/>
                <w:lang w:eastAsia="en-US"/>
              </w:rPr>
              <w:t xml:space="preserve">00 – </w:t>
            </w:r>
            <w:r w:rsidR="00117FEA" w:rsidRPr="00117FEA">
              <w:rPr>
                <w:color w:val="000000"/>
                <w:sz w:val="28"/>
                <w:szCs w:val="28"/>
                <w:lang w:val="ru-RU" w:eastAsia="en-US"/>
              </w:rPr>
              <w:t>5</w:t>
            </w:r>
            <w:r w:rsidRPr="006D7562">
              <w:rPr>
                <w:color w:val="000000"/>
                <w:sz w:val="28"/>
                <w:szCs w:val="28"/>
                <w:lang w:eastAsia="en-US"/>
              </w:rPr>
              <w:t xml:space="preserve">00 грн.; </w:t>
            </w:r>
          </w:p>
          <w:p w:rsidR="009F7337" w:rsidRPr="006D7562" w:rsidRDefault="009F7337" w:rsidP="00921F6A">
            <w:pPr>
              <w:widowControl w:val="0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7562">
              <w:rPr>
                <w:color w:val="000000"/>
                <w:sz w:val="28"/>
                <w:szCs w:val="28"/>
                <w:lang w:eastAsia="en-US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7562">
              <w:rPr>
                <w:color w:val="000000"/>
                <w:sz w:val="28"/>
                <w:szCs w:val="28"/>
                <w:lang w:eastAsia="en-US"/>
              </w:rPr>
              <w:t>інші виплати, премії – у разі встановлення</w:t>
            </w:r>
          </w:p>
        </w:tc>
      </w:tr>
      <w:tr w:rsidR="009F7337" w:rsidRPr="00453E49" w:rsidTr="00A5057B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37" w:rsidRPr="00453E49" w:rsidRDefault="009F7337" w:rsidP="00921F6A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1" w:name="gjdgxs"/>
            <w:bookmarkEnd w:id="1"/>
            <w:r w:rsidRPr="00453E49">
              <w:rPr>
                <w:color w:val="000000"/>
                <w:sz w:val="28"/>
                <w:szCs w:val="28"/>
                <w:lang w:eastAsia="en-US"/>
              </w:rPr>
              <w:t>Кваліфікаційні вимоги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F83D24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A5057B" w:rsidRPr="00453E49">
              <w:rPr>
                <w:color w:val="000000"/>
                <w:sz w:val="28"/>
                <w:szCs w:val="28"/>
                <w:lang w:eastAsia="en-US"/>
              </w:rPr>
              <w:t>аявність вищої освіти ступеня не нижче бакалавра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A5057B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Не потребує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337" w:rsidRPr="00453E49" w:rsidRDefault="00F83D24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ільне володіння державною мовою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F83D24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езстроково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прізвище, ім’я, по батькові кандидата;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реквізити документа, що посвідчує особу та підтверджує громадянство України;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підтвердження наявності відповідного ступеня вищої освіти;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підтвердження рівня вільного володіння державною мовою;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 xml:space="preserve">3) заяву, в якій повідомляє, що до неї не застосовуються заборони, визначені </w:t>
            </w:r>
            <w:hyperlink r:id="rId6" w:anchor="n13" w:history="1">
              <w:r w:rsidRPr="006D7562">
                <w:rPr>
                  <w:rStyle w:val="a3"/>
                  <w:sz w:val="28"/>
                  <w:szCs w:val="28"/>
                  <w:lang w:eastAsia="en-US"/>
                </w:rPr>
                <w:t>частиною третьою</w:t>
              </w:r>
            </w:hyperlink>
            <w:r w:rsidRPr="006D7562">
              <w:rPr>
                <w:sz w:val="28"/>
                <w:szCs w:val="28"/>
                <w:lang w:eastAsia="en-US"/>
              </w:rPr>
              <w:t xml:space="preserve"> або </w:t>
            </w:r>
            <w:hyperlink r:id="rId7" w:anchor="n14" w:history="1">
              <w:r w:rsidRPr="006D7562">
                <w:rPr>
                  <w:rStyle w:val="a3"/>
                  <w:sz w:val="28"/>
                  <w:szCs w:val="28"/>
                  <w:lang w:eastAsia="en-US"/>
                </w:rPr>
                <w:t>четвертою</w:t>
              </w:r>
            </w:hyperlink>
            <w:r w:rsidR="00F83D24" w:rsidRPr="006D7562">
              <w:rPr>
                <w:sz w:val="28"/>
                <w:szCs w:val="28"/>
                <w:lang w:eastAsia="en-US"/>
              </w:rPr>
              <w:t xml:space="preserve"> статті 1 Закону України «Про очищення влади»</w:t>
            </w:r>
            <w:r w:rsidRPr="006D7562">
              <w:rPr>
                <w:sz w:val="28"/>
                <w:szCs w:val="28"/>
                <w:lang w:eastAsia="en-US"/>
              </w:rPr>
              <w:t xml:space="preserve">, та надає згоду на проходження перевірки та на оприлюднення </w:t>
            </w:r>
            <w:r w:rsidRPr="006D7562">
              <w:rPr>
                <w:sz w:val="28"/>
                <w:szCs w:val="28"/>
                <w:lang w:eastAsia="en-US"/>
              </w:rPr>
              <w:lastRenderedPageBreak/>
              <w:t>відомостей стосовно неї відповідно до зазначеного Закону;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6D7562">
              <w:rPr>
                <w:sz w:val="28"/>
                <w:szCs w:val="28"/>
                <w:lang w:eastAsia="en-US"/>
              </w:rPr>
              <w:t>компетентностей</w:t>
            </w:r>
            <w:proofErr w:type="spellEnd"/>
            <w:r w:rsidRPr="006D7562">
              <w:rPr>
                <w:sz w:val="28"/>
                <w:szCs w:val="28"/>
                <w:lang w:eastAsia="en-US"/>
              </w:rPr>
              <w:t>, репутації (характеристики, рекомендації, наукові публікації тощо.</w:t>
            </w:r>
          </w:p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 xml:space="preserve">Документи приймаються до </w:t>
            </w:r>
            <w:r w:rsidR="006D7562" w:rsidRPr="006D7562">
              <w:rPr>
                <w:sz w:val="28"/>
                <w:szCs w:val="28"/>
                <w:lang w:eastAsia="en-US"/>
              </w:rPr>
              <w:t>25.02.2020</w:t>
            </w:r>
            <w:r w:rsidRPr="006D7562">
              <w:rPr>
                <w:sz w:val="28"/>
                <w:szCs w:val="28"/>
                <w:lang w:eastAsia="en-US"/>
              </w:rPr>
              <w:t xml:space="preserve"> року 18:00 год. за </w:t>
            </w:r>
            <w:proofErr w:type="spellStart"/>
            <w:r w:rsidRPr="006D7562">
              <w:rPr>
                <w:sz w:val="28"/>
                <w:szCs w:val="28"/>
                <w:lang w:eastAsia="en-US"/>
              </w:rPr>
              <w:t>адресою</w:t>
            </w:r>
            <w:proofErr w:type="spellEnd"/>
            <w:r w:rsidRPr="006D7562">
              <w:rPr>
                <w:sz w:val="28"/>
                <w:szCs w:val="28"/>
                <w:lang w:eastAsia="en-US"/>
              </w:rPr>
              <w:t xml:space="preserve"> м. Київ, проспект Перемоги, 10  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6D7562" w:rsidRDefault="00F83D24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>З</w:t>
            </w:r>
            <w:r w:rsidR="009F7337" w:rsidRPr="006D7562">
              <w:rPr>
                <w:sz w:val="28"/>
                <w:szCs w:val="28"/>
                <w:lang w:eastAsia="en-US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6D7562" w:rsidRDefault="009F7337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6D7562">
              <w:rPr>
                <w:sz w:val="28"/>
                <w:szCs w:val="28"/>
                <w:lang w:eastAsia="en-US"/>
              </w:rPr>
              <w:t xml:space="preserve">м. Київ, вул. Прорізна 15 </w:t>
            </w:r>
          </w:p>
          <w:p w:rsidR="009F7337" w:rsidRPr="006D7562" w:rsidRDefault="0076099B" w:rsidP="0076099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02</w:t>
            </w:r>
            <w:r w:rsidR="009F7337" w:rsidRPr="006D7562">
              <w:rPr>
                <w:sz w:val="28"/>
                <w:szCs w:val="28"/>
                <w:lang w:eastAsia="en-US"/>
              </w:rPr>
              <w:t>.</w:t>
            </w:r>
            <w:r w:rsidR="006D7562">
              <w:rPr>
                <w:sz w:val="28"/>
                <w:szCs w:val="28"/>
                <w:lang w:eastAsia="en-US"/>
              </w:rPr>
              <w:t>03</w:t>
            </w:r>
            <w:r w:rsidR="009F7337" w:rsidRPr="006D7562">
              <w:rPr>
                <w:sz w:val="28"/>
                <w:szCs w:val="28"/>
                <w:lang w:eastAsia="en-US"/>
              </w:rPr>
              <w:t>.20</w:t>
            </w:r>
            <w:r w:rsidR="006D7562">
              <w:rPr>
                <w:sz w:val="28"/>
                <w:szCs w:val="28"/>
                <w:lang w:eastAsia="en-US"/>
              </w:rPr>
              <w:t>20</w:t>
            </w:r>
            <w:r w:rsidR="009F7337" w:rsidRPr="006D7562">
              <w:rPr>
                <w:sz w:val="28"/>
                <w:szCs w:val="28"/>
                <w:lang w:eastAsia="en-US"/>
              </w:rPr>
              <w:t xml:space="preserve"> року о 10:00.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Настенко Світлана Леонідівна</w:t>
            </w:r>
          </w:p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453E49">
              <w:rPr>
                <w:color w:val="000000"/>
                <w:sz w:val="28"/>
                <w:szCs w:val="28"/>
                <w:lang w:eastAsia="en-US"/>
              </w:rPr>
              <w:t>Тел</w:t>
            </w:r>
            <w:proofErr w:type="spellEnd"/>
            <w:r w:rsidRPr="00453E49">
              <w:rPr>
                <w:color w:val="000000"/>
                <w:sz w:val="28"/>
                <w:szCs w:val="28"/>
                <w:lang w:eastAsia="en-US"/>
              </w:rPr>
              <w:t>. 481-32-70</w:t>
            </w:r>
          </w:p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e-</w:t>
            </w:r>
            <w:proofErr w:type="spellStart"/>
            <w:r w:rsidRPr="00453E49">
              <w:rPr>
                <w:color w:val="000000"/>
                <w:sz w:val="28"/>
                <w:szCs w:val="28"/>
                <w:lang w:eastAsia="en-US"/>
              </w:rPr>
              <w:t>mail</w:t>
            </w:r>
            <w:proofErr w:type="spellEnd"/>
            <w:r w:rsidRPr="00453E49">
              <w:rPr>
                <w:color w:val="000000"/>
                <w:sz w:val="28"/>
                <w:szCs w:val="28"/>
                <w:lang w:eastAsia="en-US"/>
              </w:rPr>
              <w:t>: nastenko@mon.gov.ua</w:t>
            </w:r>
          </w:p>
        </w:tc>
      </w:tr>
      <w:tr w:rsidR="009F7337" w:rsidRPr="00453E49" w:rsidTr="00A5057B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548DD4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62" w:rsidRDefault="00453E49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>Закони України</w:t>
            </w:r>
            <w:r w:rsidR="006D7562">
              <w:rPr>
                <w:sz w:val="28"/>
                <w:szCs w:val="28"/>
                <w:lang w:eastAsia="en-US"/>
              </w:rPr>
              <w:t>:</w:t>
            </w:r>
          </w:p>
          <w:p w:rsidR="006D7562" w:rsidRDefault="00453E49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 xml:space="preserve">«Про освіту», </w:t>
            </w:r>
          </w:p>
          <w:p w:rsidR="006D7562" w:rsidRDefault="00453E49" w:rsidP="00921F6A">
            <w:pPr>
              <w:jc w:val="both"/>
              <w:rPr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 xml:space="preserve">«Про професійну (професійно-технічну) освіту, «Про доступ до публічної інформації», </w:t>
            </w:r>
          </w:p>
          <w:p w:rsidR="009F7337" w:rsidRPr="00453E49" w:rsidRDefault="00453E49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>Положення про Міністерство освіти і науки України, затверджене постановою Кабінету Міністрів України від 16 жовтня 2014 р. № 630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Знання сфери політики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E49" w:rsidRPr="00453E49" w:rsidRDefault="00F83D24" w:rsidP="00921F6A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rFonts w:cs="Calibri"/>
                <w:sz w:val="28"/>
                <w:szCs w:val="28"/>
              </w:rPr>
              <w:t>особливості державної політики у сфері професійної освіти, перспективи її реформування;</w:t>
            </w:r>
          </w:p>
          <w:p w:rsidR="00453E49" w:rsidRPr="00453E49" w:rsidRDefault="00F83D24" w:rsidP="00921F6A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 </w:t>
            </w:r>
            <w:r w:rsidR="00453E49" w:rsidRPr="00453E49">
              <w:rPr>
                <w:rFonts w:cs="Calibri"/>
                <w:sz w:val="28"/>
                <w:szCs w:val="28"/>
              </w:rPr>
              <w:t xml:space="preserve">вимоги до розроблення державних стандартів професійно-технічної освіти; </w:t>
            </w:r>
          </w:p>
          <w:p w:rsidR="00453E49" w:rsidRPr="00453E49" w:rsidRDefault="00F83D24" w:rsidP="00921F6A">
            <w:pPr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 </w:t>
            </w:r>
            <w:r w:rsidR="00453E49" w:rsidRPr="00453E49">
              <w:rPr>
                <w:rFonts w:cs="Calibri"/>
                <w:sz w:val="28"/>
                <w:szCs w:val="28"/>
              </w:rPr>
              <w:t>перспективи реформування системи професійного розвитку педагогічних працівників;</w:t>
            </w:r>
          </w:p>
          <w:p w:rsidR="009F7337" w:rsidRPr="00453E49" w:rsidRDefault="00F83D24" w:rsidP="00921F6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</w:rPr>
              <w:t>перспективи впровадження Національної рамки кваліфікацій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E49" w:rsidRPr="00453E49" w:rsidRDefault="00453E49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Знання інструментарію аналітичної діяльності</w:t>
            </w:r>
          </w:p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E49" w:rsidRPr="00453E49" w:rsidRDefault="00F83D24" w:rsidP="00921F6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види, етапи, алгоритми інформаційно-аналітичної діяльності;</w:t>
            </w:r>
          </w:p>
          <w:p w:rsidR="00453E49" w:rsidRPr="00453E49" w:rsidRDefault="00F83D24" w:rsidP="00921F6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>інструментарій аналітичних досліджень;</w:t>
            </w:r>
          </w:p>
          <w:p w:rsidR="009F7337" w:rsidRPr="00453E49" w:rsidRDefault="00F83D24" w:rsidP="00921F6A">
            <w:pPr>
              <w:shd w:val="clear" w:color="auto" w:fill="FFFFFF"/>
              <w:ind w:left="57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- </w:t>
            </w:r>
            <w:r w:rsidR="00453E49" w:rsidRPr="00453E49">
              <w:rPr>
                <w:color w:val="000000"/>
                <w:sz w:val="28"/>
                <w:szCs w:val="28"/>
                <w:lang w:eastAsia="en-US"/>
              </w:rPr>
              <w:t xml:space="preserve">процедура підготовки та оформлення звіту (висновків, пропозицій) за підсумками аналітичної діяльності </w:t>
            </w:r>
          </w:p>
        </w:tc>
      </w:tr>
      <w:tr w:rsidR="009F7337" w:rsidRPr="00453E49" w:rsidTr="00A5057B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337" w:rsidRPr="00453E49" w:rsidRDefault="009F7337" w:rsidP="00921F6A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lastRenderedPageBreak/>
              <w:t>Вимоги до компетентності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337" w:rsidRPr="00453E49" w:rsidRDefault="009F7337" w:rsidP="00921F6A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A5057B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sz w:val="28"/>
                <w:szCs w:val="28"/>
                <w:lang w:eastAsia="en-US"/>
              </w:rPr>
              <w:t>Ефективність аналізу та висновків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57B" w:rsidRPr="00453E49" w:rsidRDefault="00F83D24" w:rsidP="00921F6A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</w:t>
            </w:r>
            <w:r w:rsidR="00A5057B" w:rsidRPr="00453E49">
              <w:rPr>
                <w:sz w:val="28"/>
                <w:szCs w:val="28"/>
                <w:lang w:eastAsia="en-US"/>
              </w:rPr>
              <w:t>здатність узагальнювати інформацію, у тому числі з урахуванням гендерної статистики;</w:t>
            </w:r>
          </w:p>
          <w:p w:rsidR="00A5057B" w:rsidRPr="00453E49" w:rsidRDefault="00F83D24" w:rsidP="00921F6A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</w:t>
            </w:r>
            <w:r w:rsidR="00A5057B" w:rsidRPr="00453E49">
              <w:rPr>
                <w:sz w:val="28"/>
                <w:szCs w:val="28"/>
                <w:lang w:eastAsia="en-US"/>
              </w:rPr>
              <w:t>здатність встановлювати логічні взаємозв’язки;</w:t>
            </w:r>
          </w:p>
          <w:p w:rsidR="009F7337" w:rsidRPr="00453E49" w:rsidRDefault="00F83D24" w:rsidP="00921F6A">
            <w:pPr>
              <w:ind w:firstLine="34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</w:t>
            </w:r>
            <w:r w:rsidR="00A5057B" w:rsidRPr="00453E49">
              <w:rPr>
                <w:sz w:val="28"/>
                <w:szCs w:val="28"/>
                <w:lang w:eastAsia="en-US"/>
              </w:rPr>
              <w:t>здатність робити коректні висновки</w:t>
            </w:r>
          </w:p>
        </w:tc>
      </w:tr>
      <w:tr w:rsidR="00A5057B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57B" w:rsidRPr="00453E49" w:rsidRDefault="00A5057B" w:rsidP="00921F6A">
            <w:pPr>
              <w:pStyle w:val="a4"/>
              <w:widowControl w:val="0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53E49">
              <w:rPr>
                <w:rFonts w:ascii="Times New Roman" w:hAnsi="Times New Roman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57B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вміння слухати та сприймати думки;</w:t>
            </w:r>
            <w:r w:rsidRPr="00303291">
              <w:rPr>
                <w:sz w:val="28"/>
                <w:szCs w:val="28"/>
              </w:rPr>
              <w:br/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вміння дослухатися до думки, чітко висловлюватися (усно та письмово);</w:t>
            </w:r>
            <w:r w:rsidRPr="00303291">
              <w:rPr>
                <w:sz w:val="28"/>
                <w:szCs w:val="28"/>
              </w:rPr>
              <w:br/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готовність ділитися досвідом та ідеями, відкритість у обміні інформацією;</w:t>
            </w:r>
            <w:r w:rsidRPr="00303291">
              <w:rPr>
                <w:sz w:val="28"/>
                <w:szCs w:val="28"/>
              </w:rPr>
              <w:br/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орієнтація на командний результат</w:t>
            </w:r>
          </w:p>
        </w:tc>
      </w:tr>
      <w:tr w:rsidR="00A5057B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57B" w:rsidRPr="00453E49" w:rsidRDefault="00A5057B" w:rsidP="00921F6A">
            <w:pPr>
              <w:pStyle w:val="a4"/>
              <w:widowControl w:val="0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53E49">
              <w:rPr>
                <w:rFonts w:ascii="Times New Roman" w:hAnsi="Times New Roman"/>
                <w:sz w:val="28"/>
                <w:szCs w:val="28"/>
              </w:rPr>
              <w:t>Досягнення результатів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291" w:rsidRPr="00303291" w:rsidRDefault="00A5057B" w:rsidP="00921F6A">
            <w:pPr>
              <w:rPr>
                <w:sz w:val="28"/>
                <w:szCs w:val="28"/>
              </w:rPr>
            </w:pPr>
            <w:r w:rsidRPr="00453E49">
              <w:t>-</w:t>
            </w:r>
            <w:r w:rsidR="00F83D24">
              <w:t> </w:t>
            </w:r>
            <w:r w:rsidRPr="00303291">
              <w:rPr>
                <w:sz w:val="28"/>
                <w:szCs w:val="28"/>
              </w:rPr>
              <w:t>чітке бачення результату;</w:t>
            </w:r>
          </w:p>
          <w:p w:rsidR="00303291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сфокусовані зусилля для досягнення результату;</w:t>
            </w:r>
          </w:p>
          <w:p w:rsidR="00F83D24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запобігання та ефективне подолання перешкод;</w:t>
            </w:r>
          </w:p>
          <w:p w:rsidR="00303291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навички планування своєї роботи;</w:t>
            </w:r>
          </w:p>
          <w:p w:rsidR="00A5057B" w:rsidRPr="00453E49" w:rsidRDefault="00A5057B" w:rsidP="00921F6A">
            <w:r w:rsidRPr="00303291">
              <w:rPr>
                <w:sz w:val="28"/>
                <w:szCs w:val="28"/>
              </w:rPr>
              <w:t>-</w:t>
            </w:r>
            <w:r w:rsidR="00F83D24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 xml:space="preserve">дисципліна та відповідальність за виконання своїх </w:t>
            </w:r>
            <w:r w:rsidR="00F83D24" w:rsidRPr="00303291">
              <w:rPr>
                <w:sz w:val="28"/>
                <w:szCs w:val="28"/>
              </w:rPr>
              <w:t xml:space="preserve">обов’язків </w:t>
            </w:r>
          </w:p>
        </w:tc>
      </w:tr>
      <w:tr w:rsidR="00A5057B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57B" w:rsidRPr="00453E49" w:rsidRDefault="00A5057B" w:rsidP="00921F6A">
            <w:pPr>
              <w:pStyle w:val="a4"/>
              <w:widowControl w:val="0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3E49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291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303291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розуміння своїх емоцій;</w:t>
            </w:r>
          </w:p>
          <w:p w:rsidR="00303291" w:rsidRPr="00303291" w:rsidRDefault="00A5057B" w:rsidP="00921F6A">
            <w:pPr>
              <w:rPr>
                <w:sz w:val="28"/>
                <w:szCs w:val="28"/>
              </w:rPr>
            </w:pPr>
            <w:r w:rsidRPr="00303291">
              <w:rPr>
                <w:sz w:val="28"/>
                <w:szCs w:val="28"/>
              </w:rPr>
              <w:t>-</w:t>
            </w:r>
            <w:r w:rsidR="00303291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управління своїми емоціями;</w:t>
            </w:r>
          </w:p>
          <w:p w:rsidR="00A5057B" w:rsidRPr="00453E49" w:rsidRDefault="00A5057B" w:rsidP="00921F6A">
            <w:r w:rsidRPr="00303291">
              <w:rPr>
                <w:sz w:val="28"/>
                <w:szCs w:val="28"/>
              </w:rPr>
              <w:t>-</w:t>
            </w:r>
            <w:r w:rsidR="00303291" w:rsidRPr="00303291">
              <w:rPr>
                <w:sz w:val="28"/>
                <w:szCs w:val="28"/>
              </w:rPr>
              <w:t> </w:t>
            </w:r>
            <w:r w:rsidRPr="00303291">
              <w:rPr>
                <w:sz w:val="28"/>
                <w:szCs w:val="28"/>
              </w:rPr>
              <w:t>оптимізм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303291" w:rsidP="00921F6A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здатність до логічного мислення;</w:t>
            </w:r>
          </w:p>
          <w:p w:rsidR="009F7337" w:rsidRPr="00453E49" w:rsidRDefault="00303291" w:rsidP="00921F6A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вміння встановлювати причинно-наслідкові зв’язки</w:t>
            </w:r>
          </w:p>
        </w:tc>
      </w:tr>
      <w:tr w:rsidR="009F7337" w:rsidRPr="00453E49" w:rsidTr="00A5057B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9F7337" w:rsidP="00921F6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53E49">
              <w:rPr>
                <w:color w:val="000000"/>
                <w:sz w:val="28"/>
                <w:szCs w:val="28"/>
                <w:lang w:eastAsia="en-US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337" w:rsidRPr="00453E49" w:rsidRDefault="00303291" w:rsidP="00921F6A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 </w:t>
            </w:r>
            <w:r w:rsidR="009F7337" w:rsidRPr="00453E49">
              <w:rPr>
                <w:color w:val="000000"/>
                <w:sz w:val="28"/>
                <w:szCs w:val="28"/>
                <w:lang w:eastAsia="en-US"/>
              </w:rPr>
              <w:t>здатність розуміти та працювати з текстовою інформацією</w:t>
            </w:r>
          </w:p>
        </w:tc>
      </w:tr>
    </w:tbl>
    <w:p w:rsidR="009F7337" w:rsidRDefault="009F7337" w:rsidP="00921F6A">
      <w:pPr>
        <w:rPr>
          <w:color w:val="000000"/>
          <w:sz w:val="28"/>
          <w:szCs w:val="28"/>
        </w:rPr>
      </w:pPr>
    </w:p>
    <w:sectPr w:rsidR="009F7337" w:rsidSect="009C2BE5">
      <w:headerReference w:type="default" r:id="rId8"/>
      <w:pgSz w:w="11906" w:h="16838"/>
      <w:pgMar w:top="850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7E2" w:rsidRDefault="009D57E2" w:rsidP="009C2BE5">
      <w:r>
        <w:separator/>
      </w:r>
    </w:p>
  </w:endnote>
  <w:endnote w:type="continuationSeparator" w:id="0">
    <w:p w:rsidR="009D57E2" w:rsidRDefault="009D57E2" w:rsidP="009C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7E2" w:rsidRDefault="009D57E2" w:rsidP="009C2BE5">
      <w:r>
        <w:separator/>
      </w:r>
    </w:p>
  </w:footnote>
  <w:footnote w:type="continuationSeparator" w:id="0">
    <w:p w:rsidR="009D57E2" w:rsidRDefault="009D57E2" w:rsidP="009C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811431"/>
      <w:docPartObj>
        <w:docPartGallery w:val="Page Numbers (Top of Page)"/>
        <w:docPartUnique/>
      </w:docPartObj>
    </w:sdtPr>
    <w:sdtEndPr/>
    <w:sdtContent>
      <w:p w:rsidR="009C2BE5" w:rsidRDefault="009C2B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C30">
          <w:rPr>
            <w:noProof/>
          </w:rPr>
          <w:t>2</w:t>
        </w:r>
        <w:r>
          <w:fldChar w:fldCharType="end"/>
        </w:r>
      </w:p>
    </w:sdtContent>
  </w:sdt>
  <w:p w:rsidR="009C2BE5" w:rsidRDefault="009C2B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0C"/>
    <w:rsid w:val="00042F12"/>
    <w:rsid w:val="00117FEA"/>
    <w:rsid w:val="00136FFC"/>
    <w:rsid w:val="001616D2"/>
    <w:rsid w:val="00170C82"/>
    <w:rsid w:val="001A04F0"/>
    <w:rsid w:val="001F0C98"/>
    <w:rsid w:val="002052E9"/>
    <w:rsid w:val="00303291"/>
    <w:rsid w:val="003279D5"/>
    <w:rsid w:val="00352163"/>
    <w:rsid w:val="003B0FBC"/>
    <w:rsid w:val="003C251E"/>
    <w:rsid w:val="004124E6"/>
    <w:rsid w:val="00441D0C"/>
    <w:rsid w:val="00453E49"/>
    <w:rsid w:val="00463FCB"/>
    <w:rsid w:val="004D3657"/>
    <w:rsid w:val="005C0144"/>
    <w:rsid w:val="00603065"/>
    <w:rsid w:val="006556C2"/>
    <w:rsid w:val="00684277"/>
    <w:rsid w:val="006B367A"/>
    <w:rsid w:val="006D7562"/>
    <w:rsid w:val="007164EA"/>
    <w:rsid w:val="0076099B"/>
    <w:rsid w:val="00781460"/>
    <w:rsid w:val="00804C3F"/>
    <w:rsid w:val="008117C6"/>
    <w:rsid w:val="008C4899"/>
    <w:rsid w:val="00921F6A"/>
    <w:rsid w:val="009B42DD"/>
    <w:rsid w:val="009C2BE5"/>
    <w:rsid w:val="009D57E2"/>
    <w:rsid w:val="009E0FAC"/>
    <w:rsid w:val="009E7BD7"/>
    <w:rsid w:val="009F7337"/>
    <w:rsid w:val="00A2452F"/>
    <w:rsid w:val="00A332E2"/>
    <w:rsid w:val="00A5057B"/>
    <w:rsid w:val="00A61527"/>
    <w:rsid w:val="00B010E6"/>
    <w:rsid w:val="00B67B51"/>
    <w:rsid w:val="00CC550C"/>
    <w:rsid w:val="00D6003D"/>
    <w:rsid w:val="00D905E6"/>
    <w:rsid w:val="00D9186B"/>
    <w:rsid w:val="00F13C30"/>
    <w:rsid w:val="00F8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C3BFF-E5FD-42CA-89EA-F62555B7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337"/>
    <w:rPr>
      <w:color w:val="0563C1" w:themeColor="hyperlink"/>
      <w:u w:val="single"/>
    </w:rPr>
  </w:style>
  <w:style w:type="paragraph" w:customStyle="1" w:styleId="a4">
    <w:name w:val="Нормальний текст"/>
    <w:basedOn w:val="a"/>
    <w:rsid w:val="009F7337"/>
    <w:pPr>
      <w:spacing w:before="120"/>
      <w:ind w:firstLine="567"/>
    </w:pPr>
    <w:rPr>
      <w:rFonts w:ascii="Antiqua" w:hAnsi="Antiqua"/>
      <w:sz w:val="26"/>
      <w:lang w:eastAsia="ru-RU"/>
    </w:rPr>
  </w:style>
  <w:style w:type="paragraph" w:styleId="a5">
    <w:name w:val="header"/>
    <w:basedOn w:val="a"/>
    <w:link w:val="a6"/>
    <w:uiPriority w:val="99"/>
    <w:unhideWhenUsed/>
    <w:rsid w:val="009C2BE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C2BE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9C2BE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9C2BE5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4135</Words>
  <Characters>2357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Nastenko S.L.</cp:lastModifiedBy>
  <cp:revision>14</cp:revision>
  <dcterms:created xsi:type="dcterms:W3CDTF">2020-02-06T07:17:00Z</dcterms:created>
  <dcterms:modified xsi:type="dcterms:W3CDTF">2020-02-13T14:10:00Z</dcterms:modified>
</cp:coreProperties>
</file>