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108065" cy="1105535"/>
            <wp:effectExtent b="0" l="0" r="0" t="0"/>
            <wp:docPr descr="MON-LOGO-BLUE" id="1" name="image1.png"/>
            <a:graphic>
              <a:graphicData uri="http://schemas.openxmlformats.org/drawingml/2006/picture">
                <pic:pic>
                  <pic:nvPicPr>
                    <pic:cNvPr descr="MON-LOGO-BLUE" id="0" name="image1.png"/>
                    <pic:cNvPicPr preferRelativeResize="0"/>
                  </pic:nvPicPr>
                  <pic:blipFill>
                    <a:blip r:embed="rId6"/>
                    <a:srcRect b="0" l="0" r="0" t="0"/>
                    <a:stretch>
                      <a:fillRect/>
                    </a:stretch>
                  </pic:blipFill>
                  <pic:spPr>
                    <a:xfrm>
                      <a:off x="0" y="0"/>
                      <a:ext cx="6108065" cy="11055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POSITION: </w:t>
      </w:r>
      <w:r w:rsidDel="00000000" w:rsidR="00000000" w:rsidRPr="00000000">
        <w:rPr>
          <w:rFonts w:ascii="Calibri" w:cs="Calibri" w:eastAsia="Calibri" w:hAnsi="Calibri"/>
          <w:b w:val="1"/>
          <w:i w:val="1"/>
          <w:sz w:val="28"/>
          <w:szCs w:val="28"/>
          <w:rtl w:val="0"/>
        </w:rPr>
        <w:t xml:space="preserve">Education</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1"/>
          <w:sz w:val="28"/>
          <w:szCs w:val="28"/>
          <w:rtl w:val="0"/>
        </w:rPr>
        <w:t xml:space="preserve">Content</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i w:val="1"/>
          <w:sz w:val="28"/>
          <w:szCs w:val="28"/>
          <w:rtl w:val="0"/>
        </w:rPr>
        <w:t xml:space="preserve">Expert (Preschool education) (Category 2)  </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1. Objective(s) and linkages to Reforms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Reform Support Team (RST) at the Ministry of Education and Science of Ukraine (MoES) is a group of Ukrainian professionals (non-civil servants) funded on a temporary basis by the donors in order to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RST is operational as of June 2019. It is currently helping the MoES to implement two priority reforms: the general secondary education reform – the New Ukrainian School (NUS), and the reform of Vocational Education and Training (VET).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2. Duration and proposed timeframe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consultancy appointment is expected to start in March 2020 and has an estimated overall duration of 9 months. Subject to the availability of funding, the performance of the selected consultant and the specific needs of the RST, this appointment may be extended. The probation period is two months.</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Consultant shall deliver services in Ukraine and for no less than working 20 days per calendar month.</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Main Duties and Responsibilities</w:t>
      </w:r>
    </w:p>
    <w:p w:rsidR="00000000" w:rsidDel="00000000" w:rsidP="00000000" w:rsidRDefault="00000000" w:rsidRPr="00000000" w14:paraId="00000015">
      <w:pPr>
        <w:spacing w:line="240" w:lineRule="auto"/>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expertise and analysis of Preschool education and related policies,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Basic component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preschool education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 etc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his/her competence, support coordination of the development of new State standard of preschool education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his/her competence, provide expert support of the development of new State standard of preschool education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expert support for conducting of ECERS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Early Childhood Environment Rating Scale)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study in Ukraine in 2020</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build relationships with key stakeholders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and information search, integration and analysis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Alignment of actions with MoES Directorate of preschool and school education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9"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Main anticipated deliverables</w:t>
      </w:r>
    </w:p>
    <w:p w:rsidR="00000000" w:rsidDel="00000000" w:rsidP="00000000" w:rsidRDefault="00000000" w:rsidRPr="00000000" w14:paraId="0000001F">
      <w:pPr>
        <w:spacing w:line="240" w:lineRule="auto"/>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State Standard of Preschool education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ECERS as a trainer for local experts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Consolidation of the RST documents (meeting materials and minutes) related to the area of work</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9" w:right="0" w:hanging="1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and analytical notes, when needed</w:t>
      </w:r>
    </w:p>
    <w:p w:rsidR="00000000" w:rsidDel="00000000" w:rsidP="00000000" w:rsidRDefault="00000000" w:rsidRPr="00000000" w14:paraId="00000024">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4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5. Qualifications, Skills and Experience</w:t>
      </w:r>
    </w:p>
    <w:p w:rsidR="00000000" w:rsidDel="00000000" w:rsidP="00000000" w:rsidRDefault="00000000" w:rsidRPr="00000000" w14:paraId="00000027">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5.1 Qualifications and skills: </w:t>
      </w:r>
    </w:p>
    <w:p w:rsidR="00000000" w:rsidDel="00000000" w:rsidP="00000000" w:rsidRDefault="00000000" w:rsidRPr="00000000" w14:paraId="00000029">
      <w:pPr>
        <w:numPr>
          <w:ilvl w:val="0"/>
          <w:numId w:val="2"/>
        </w:numPr>
        <w:spacing w:line="240" w:lineRule="auto"/>
        <w:ind w:left="720" w:hanging="360"/>
        <w:rPr>
          <w:sz w:val="22"/>
          <w:szCs w:val="22"/>
        </w:rPr>
      </w:pPr>
      <w:r w:rsidDel="00000000" w:rsidR="00000000" w:rsidRPr="00000000">
        <w:rPr>
          <w:rFonts w:ascii="Calibri" w:cs="Calibri" w:eastAsia="Calibri" w:hAnsi="Calibri"/>
          <w:sz w:val="22"/>
          <w:szCs w:val="22"/>
          <w:rtl w:val="0"/>
        </w:rPr>
        <w:t xml:space="preserve">Master degree (or equivalent) in the relevant field (social sciences, teaching, educational management)</w:t>
      </w:r>
    </w:p>
    <w:p w:rsidR="00000000" w:rsidDel="00000000" w:rsidP="00000000" w:rsidRDefault="00000000" w:rsidRPr="00000000" w14:paraId="0000002A">
      <w:pPr>
        <w:numPr>
          <w:ilvl w:val="0"/>
          <w:numId w:val="2"/>
        </w:numPr>
        <w:spacing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Perfect Ukrainian and fluent English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Impeccable ethical standards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communication and interpersonal skills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organizational management, analytical and presentation skills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Motivated team players with ability to work independently</w:t>
      </w:r>
    </w:p>
    <w:p w:rsidR="00000000" w:rsidDel="00000000" w:rsidP="00000000" w:rsidRDefault="00000000" w:rsidRPr="00000000" w14:paraId="0000002F">
      <w:pPr>
        <w:numPr>
          <w:ilvl w:val="0"/>
          <w:numId w:val="2"/>
        </w:numPr>
        <w:spacing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PC literacy (PowerPoint, Project, Excel, Word)</w:t>
      </w:r>
    </w:p>
    <w:p w:rsidR="00000000" w:rsidDel="00000000" w:rsidP="00000000" w:rsidRDefault="00000000" w:rsidRPr="00000000" w14:paraId="00000030">
      <w:pPr>
        <w:spacing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5.2 General professional experience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numPr>
          <w:ilvl w:val="0"/>
          <w:numId w:val="3"/>
        </w:numPr>
        <w:spacing w:line="240" w:lineRule="auto"/>
        <w:ind w:left="720" w:hanging="360"/>
        <w:rPr>
          <w:sz w:val="22"/>
          <w:szCs w:val="22"/>
        </w:rPr>
      </w:pPr>
      <w:r w:rsidDel="00000000" w:rsidR="00000000" w:rsidRPr="00000000">
        <w:rPr>
          <w:rFonts w:ascii="Calibri" w:cs="Calibri" w:eastAsia="Calibri" w:hAnsi="Calibri"/>
          <w:sz w:val="22"/>
          <w:szCs w:val="22"/>
          <w:rtl w:val="0"/>
        </w:rPr>
        <w:t xml:space="preserve">More than 5 years of general post-graduate professional experience</w:t>
      </w:r>
    </w:p>
    <w:p w:rsidR="00000000" w:rsidDel="00000000" w:rsidP="00000000" w:rsidRDefault="00000000" w:rsidRPr="00000000" w14:paraId="00000033">
      <w:pPr>
        <w:spacing w:line="240" w:lineRule="auto"/>
        <w:ind w:left="720"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5.3 Specific professional experience: </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Minimum 4 years of experience in education sector, preferably in the field of preschool education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Sound experience in curricula development </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Familiarity with Preschool education sector policies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Good understanding of the legal framework for education in Ukraine</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Experience in working with local and international education experts, as well as different types of educational stakeholders </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Experience in providing training would be an asset</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line="259"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Familiarity with the education reform agenda in Ukraine</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line="259" w:lineRule="auto"/>
        <w:ind w:left="720" w:hanging="360"/>
        <w:rPr>
          <w:sz w:val="22"/>
          <w:szCs w:val="22"/>
        </w:rPr>
      </w:pPr>
      <w:r w:rsidDel="00000000" w:rsidR="00000000" w:rsidRPr="00000000">
        <w:rPr>
          <w:rFonts w:ascii="Calibri" w:cs="Calibri" w:eastAsia="Calibri" w:hAnsi="Calibri"/>
          <w:sz w:val="22"/>
          <w:szCs w:val="22"/>
          <w:rtl w:val="0"/>
        </w:rPr>
        <w:t xml:space="preserve">Experience in project management including for donor supported projects would be an asset</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6. Assignment Value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estimated monthly value of this consultancy position is in the region of EUR 800 to EUR 1400. The funding source of this assignment is the EBRD-Ukraine Stabilisation and Sustainable Growth Multi-Donor Account / the European Union. Please note selection and contracting will be subject to the availability of funding. </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7. Submissions </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Submissions must be prepared in English only and be delivered electronically by 02.03.2020, 23:59 (Kyiv time) to the following address: </w:t>
      </w:r>
      <w:hyperlink r:id="rId7">
        <w:r w:rsidDel="00000000" w:rsidR="00000000" w:rsidRPr="00000000">
          <w:rPr>
            <w:rFonts w:ascii="Calibri" w:cs="Calibri" w:eastAsia="Calibri" w:hAnsi="Calibri"/>
            <w:color w:val="0563c1"/>
            <w:sz w:val="22"/>
            <w:szCs w:val="22"/>
            <w:u w:val="single"/>
            <w:rtl w:val="0"/>
          </w:rPr>
          <w:t xml:space="preserve">rst@mon.gov.ua</w:t>
        </w:r>
      </w:hyperlink>
      <w:r w:rsidDel="00000000" w:rsidR="00000000" w:rsidRPr="00000000">
        <w:rPr>
          <w:rFonts w:ascii="Calibri" w:cs="Calibri" w:eastAsia="Calibri" w:hAnsi="Calibri"/>
          <w:sz w:val="22"/>
          <w:szCs w:val="22"/>
          <w:rtl w:val="0"/>
        </w:rPr>
        <w:t xml:space="preserve">. All submissions must include a completed Application Fo</w:t>
      </w:r>
      <w:r w:rsidDel="00000000" w:rsidR="00000000" w:rsidRPr="00000000">
        <w:rPr>
          <w:rFonts w:ascii="Calibri" w:cs="Calibri" w:eastAsia="Calibri" w:hAnsi="Calibri"/>
          <w:sz w:val="22"/>
          <w:szCs w:val="22"/>
          <w:highlight w:val="white"/>
          <w:rtl w:val="0"/>
        </w:rPr>
        <w:t xml:space="preserve">rm</w:t>
      </w:r>
      <w:r w:rsidDel="00000000" w:rsidR="00000000" w:rsidRPr="00000000">
        <w:rPr>
          <w:rFonts w:ascii="Calibri" w:cs="Calibri" w:eastAsia="Calibri" w:hAnsi="Calibri"/>
          <w:sz w:val="22"/>
          <w:szCs w:val="22"/>
          <w:highlight w:val="white"/>
          <w:rtl w:val="0"/>
        </w:rPr>
        <w:t xml:space="preserve">, the c</w:t>
      </w:r>
      <w:r w:rsidDel="00000000" w:rsidR="00000000" w:rsidRPr="00000000">
        <w:rPr>
          <w:rFonts w:ascii="Calibri" w:cs="Calibri" w:eastAsia="Calibri" w:hAnsi="Calibri"/>
          <w:sz w:val="22"/>
          <w:szCs w:val="22"/>
          <w:rtl w:val="0"/>
        </w:rPr>
        <w:t xml:space="preserve">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applications which have been submitted using the correct template and are completed will be considered.</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Important notice: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only Ukrainian nationals are eligible to apply; civil servants are not eligible for applying unless the 6 months period has elapsed since they have left such employment.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8. Selection Procedure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evaluation of all applications received, selected candidates will be invited to a brief written test in Kyiv covering both general and technical questions in both English and Ukrainian. Only short-listed candidates will be invited to an interview.</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5D">
      <w:pPr>
        <w:rPr/>
      </w:pPr>
      <w:bookmarkStart w:colFirst="0" w:colLast="0" w:name="_gjdgxs" w:id="0"/>
      <w:bookmarkEnd w:id="0"/>
      <w:r w:rsidDel="00000000" w:rsidR="00000000" w:rsidRPr="00000000">
        <w:rPr>
          <w:rtl w:val="0"/>
        </w:rPr>
      </w:r>
    </w:p>
    <w:sectPr>
      <w:pgSz w:h="16840" w:w="1190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st@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