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body>
    <w:p>
      <w:pPr>
        <w:spacing w:before="240" w:after="240" w:beforeAutospacing="0" w:afterAutospacing="0"/>
        <w:jc w:val="right"/>
        <w:rPr>
          <w:rFonts w:ascii="Times New Roman" w:hAnsi="Times New Roman"/>
          <w:sz w:val="28"/>
          <w:szCs w:val="28"/>
        </w:rPr>
      </w:pPr>
      <w:r>
        <w:rPr>
          <w:rFonts w:ascii="Times New Roman" w:hAnsi="Times New Roman"/>
          <w:smallCaps w:val="0"/>
          <w:sz w:val="28"/>
          <w:szCs w:val="22"/>
          <w:cs w:val="0"/>
          <w:spacing w:val="0"/>
          <w:w w:val="100"/>
          <w:position w:val="0"/>
          <w:snapToGrid w:val="1"/>
        </w:rPr>
        <w:t>ПРОЄКТ</w:t>
      </w:r>
    </w:p>
    <w:p>
      <w:pPr>
        <w:spacing w:before="240" w:after="240" w:beforeAutospacing="0" w:afterAutospacing="0"/>
        <w:jc w:val="right"/>
        <w:rPr>
          <w:rFonts w:ascii="Times New Roman" w:hAnsi="Times New Roman"/>
          <w:sz w:val="28"/>
          <w:szCs w:val="28"/>
        </w:rPr>
      </w:pPr>
      <w:r>
        <w:rPr>
          <w:rFonts w:ascii="Times New Roman" w:hAnsi="Times New Roman"/>
          <w:sz w:val="28"/>
          <w:szCs w:val="28"/>
        </w:rPr>
        <w:t>ЗАТВЕРДЖЕНО</w:t>
      </w:r>
    </w:p>
    <w:p>
      <w:pPr>
        <w:spacing w:before="240" w:after="240" w:beforeAutospacing="0" w:afterAutospacing="0"/>
        <w:jc w:val="right"/>
        <w:rPr>
          <w:rFonts w:ascii="Times New Roman" w:hAnsi="Times New Roman"/>
          <w:sz w:val="28"/>
          <w:szCs w:val="28"/>
        </w:rPr>
      </w:pPr>
      <w:r>
        <w:rPr>
          <w:rFonts w:ascii="Times New Roman" w:hAnsi="Times New Roman"/>
          <w:sz w:val="28"/>
          <w:szCs w:val="28"/>
        </w:rPr>
        <w:t>постановою Кабінету Міністрів України</w:t>
      </w:r>
    </w:p>
    <w:p>
      <w:pPr>
        <w:spacing w:before="240" w:after="240" w:beforeAutospacing="0" w:afterAutospacing="0"/>
        <w:jc w:val="right"/>
        <w:rPr>
          <w:rFonts w:ascii="Times New Roman" w:hAnsi="Times New Roman"/>
          <w:sz w:val="28"/>
          <w:szCs w:val="28"/>
        </w:rPr>
      </w:pPr>
      <w:r>
        <w:rPr>
          <w:rFonts w:ascii="Times New Roman" w:hAnsi="Times New Roman"/>
          <w:sz w:val="28"/>
          <w:szCs w:val="28"/>
        </w:rPr>
        <w:t>від _________ 2022 р. № _____</w:t>
      </w:r>
    </w:p>
    <w:p>
      <w:pPr>
        <w:spacing w:before="240" w:after="240" w:beforeAutospacing="0" w:afterAutospacing="0"/>
        <w:jc w:val="center"/>
        <w:rPr>
          <w:rFonts w:ascii="Times New Roman" w:hAnsi="Times New Roman"/>
          <w:sz w:val="28"/>
          <w:szCs w:val="28"/>
        </w:rPr>
      </w:pPr>
      <w:bookmarkStart w:id="0" w:name="_GoBack"/>
      <w:bookmarkEnd w:id="0"/>
    </w:p>
    <w:p>
      <w:pPr>
        <w:spacing w:before="240" w:after="240" w:beforeAutospacing="0" w:afterAutospacing="0"/>
        <w:jc w:val="center"/>
        <w:rPr>
          <w:rFonts w:ascii="Times New Roman" w:hAnsi="Times New Roman"/>
          <w:sz w:val="28"/>
          <w:szCs w:val="28"/>
        </w:rPr>
      </w:pPr>
      <w:r>
        <w:rPr>
          <w:rFonts w:ascii="Times New Roman" w:hAnsi="Times New Roman"/>
          <w:sz w:val="28"/>
          <w:szCs w:val="28"/>
        </w:rPr>
        <w:t>ПОЛОЖЕННЯ</w:t>
      </w:r>
    </w:p>
    <w:p>
      <w:pPr>
        <w:spacing w:before="240" w:after="240" w:beforeAutospacing="0" w:afterAutospacing="0"/>
        <w:jc w:val="center"/>
        <w:rPr>
          <w:rFonts w:ascii="Times New Roman" w:hAnsi="Times New Roman"/>
          <w:sz w:val="28"/>
          <w:szCs w:val="28"/>
        </w:rPr>
      </w:pPr>
      <w:r>
        <w:rPr>
          <w:rFonts w:ascii="Times New Roman" w:hAnsi="Times New Roman"/>
          <w:sz w:val="28"/>
          <w:szCs w:val="28"/>
        </w:rPr>
        <w:t>про функціонування Координаційного центру та Національних контактних пунктів Рамкової програми Європейського Союзу з досліджень та інновацій «Горизонт Європа»</w:t>
      </w:r>
    </w:p>
    <w:p>
      <w:pPr>
        <w:shd w:val="clear" w:fill="FFFFFF"/>
        <w:spacing w:before="160" w:after="160" w:beforeAutospacing="0" w:afterAutospacing="0"/>
        <w:ind w:left="460" w:right="460"/>
        <w:jc w:val="center"/>
        <w:rPr>
          <w:rFonts w:ascii="Times New Roman" w:hAnsi="Times New Roman"/>
          <w:b w:val="1"/>
          <w:sz w:val="28"/>
          <w:szCs w:val="28"/>
        </w:rPr>
      </w:pPr>
      <w:r>
        <w:rPr>
          <w:rFonts w:ascii="Times New Roman" w:hAnsi="Times New Roman"/>
          <w:b w:val="1"/>
          <w:sz w:val="28"/>
          <w:szCs w:val="28"/>
        </w:rPr>
        <w:t>І. Загальні положення</w:t>
      </w:r>
    </w:p>
    <w:p>
      <w:pP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 xml:space="preserve">1. Це Положення розроблено з метою імплементації  Угоди про участь України у Рамковій програмі з досліджень та інновацій «Горизонт Європа» та Програмі з досліджень та навчання Європейського співтовариства з атомної енергії «Євратом» та забезпечення інтеграції вітчизняного сектору наукових досліджень</w:t>
      </w:r>
      <w:r>
        <w:rPr>
          <w:rFonts w:ascii="Times New Roman" w:hAnsi="Times New Roman"/>
          <w:sz w:val="28"/>
          <w:szCs w:val="28"/>
          <w:lang w:val="uk-UA"/>
        </w:rPr>
        <w:t xml:space="preserve"> та інновацій</w:t>
      </w:r>
      <w:r>
        <w:rPr>
          <w:rFonts w:ascii="Times New Roman" w:hAnsi="Times New Roman"/>
          <w:sz w:val="28"/>
          <w:szCs w:val="28"/>
        </w:rPr>
        <w:t xml:space="preserve"> у Європейський дослідницький простір.</w:t>
      </w:r>
    </w:p>
    <w:p>
      <w:pPr>
        <w:shd w:val="clear" w:fill="FFFFFF"/>
        <w:spacing w:after="160" w:beforeAutospacing="0" w:afterAutospacing="0"/>
        <w:ind w:firstLine="460"/>
        <w:jc w:val="both"/>
        <w:rPr>
          <w:rFonts w:ascii="Times New Roman" w:hAnsi="Times New Roman"/>
          <w:sz w:val="28"/>
          <w:szCs w:val="28"/>
          <w:highlight w:val="yellow"/>
        </w:rPr>
      </w:pPr>
      <w:r>
        <w:rPr>
          <w:rFonts w:ascii="Times New Roman" w:hAnsi="Times New Roman"/>
          <w:sz w:val="28"/>
          <w:szCs w:val="28"/>
        </w:rPr>
        <w:t>Національний контактний пункт (далі - НКП) Рамкової програми Європейського Союзу з досліджень та інновацій «Горизонт Європа» (далі - програма «Горизонт Європа») та Програмі з досліджень та навчання Європейського співтовариства з атомної енергії «Євратом» (далі - Євратом) – фізична особа, на яку покладено обов’язки з інформаційно-методичного супроводу тематичних напрямів досліджень, визначених Європейською Комісією (далі - ЄК) для програми ЄС з досліджень та інновацій «Горизонт Європа», для представництва національних інтересів за цими напрямами.</w:t>
      </w:r>
      <w:r>
        <w:rPr>
          <w:rFonts w:ascii="Times New Roman" w:hAnsi="Times New Roman"/>
          <w:sz w:val="28"/>
          <w:szCs w:val="28"/>
        </w:rPr>
        <w:t xml:space="preserve">НКП програми «Горизонт Європа» затверджуються  наказом центрального органу виконавчої влади, що забезпечує формування та реалізацію державної політики у сферах науки, наукової, науково-технічної та інноваційної діяльності</w:t>
      </w:r>
      <w:r>
        <w:rPr>
          <w:rFonts w:ascii="Times New Roman" w:hAnsi="Times New Roman"/>
          <w:sz w:val="28"/>
          <w:szCs w:val="28"/>
          <w:lang w:val="uk-UA"/>
        </w:rPr>
        <w:t>, або за погодженням з ним іншим органом виконавчої влади</w:t>
      </w:r>
      <w:r>
        <w:rPr>
          <w:rFonts w:ascii="Times New Roman" w:hAnsi="Times New Roman"/>
          <w:sz w:val="28"/>
          <w:szCs w:val="28"/>
        </w:rPr>
        <w:t>. НКП створюються на основі базової організації.</w:t>
      </w:r>
    </w:p>
    <w:p>
      <w:pP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Координаційний центр програми «Горизонт Європа» - це юридична особа або підрозділ юридичної особи, на який покладається задача загальної координації роботи національної мережі НКП, технічне та методичне забезпечення ї</w:t>
      </w:r>
      <w:r>
        <w:rPr>
          <w:rFonts w:ascii="Times New Roman" w:hAnsi="Times New Roman"/>
          <w:sz w:val="28"/>
          <w:szCs w:val="28"/>
          <w:lang w:val="uk-UA"/>
        </w:rPr>
        <w:t>ї</w:t>
      </w:r>
      <w:r>
        <w:rPr>
          <w:rFonts w:ascii="Times New Roman" w:hAnsi="Times New Roman"/>
          <w:sz w:val="28"/>
          <w:szCs w:val="28"/>
        </w:rPr>
        <w:t xml:space="preserve"> функціонування. Визначається наказом центрального органу виконавчої влади, що забезпечує формування та реалізацію державної політики у сферах науки, наукової, науково-технічної та інноваційної діяльності за поданням базової організації</w:t>
      </w:r>
      <w:r>
        <w:rPr>
          <w:rFonts w:ascii="Times New Roman" w:hAnsi="Times New Roman"/>
          <w:sz w:val="28"/>
          <w:szCs w:val="28"/>
          <w:lang w:val="uk-UA"/>
        </w:rPr>
        <w:t>, в якій такий центр буде створений</w:t>
      </w:r>
      <w:r>
        <w:rPr>
          <w:rFonts w:ascii="Times New Roman" w:hAnsi="Times New Roman"/>
          <w:sz w:val="28"/>
          <w:szCs w:val="28"/>
        </w:rPr>
        <w:t xml:space="preserve">. </w:t>
      </w:r>
    </w:p>
    <w:p>
      <w:pP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 xml:space="preserve">2. Координаційний центр та НКП у своїй діяльності керуються </w:t>
      </w:r>
      <w:hyperlink xmlns:r="http://schemas.openxmlformats.org/officeDocument/2006/relationships" r:id="R2">
        <w:r>
          <w:rPr>
            <w:rFonts w:ascii="Times New Roman" w:hAnsi="Times New Roman"/>
            <w:sz w:val="28"/>
            <w:szCs w:val="28"/>
          </w:rPr>
          <w:t>Конституцією України</w:t>
        </w:r>
      </w:hyperlink>
      <w:r>
        <w:rPr>
          <w:rFonts w:ascii="Times New Roman" w:hAnsi="Times New Roman"/>
          <w:sz w:val="28"/>
          <w:szCs w:val="28"/>
        </w:rPr>
        <w:t>, законами України, указами Президента України, постановами Верховної Ради України, прийнятими відповідно до Конституції та законів України, актами Кабінету Міністрів України, іншими актами законодавства України та цим Положенням.</w:t>
      </w:r>
    </w:p>
    <w:p>
      <w:pP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3. У цьому Положенні терміни вживаються у таких значеннях:</w:t>
      </w:r>
    </w:p>
    <w:p>
      <w:pP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базова організація - юридична особа (міністерство, агентство, освітня, наукова, дослідницька установа, асоціація тощо), в якій створено НКП;</w:t>
      </w:r>
    </w:p>
    <w:p>
      <w:pP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національна мережа Національних контактних пунктів (далі - НМНКП) - сукупність НКП програм «Горизонт Європа»</w:t>
      </w:r>
      <w:r>
        <w:rPr>
          <w:rFonts w:ascii="Times New Roman" w:hAnsi="Times New Roman"/>
          <w:sz w:val="28"/>
          <w:szCs w:val="28"/>
          <w:lang w:val="uk-UA"/>
        </w:rPr>
        <w:t xml:space="preserve"> та «Євратом»</w:t>
      </w:r>
      <w:r>
        <w:rPr>
          <w:rFonts w:ascii="Times New Roman" w:hAnsi="Times New Roman"/>
          <w:sz w:val="28"/>
          <w:szCs w:val="28"/>
        </w:rPr>
        <w:t>.</w:t>
      </w:r>
    </w:p>
    <w:p>
      <w:pP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4. Координаційний центр програми «Горизонт Європа» подає органам державної влади та місцевого самоврядування пропозиції щодо долучення до окремих тематичних програм, партнерств тощо. Координаційний центр за необхідності подає пропозиції щодо змін у структурі НМНКП.</w:t>
      </w:r>
    </w:p>
    <w:p>
      <w:pP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5. НКП діють на підставі положень, що затверджуються керівником базової організації.</w:t>
      </w:r>
      <w:r>
        <w:rPr>
          <w:rFonts w:ascii="Times New Roman" w:hAnsi="Times New Roman"/>
          <w:sz w:val="28"/>
          <w:szCs w:val="28"/>
        </w:rPr>
        <w:t xml:space="preserve">7. Для координації діяльності НКП на основі базових організацій можуть бути створені регіональні центри (далі - РЦ), перелік яких затверджується наказом  центрального органу виконавчої влади, що забезпечує формування та реалізацію державної політики у сферах науки, наукової, науково-технічної та інноваційної діяльності за поданням Координаційного центру програми «Горизонт Європа». РЦ створюються на основі нових або існуючих підрозділів базової організації.</w:t>
      </w:r>
    </w:p>
    <w:p>
      <w:pPr>
        <w:shd w:val="clear" w:fill="FFFFFF"/>
        <w:spacing w:before="160" w:after="160" w:beforeAutospacing="0" w:afterAutospacing="0"/>
        <w:ind w:left="460" w:right="460"/>
        <w:jc w:val="center"/>
        <w:rPr>
          <w:rFonts w:ascii="Times New Roman" w:hAnsi="Times New Roman"/>
          <w:b w:val="1"/>
          <w:sz w:val="28"/>
          <w:szCs w:val="28"/>
        </w:rPr>
      </w:pPr>
      <w:r>
        <w:rPr>
          <w:rFonts w:ascii="Times New Roman" w:hAnsi="Times New Roman"/>
          <w:b w:val="1"/>
          <w:sz w:val="28"/>
          <w:szCs w:val="28"/>
        </w:rPr>
        <w:t>ІІ. Завдання і функції Координаційного центру та Національних контактних пунктів</w:t>
      </w:r>
    </w:p>
    <w:p>
      <w:pP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1. Основними завданнями Координаційного центру</w:t>
      </w:r>
      <w:r>
        <w:rPr>
          <w:rFonts w:ascii="Times New Roman" w:hAnsi="Times New Roman"/>
          <w:b w:val="1"/>
          <w:sz w:val="28"/>
          <w:szCs w:val="28"/>
        </w:rPr>
        <w:t xml:space="preserve"> </w:t>
      </w:r>
      <w:r>
        <w:rPr>
          <w:rFonts w:ascii="Times New Roman" w:hAnsi="Times New Roman"/>
          <w:sz w:val="28"/>
          <w:szCs w:val="28"/>
        </w:rPr>
        <w:t>є:</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 xml:space="preserve">1) збирання, узагальнення аналіз та розповсюдження інформації про результати участі українських організацій та окремих проєктних команд у програмах ЄС у галузі науки, технологій та інноваційної діяльності, обміну знаннями та навчання; </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2) створення та підтримка інформаційних інструментів НМНКП та поширення інформації про діяльність НМНКП серед зацікавлених сторін;</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3) надання консультаційних послуг юридичним та фізичним особам зацікавленим в участі у програмах ЄС у галузі досліджень та інновацій за фінансовими та юридичними правилами участі та пошуку партнерів; консультування</w:t>
      </w:r>
      <w:r>
        <w:rPr>
          <w:rFonts w:ascii="Times New Roman" w:hAnsi="Times New Roman"/>
          <w:sz w:val="28"/>
          <w:szCs w:val="28"/>
          <w:lang w:val="uk-UA"/>
        </w:rPr>
        <w:t xml:space="preserve"> </w:t>
      </w:r>
      <w:r>
        <w:rPr>
          <w:rFonts w:ascii="Times New Roman" w:hAnsi="Times New Roman"/>
          <w:sz w:val="28"/>
          <w:szCs w:val="28"/>
        </w:rPr>
        <w:t>виконавців проєктів.</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 xml:space="preserve">4) організація щорічних семінарів, конференцій, тренінгів та інших заходів серед НМНКП із розвитку ефективності роботи та підвищення кваліфікації представників  НМНКП;</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5) організація та підтримка міжнародних заходів, спрямованих на популяризацію можливостей програми “Горизонт Європа”, комунікацію потенційних та досвідчених учасників програми, обмін досвідом тощо, із залученням органів державної влади та представників Європейської комісії, інших зацікавлених сторін;</w:t>
      </w:r>
    </w:p>
    <w:p>
      <w:pPr>
        <w:pBdr>
          <w:top w:val="nil" w:sz="0" w:space="0" w:shadow="0" w:frame="0" w:color="auto"/>
          <w:left w:val="nil" w:sz="0" w:space="0" w:shadow="0" w:frame="0" w:color="auto"/>
          <w:bottom w:val="nil" w:sz="0" w:space="0" w:shadow="0" w:frame="0" w:color="auto"/>
          <w:right w:val="nil" w:sz="0" w:space="0" w:shadow="0" w:frame="0" w:color="auto"/>
          <w:between w:val="nil" w:sz="0" w:space="0" w:shadow="0" w:frame="0" w:color="auto"/>
        </w:pBd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lang w:val="uk-UA"/>
        </w:rPr>
        <w:t xml:space="preserve"> </w:t>
      </w:r>
      <w:r>
        <w:rPr>
          <w:rFonts w:ascii="Times New Roman" w:hAnsi="Times New Roman"/>
          <w:sz w:val="28"/>
          <w:szCs w:val="28"/>
        </w:rPr>
        <w:t>звітування перед громадськістю та заінтересованими органами державної влади про результати участі українських організацій в програмі “Горизонт Європа” та діяльність Координаційного центру та НМНКП перед зацікавленими сторонами.</w:t>
      </w:r>
    </w:p>
    <w:p>
      <w:pP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2. Функціями Координаційного центру є:</w:t>
      </w:r>
    </w:p>
    <w:p>
      <w:pPr>
        <w:numPr>
          <w:ilvl w:val="0"/>
          <w:numId w:val="1"/>
        </w:numPr>
        <w:shd w:val="clear" w:fill="FFFFFF"/>
        <w:jc w:val="both"/>
        <w:rPr>
          <w:rFonts w:ascii="Times New Roman" w:hAnsi="Times New Roman"/>
          <w:sz w:val="28"/>
          <w:szCs w:val="28"/>
        </w:rPr>
      </w:pPr>
      <w:r>
        <w:rPr>
          <w:rFonts w:ascii="Times New Roman" w:hAnsi="Times New Roman"/>
          <w:sz w:val="28"/>
          <w:szCs w:val="28"/>
        </w:rPr>
        <w:t>взаємодія з питань співробітництва України у програмах ЄС у галузі досліджень та інновацій з центральним органом виконавчої влади, що забезпечує формування та реалізацію державної політики у сферах наукової, науково-технічної та інноваційної діяльності та іншими органами державної влади України, Європейською Комісією та Представництвом ЄС в Україні, надання їм статистичної та аналітичної інформації про стан співробітництва та пропозицій щодо його розвитку;</w:t>
      </w:r>
    </w:p>
    <w:p>
      <w:pPr>
        <w:numPr>
          <w:ilvl w:val="0"/>
          <w:numId w:val="1"/>
        </w:numPr>
        <w:shd w:val="clear" w:fill="FFFFFF"/>
        <w:jc w:val="both"/>
        <w:rPr>
          <w:rFonts w:ascii="Times New Roman" w:hAnsi="Times New Roman"/>
          <w:sz w:val="28"/>
          <w:szCs w:val="28"/>
        </w:rPr>
      </w:pPr>
      <w:r>
        <w:rPr>
          <w:rFonts w:ascii="Times New Roman" w:hAnsi="Times New Roman"/>
          <w:sz w:val="28"/>
          <w:szCs w:val="28"/>
        </w:rPr>
        <w:t xml:space="preserve">забезпечення технічної та організаційної підтримки Національного координатора програми </w:t>
      </w:r>
      <w:r>
        <w:rPr>
          <w:rFonts w:ascii="Times New Roman" w:hAnsi="Times New Roman"/>
          <w:sz w:val="28"/>
          <w:szCs w:val="28"/>
          <w:lang w:val="uk-UA"/>
        </w:rPr>
        <w:t>НМНКП</w:t>
      </w:r>
      <w:r>
        <w:rPr>
          <w:rFonts w:ascii="Times New Roman" w:hAnsi="Times New Roman"/>
          <w:sz w:val="28"/>
          <w:szCs w:val="28"/>
        </w:rPr>
        <w:t>;</w:t>
      </w:r>
    </w:p>
    <w:p>
      <w:pPr>
        <w:numPr>
          <w:ilvl w:val="0"/>
          <w:numId w:val="1"/>
        </w:numPr>
        <w:shd w:val="clear" w:fill="FFFFFF"/>
        <w:spacing w:after="160" w:beforeAutospacing="0" w:afterAutospacing="0"/>
        <w:jc w:val="both"/>
        <w:rPr>
          <w:rFonts w:ascii="Times New Roman" w:hAnsi="Times New Roman"/>
          <w:sz w:val="28"/>
          <w:szCs w:val="28"/>
        </w:rPr>
      </w:pPr>
      <w:r>
        <w:rPr>
          <w:rFonts w:ascii="Times New Roman" w:hAnsi="Times New Roman"/>
          <w:sz w:val="28"/>
          <w:szCs w:val="28"/>
        </w:rPr>
        <w:t>координація, технічний і методичний супровід роботи НКП та НМНКП, підвищення рівня обізнаності НКП щодо інструментів програми “Горизонт Європа” та моніторинг ефективності НКП.</w:t>
      </w:r>
    </w:p>
    <w:p>
      <w:pPr>
        <w:shd w:val="clear" w:fill="FFFFFF"/>
        <w:spacing w:after="160" w:beforeAutospacing="0" w:afterAutospacing="0"/>
        <w:ind w:left="720"/>
        <w:jc w:val="both"/>
        <w:rPr>
          <w:rFonts w:ascii="Times New Roman" w:hAnsi="Times New Roman"/>
          <w:sz w:val="28"/>
          <w:szCs w:val="28"/>
        </w:rPr>
      </w:pPr>
      <w:r>
        <w:rPr>
          <w:rFonts w:ascii="Times New Roman" w:hAnsi="Times New Roman"/>
          <w:sz w:val="28"/>
          <w:szCs w:val="28"/>
        </w:rPr>
        <w:t>2. Основними завданнями НКП є:</w:t>
      </w:r>
    </w:p>
    <w:p>
      <w:pP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1) підтримка інтеграції науково-інноваційної системи України до Європейського дослідницького простору та активізація взаємовигідного науково-технічного та інноваційного співробітництва з ЄС шляхом забезпечення інформаційної та консультаційної підтримки українських суб’єктів наукової, науково-технічної та інноваційної діяльності з питань участі у проєктах програми «Горизонт Європа», методичний супровід участі українських суб’єктів наукової, науково-технічної та інноваційної діяльності у реалізації проєктів програми «Горизонт Європа» за тематичними напрямами, а також підготовка пропозицій щодо вдосконалення шляхів взаємодії з ЄС у сфері наукових досліджень, технологічного та інноваційного розвитку;</w:t>
      </w:r>
    </w:p>
    <w:p>
      <w:pP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2) інформування українських суб’єктів наукової, науково-технічної та інноваційної діяльності щодо програм ЄС у галузі досліджень та інновацій, а також щодо інших європейських програм, у тому числі щодо поточних та наступних конкурсів, умов участі, а також можливостей та умов подання пропозицій;</w:t>
      </w:r>
    </w:p>
    <w:p>
      <w:pP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3) підвищення обізнаності громадськості, малих та середніх підприємств (МСП) про можливості програми «Горизонт Європа», популяризація науки та, зокрема, результатів участі українських організацій в програмі «Горизонт Європа» та комплементарних до неї;</w:t>
      </w:r>
    </w:p>
    <w:p>
      <w:pP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4) надання консультаційної допомоги щодо пошуку партнерів, вибору варіантів фінансування, організації належного управління, правових та фінансових аспектів, митних процедур та інших питань у поточних проєктах, що реалізуються за участю суб’єктів наукової, науково-технічної та інноваційної діяльності;</w:t>
      </w:r>
    </w:p>
    <w:p>
      <w:pP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5) організація та проведення інформаційних днів, навчальних семінарів для цільових груп (суб’єктів наукової, науково-технічної та інноваційної діяльності, МСП, вчених-жінок тощо) за актуальними тематичними напрямами програми «Горизонт Європа».</w:t>
      </w:r>
    </w:p>
    <w:p>
      <w:pP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3. НКП відповідно до покладених на нього завдань:</w:t>
      </w:r>
    </w:p>
    <w:p>
      <w:pP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1) поширює інформаційно-аналітичні матеріали щодо програми «Горизонт Європа», включаючи інформацію про умови участі, можливості та умови подання проєктів, формування бюджету проєкту та звітування;</w:t>
      </w:r>
    </w:p>
    <w:p>
      <w:pP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2) організовує за допомогою Європейської Комісії за визначеним тематичним напрямом інформаційну та просвітницьку діяльність (інформаційні дні, семінари, конференції, ярмарки тощо), зокрема організовує заходи для цільових груп (суб’єктів наукової, науково-технічної та інноваційної діяльності наукових установ, закладів</w:t>
      </w:r>
      <w:r>
        <w:rPr>
          <w:rFonts w:ascii="Times New Roman" w:hAnsi="Times New Roman"/>
          <w:sz w:val="28"/>
          <w:szCs w:val="28"/>
        </w:rPr>
        <w:t>, МСП, суб’єктів підприємницької діяльності, вчених- жінок тощо) або тематичні заходи щодо правових аспектів, умов участі, правила фінансування тощо;</w:t>
      </w:r>
    </w:p>
    <w:p>
      <w:pP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3) взаємодіє з іншими НКП в Україні та Координаційним центром, НКП відповідного тематичного напряму інших країн;</w:t>
      </w:r>
    </w:p>
    <w:p>
      <w:pP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4) бере участь у заходах та проєктах Європейської комісії, що стосуються діяльності НКП (навчальні семінари, конференції, виставки, що організовуються базовими організаціями, міжнародні семінари для представників національних мереж НКП тощо);</w:t>
      </w:r>
    </w:p>
    <w:p>
      <w:pP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5) здійснює моніторинг участі українських суб’єктів наукової, науково-технічної та інноваційної діяльності у програмі «Горизонт Європа» а</w:t>
      </w:r>
      <w:r>
        <w:rPr>
          <w:rFonts w:ascii="Times New Roman" w:hAnsi="Times New Roman"/>
          <w:sz w:val="28"/>
          <w:szCs w:val="28"/>
          <w:lang w:val="uk-UA"/>
        </w:rPr>
        <w:t>бо «Євратом»</w:t>
      </w:r>
      <w:r>
        <w:rPr>
          <w:rFonts w:ascii="Times New Roman" w:hAnsi="Times New Roman"/>
          <w:sz w:val="28"/>
          <w:szCs w:val="28"/>
        </w:rPr>
        <w:t xml:space="preserve"> за напрямом своєї діяльності;</w:t>
      </w:r>
    </w:p>
    <w:p>
      <w:pP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 xml:space="preserve">6) забезпечує підтримку та оновлення вебсайтів з актуальною інформацією з питань програми «Горизонт Європа» </w:t>
      </w:r>
      <w:r>
        <w:rPr>
          <w:rFonts w:ascii="Times New Roman" w:hAnsi="Times New Roman"/>
          <w:sz w:val="28"/>
          <w:szCs w:val="28"/>
          <w:lang w:val="uk-UA"/>
        </w:rPr>
        <w:t xml:space="preserve">або «Євратом» </w:t>
      </w:r>
      <w:r>
        <w:rPr>
          <w:rFonts w:ascii="Times New Roman" w:hAnsi="Times New Roman"/>
          <w:sz w:val="28"/>
          <w:szCs w:val="28"/>
        </w:rPr>
        <w:t>відповідно до свого тематичного напряму;</w:t>
      </w:r>
    </w:p>
    <w:p>
      <w:pP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7) здійснює підготовку аналітичних матеріалів для надання органам державної влади пропозицій з питань участі в програмах ЄС у галузі досліджень та інновацій;</w:t>
      </w:r>
    </w:p>
    <w:p>
      <w:pP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8) забезпечує мережевий обмін інформацією з іншими НКП, національним координатором НКП та Координаційним центром;</w:t>
      </w:r>
    </w:p>
    <w:p>
      <w:pP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9) вживає заходів щодо підвищення обізнаності стосовно інноваційної діяльності у рамках програми «Горизонт Європа», зокрема з метою активізації участі представників промисловості та МСП;</w:t>
      </w:r>
    </w:p>
    <w:p>
      <w:pP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3. НКП з метою організації своєї діяльності відповідно до свого тематичного напряму:</w:t>
      </w:r>
    </w:p>
    <w:p>
      <w:pP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1) забезпечує підтримку профілю НКП на вебсайті щодо основної інформації з питань програми «Горизонт Європа»;</w:t>
      </w:r>
    </w:p>
    <w:p>
      <w:pP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2) забезпечує моніторинг участі українських суб’єктів наукової, науково-технічної та інноваційної діяльності у програмі «Горизонт Європа»,</w:t>
      </w:r>
    </w:p>
    <w:p>
      <w:pP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 xml:space="preserve">3) здійснює комунікацію і співпрацю з НКП інших країн за своїм тематичним напрямком; </w:t>
      </w:r>
    </w:p>
    <w:p>
      <w:pP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4) подає пропозиції заінтересованим органам державної влади, окремим організаціям з питань участі в європейських програмах у галузі досліджень та інновацій.</w:t>
      </w:r>
    </w:p>
    <w:p>
      <w:pPr>
        <w:shd w:val="clear" w:fill="FFFFFF"/>
        <w:spacing w:before="160" w:after="160" w:beforeAutospacing="0" w:afterAutospacing="0"/>
        <w:ind w:left="460" w:right="460"/>
        <w:jc w:val="center"/>
        <w:rPr>
          <w:rFonts w:ascii="Times New Roman" w:hAnsi="Times New Roman"/>
          <w:b w:val="1"/>
          <w:sz w:val="28"/>
          <w:szCs w:val="28"/>
        </w:rPr>
      </w:pPr>
      <w:r>
        <w:rPr>
          <w:rFonts w:ascii="Times New Roman" w:hAnsi="Times New Roman"/>
          <w:b w:val="1"/>
          <w:sz w:val="28"/>
          <w:szCs w:val="28"/>
        </w:rPr>
        <w:t>ІІІ. Загальні вимоги щодо діяльності Координаційного центру та Національних контактних пунктів</w:t>
      </w:r>
    </w:p>
    <w:p>
      <w:pP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Діяльність Координаційного центру та НКП здійснюється із дотриманням таких вимог:</w:t>
      </w:r>
    </w:p>
    <w:p>
      <w:pP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високий рівень компетенції за закріпленим за НКП тематичним напрямом, а також знання структури та змісту програми «Горизонт Європа» для Координаційного центру;</w:t>
      </w:r>
    </w:p>
    <w:p>
      <w:pP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дотримання узгоджених підходів до виконання функцій, вказаних в цьому Положенні;</w:t>
      </w:r>
    </w:p>
    <w:p>
      <w:pP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 xml:space="preserve">забезпечення інтересів держави, українських суб’єктів наукової, науково-технічної та інноваційної діяльності, що беруть участь у реалізації </w:t>
      </w:r>
      <w:r>
        <w:rPr>
          <w:rFonts w:ascii="Times New Roman" w:hAnsi="Times New Roman"/>
          <w:sz w:val="28"/>
          <w:szCs w:val="28"/>
        </w:rPr>
        <w:t xml:space="preserve"> </w:t>
      </w:r>
      <w:r>
        <w:rPr>
          <w:rFonts w:ascii="Times New Roman" w:hAnsi="Times New Roman"/>
          <w:sz w:val="28"/>
          <w:szCs w:val="28"/>
        </w:rPr>
        <w:t>проєктів в програмах «Горизонт Європа» та “Євратом”, а також конфіденційності науково-технічної інформації, переданої до НКП та Координаційного центру в процесі взаємодії із заінтересованими установами та проєктними командами;</w:t>
      </w:r>
    </w:p>
    <w:p>
      <w:pP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відсутність конфлікту інтересів між виконанням функцій НКП та Координаційного центру з професійною діяльністю.</w:t>
      </w:r>
    </w:p>
    <w:p>
      <w:pPr>
        <w:shd w:val="clear" w:fill="FFFFFF"/>
        <w:spacing w:before="160" w:after="160" w:beforeAutospacing="0" w:afterAutospacing="0"/>
        <w:ind w:left="460" w:right="460"/>
        <w:jc w:val="center"/>
        <w:rPr>
          <w:rFonts w:ascii="Times New Roman" w:hAnsi="Times New Roman"/>
          <w:b w:val="1"/>
          <w:sz w:val="28"/>
          <w:szCs w:val="28"/>
        </w:rPr>
      </w:pPr>
      <w:r>
        <w:rPr>
          <w:rFonts w:ascii="Times New Roman" w:hAnsi="Times New Roman"/>
          <w:b w:val="1"/>
          <w:sz w:val="28"/>
          <w:szCs w:val="28"/>
        </w:rPr>
        <w:t>IV. Забезпечення Координаційного центру та Національних контактних пунктів</w:t>
      </w:r>
    </w:p>
    <w:p>
      <w:pP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 xml:space="preserve">1. Центральний орган виконавчої влади, що  забезпечує формування та реалізацію державної політики у сферах науки, наукової, науково-технічної та інноваційної діяльності здійснює загальне керівництво та моніторинг діяльності Координаційного центру та мережі НКП, а також подає інформацію щодо призначення або зміни НКП до Європейської комісії.</w:t>
      </w:r>
    </w:p>
    <w:p>
      <w:pP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2. Роботу НКП забезпечує базова організація. Забезпечення діяльності НКП в базовій організації може здійснювати окремий підрозділ.</w:t>
      </w:r>
    </w:p>
    <w:p>
      <w:pP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 xml:space="preserve">3. Центральний орган виконавчої влади, що  забезпечує формування та реалізацію державної політики у сферах науки, наукової, науково-технічної та інноваційної діяльності, організовує створення та підтримку вебсайту для розміщення актуальної інформації щодо можливостей долучення до програм «Горизонт Європа»</w:t>
      </w:r>
      <w:r>
        <w:rPr>
          <w:rFonts w:ascii="Times New Roman" w:hAnsi="Times New Roman"/>
          <w:sz w:val="28"/>
          <w:szCs w:val="28"/>
          <w:lang w:val="uk-UA"/>
        </w:rPr>
        <w:t xml:space="preserve"> та «Євратом»</w:t>
      </w:r>
      <w:r>
        <w:rPr>
          <w:rFonts w:ascii="Times New Roman" w:hAnsi="Times New Roman"/>
          <w:sz w:val="28"/>
          <w:szCs w:val="28"/>
        </w:rPr>
        <w:t>, методичних матеріалів тощо.</w:t>
      </w:r>
    </w:p>
    <w:p>
      <w:pP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4. Фінансове забезпечення діяльності та матеріально-технічної бази Координаційного центру та НКП здійснюється у межах відповідних бюджетних призначень, а також за рахунок ресурсів міжнародної технічної допомоги та інших джерел, не заборонених законодавством.</w:t>
      </w:r>
    </w:p>
    <w:p>
      <w:pPr>
        <w:shd w:val="clear" w:fill="FFFFFF"/>
        <w:spacing w:before="160" w:after="160" w:beforeAutospacing="0" w:afterAutospacing="0"/>
        <w:ind w:left="460" w:right="460"/>
        <w:jc w:val="center"/>
        <w:rPr>
          <w:rFonts w:ascii="Times New Roman" w:hAnsi="Times New Roman"/>
          <w:b w:val="1"/>
          <w:sz w:val="28"/>
          <w:szCs w:val="28"/>
        </w:rPr>
      </w:pPr>
      <w:r>
        <w:rPr>
          <w:rFonts w:ascii="Times New Roman" w:hAnsi="Times New Roman"/>
          <w:b w:val="1"/>
          <w:sz w:val="28"/>
          <w:szCs w:val="28"/>
        </w:rPr>
        <w:t>V. Результативність діяльності Координаційного центру та Національних контактних пунктів</w:t>
      </w:r>
    </w:p>
    <w:p>
      <w:pP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 xml:space="preserve">1. НКП щороку звітує про виконання завдань та основних напрямів діяльності згідно з показниками, що встановлюються для критеріїв оцінки. Координаційний центр узагальнює звітні показники та передає узагальнені матеріали до центрального органу виконавчої влади, що забезпечує формування та реалізацію державної  політики  у сферах науки, наукової, науково-технічної та інноваційної діяльності.</w:t>
      </w:r>
    </w:p>
    <w:p>
      <w:pP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2. Критеріями оцінки НКП вважаються:</w:t>
      </w:r>
    </w:p>
    <w:p>
      <w:pP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кількість наданих консультацій для підготовки нових проєктних пропозицій та за діючими проєктами;</w:t>
      </w:r>
    </w:p>
    <w:p>
      <w:pP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кількість пропозицій, підготовлених за участі НКП;</w:t>
      </w:r>
    </w:p>
    <w:p>
      <w:pP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кількість проведених заходів;</w:t>
      </w:r>
    </w:p>
    <w:p>
      <w:pP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загальна кількість учасників проведених заходів;</w:t>
      </w:r>
    </w:p>
    <w:p>
      <w:pP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кількість підготовлених матеріалів для проведення заходів, зокрема презентацій, опитувальників тощо;</w:t>
      </w:r>
    </w:p>
    <w:p>
      <w:pP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кількість спільних заходів проведених з НМНКП, європейськими партнерами;</w:t>
      </w:r>
    </w:p>
    <w:p>
      <w:pP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регулярність наповнення (оновлення) інформаційних ресурсів, зокрема кількість підготовлених матеріалів для наповнення порталу міжнародного науково-технічного співробітництва, кількість публікацій в соціальних мережах.</w:t>
      </w:r>
    </w:p>
    <w:p>
      <w:pP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При оцінці НКП можуть враховуватись також результати опитувань учасників заходів, що проведені НКП, наявність інтеграції до міжнародних об'єднань за тематикою НКП.</w:t>
      </w:r>
    </w:p>
    <w:p>
      <w:pP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3. Критеріями оцінки діяльності Координаційного центру є кількість заходів, організованих для НМНКП, міжнародних заходів, організованих європейськими партнерами з фокусом для української сторони, регулярність наповнення (оновлення) інформаційних ресурсів методичними матеріалами, загальна кількість поданих проєктів, автори яких використовували послуги НМНКП та окремо послуги співробітників Координаційного центру, та проєктів, що пройшли конкурсний відбір, кількість підготовлених аналітичних матеріалів.</w:t>
      </w:r>
    </w:p>
    <w:p>
      <w:pPr>
        <w:shd w:val="clear" w:fill="FFFFFF"/>
        <w:spacing w:after="160" w:beforeAutospacing="0" w:afterAutospacing="0"/>
        <w:ind w:firstLine="460"/>
        <w:jc w:val="both"/>
        <w:rPr>
          <w:rFonts w:ascii="Times New Roman" w:hAnsi="Times New Roman"/>
          <w:sz w:val="28"/>
          <w:szCs w:val="28"/>
        </w:rPr>
      </w:pPr>
      <w:r>
        <w:rPr>
          <w:rFonts w:ascii="Times New Roman" w:hAnsi="Times New Roman"/>
          <w:sz w:val="28"/>
          <w:szCs w:val="28"/>
        </w:rPr>
        <w:t>4. Показники діяльності Координаційного центру та НКП підтверджуються наявністю презентаційних та методичних матеріалів, оголошень про відповідні заходи, кількістю проведених заходів із зазначенням числа зареєстрованих учасників, результатами проведених опитувань, відкритими даними інформаційних ресурсів тощо.</w:t>
      </w:r>
    </w:p>
    <w:p>
      <w:pPr>
        <w:pStyle w:val="P3"/>
        <w:keepNext w:val="0"/>
        <w:keepLines w:val="0"/>
        <w:spacing w:before="480" w:after="0" w:beforeAutospacing="0" w:afterAutospacing="0"/>
        <w:jc w:val="center"/>
        <w:rPr>
          <w:rFonts w:ascii="Times New Roman" w:hAnsi="Times New Roman"/>
          <w:color w:val="auto"/>
        </w:rPr>
      </w:pPr>
      <w:bookmarkStart w:id="1" w:name="_fz7b7stmo5f"/>
      <w:bookmarkEnd w:id="1"/>
      <w:r>
        <w:rPr>
          <w:rFonts w:ascii="Times New Roman" w:hAnsi="Times New Roman"/>
          <w:color w:val="auto"/>
        </w:rPr>
        <w:t>_____________________</w:t>
      </w:r>
    </w:p>
    <w:p>
      <w:pPr>
        <w:rPr>
          <w:rFonts w:ascii="Times New Roman" w:hAnsi="Times New Roman"/>
          <w:sz w:val="28"/>
          <w:szCs w:val="28"/>
        </w:rPr>
      </w:pPr>
    </w:p>
    <w:p>
      <w:pPr>
        <w:rPr>
          <w:rFonts w:ascii="Times New Roman" w:hAnsi="Times New Roman"/>
          <w:sz w:val="28"/>
          <w:szCs w:val="28"/>
        </w:rPr>
      </w:pPr>
    </w:p>
    <w:sectPr>
      <w:type w:val="nextPage"/>
      <w:pgSz w:w="11909" w:h="16834" w:code="0"/>
      <w:pgMar w:left="1440" w:right="1440" w:top="1440" w:bottom="1440" w:header="720" w:footer="720" w:gutter="0"/>
      <w:pgNumType w:start="1" w:chapSep="period"/>
      <w:cols w:equalWidth="1" w:space="720"/>
    </w:sectPr>
  </w:body>
</w:document>
</file>

<file path=word/numbering.xml><?xml version="1.0" encoding="utf-8"?>
<w:numbering xmlns:w="http://schemas.openxmlformats.org/wordprocessingml/2006/main">
  <w:abstractNum w:abstractNumId="0">
    <w:nsid w:val="402058F9"/>
    <w:multiLevelType w:val="multilevel"/>
    <w:lvl w:ilvl="0">
      <w:start w:val="1"/>
      <w:numFmt w:val="decimal"/>
      <w:suff w:val="tab"/>
      <w:lvlText w:val="%1)"/>
      <w:lvlJc w:val="left"/>
      <w:pPr>
        <w:ind w:hanging="360" w:left="720"/>
      </w:pPr>
      <w:rPr>
        <w:u w:val="none"/>
      </w:rPr>
    </w:lvl>
    <w:lvl w:ilvl="1">
      <w:start w:val="1"/>
      <w:numFmt w:val="lowerLetter"/>
      <w:suff w:val="tab"/>
      <w:lvlText w:val="%2)"/>
      <w:lvlJc w:val="left"/>
      <w:pPr>
        <w:ind w:hanging="360" w:left="1440"/>
      </w:pPr>
      <w:rPr>
        <w:u w:val="none"/>
      </w:rPr>
    </w:lvl>
    <w:lvl w:ilvl="2">
      <w:start w:val="1"/>
      <w:numFmt w:val="lowerRoman"/>
      <w:suff w:val="tab"/>
      <w:lvlText w:val="%3)"/>
      <w:lvlJc w:val="right"/>
      <w:pPr>
        <w:ind w:hanging="360" w:left="2160"/>
      </w:pPr>
      <w:rPr>
        <w:u w:val="none"/>
      </w:rPr>
    </w:lvl>
    <w:lvl w:ilvl="3">
      <w:start w:val="1"/>
      <w:numFmt w:val="decimal"/>
      <w:suff w:val="tab"/>
      <w:lvlText w:val="(%4)"/>
      <w:lvlJc w:val="left"/>
      <w:pPr>
        <w:ind w:hanging="360" w:left="2880"/>
      </w:pPr>
      <w:rPr>
        <w:u w:val="none"/>
      </w:rPr>
    </w:lvl>
    <w:lvl w:ilvl="4">
      <w:start w:val="1"/>
      <w:numFmt w:val="lowerLetter"/>
      <w:suff w:val="tab"/>
      <w:lvlText w:val="(%5)"/>
      <w:lvlJc w:val="left"/>
      <w:pPr>
        <w:ind w:hanging="360" w:left="3600"/>
      </w:pPr>
      <w:rPr>
        <w:u w:val="none"/>
      </w:rPr>
    </w:lvl>
    <w:lvl w:ilvl="5">
      <w:start w:val="1"/>
      <w:numFmt w:val="lowerRoman"/>
      <w:suff w:val="tab"/>
      <w:lvlText w:val="(%6)"/>
      <w:lvlJc w:val="right"/>
      <w:pPr>
        <w:ind w:hanging="360" w:left="4320"/>
      </w:pPr>
      <w:rPr>
        <w:u w:val="none"/>
      </w:rPr>
    </w:lvl>
    <w:lvl w:ilvl="6">
      <w:start w:val="1"/>
      <w:numFmt w:val="decimal"/>
      <w:suff w:val="tab"/>
      <w:lvlText w:val="%7."/>
      <w:lvlJc w:val="left"/>
      <w:pPr>
        <w:ind w:hanging="360" w:left="5040"/>
      </w:pPr>
      <w:rPr>
        <w:u w:val="none"/>
      </w:rPr>
    </w:lvl>
    <w:lvl w:ilvl="7">
      <w:start w:val="1"/>
      <w:numFmt w:val="lowerLetter"/>
      <w:suff w:val="tab"/>
      <w:lvlText w:val="%8."/>
      <w:lvlJc w:val="left"/>
      <w:pPr>
        <w:ind w:hanging="360" w:left="5760"/>
      </w:pPr>
      <w:rPr>
        <w:u w:val="none"/>
      </w:rPr>
    </w:lvl>
    <w:lvl w:ilvl="8">
      <w:start w:val="1"/>
      <w:numFmt w:val="lowerRoman"/>
      <w:suff w:val="tab"/>
      <w:lvlText w:val="%9."/>
      <w:lvlJc w:val="right"/>
      <w:pPr>
        <w:ind w:hanging="360" w:left="6480"/>
      </w:pPr>
      <w:rPr>
        <w:u w:val="none"/>
      </w:rPr>
    </w:lvl>
  </w:abstractNum>
  <w:num w:numId="1">
    <w:abstractNumId w:val="0"/>
  </w:num>
</w:numbering>
</file>

<file path=word/settings.xml><?xml version="1.0" encoding="utf-8"?>
<w:settings xmlns:w="http://schemas.openxmlformats.org/wordprocessingml/2006/main">
  <w:displayBackgroundShape w:val="0"/>
  <w:defaultTabStop w:val="720"/>
  <w:autoHyphenation w:val="0"/>
  <w:hyphenationZone w:val="425"/>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Arial" w:hAnsi="Arial"/>
        <w:sz w:val="22"/>
        <w:szCs w:val="22"/>
        <w:lang w:val="uk" w:bidi="ar-SA" w:eastAsia="uk-UA"/>
      </w:rPr>
    </w:rPrDefault>
    <w:pPrDefault>
      <w:pPr>
        <w:keepNext w:val="0"/>
        <w:keepLines w:val="0"/>
        <w:pageBreakBefore w:val="0"/>
        <w:widowControl w:val="1"/>
        <w:suppressLineNumbers w:val="0"/>
        <w:shd w:val="clear" w:fill="auto"/>
        <w:suppressAutoHyphens w:val="0"/>
        <w:spacing w:lineRule="auto" w:line="276" w:before="0" w:after="0" w:beforeAutospacing="0" w:afterAutospacing="0"/>
        <w:ind w:firstLine="0" w:left="0" w:right="0"/>
        <w:contextualSpacing w:val="0"/>
        <w:bidi w:val="0"/>
        <w:jc w:val="left"/>
        <w:outlineLvl w:val="9"/>
      </w:pPr>
    </w:pPrDefault>
  </w:docDefaults>
  <w:style w:type="paragraph" w:styleId="P0" w:default="1">
    <w:name w:val="Normal"/>
    <w:pPr/>
    <w:rPr/>
  </w:style>
  <w:style w:type="paragraph" w:styleId="P1">
    <w:name w:val="heading 1"/>
    <w:basedOn w:val="P0"/>
    <w:next w:val="P0"/>
    <w:pPr>
      <w:keepNext w:val="1"/>
      <w:keepLines w:val="1"/>
      <w:spacing w:before="400" w:after="120" w:beforeAutospacing="0" w:afterAutospacing="0"/>
      <w:outlineLvl w:val="0"/>
    </w:pPr>
    <w:rPr>
      <w:sz w:val="40"/>
      <w:szCs w:val="40"/>
    </w:rPr>
  </w:style>
  <w:style w:type="paragraph" w:styleId="P2">
    <w:name w:val="heading 2"/>
    <w:basedOn w:val="P0"/>
    <w:next w:val="P0"/>
    <w:pPr>
      <w:keepNext w:val="1"/>
      <w:keepLines w:val="1"/>
      <w:spacing w:before="360" w:after="120" w:beforeAutospacing="0" w:afterAutospacing="0"/>
      <w:outlineLvl w:val="1"/>
    </w:pPr>
    <w:rPr>
      <w:sz w:val="32"/>
      <w:szCs w:val="32"/>
    </w:rPr>
  </w:style>
  <w:style w:type="paragraph" w:styleId="P3">
    <w:name w:val="heading 3"/>
    <w:basedOn w:val="P0"/>
    <w:next w:val="P0"/>
    <w:pPr>
      <w:keepNext w:val="1"/>
      <w:keepLines w:val="1"/>
      <w:spacing w:before="320" w:after="80" w:beforeAutospacing="0" w:afterAutospacing="0"/>
      <w:outlineLvl w:val="2"/>
    </w:pPr>
    <w:rPr>
      <w:color w:val="434343"/>
      <w:sz w:val="28"/>
      <w:szCs w:val="28"/>
    </w:rPr>
  </w:style>
  <w:style w:type="paragraph" w:styleId="P4">
    <w:name w:val="heading 4"/>
    <w:basedOn w:val="P0"/>
    <w:next w:val="P0"/>
    <w:pPr>
      <w:keepNext w:val="1"/>
      <w:keepLines w:val="1"/>
      <w:spacing w:before="280" w:after="80" w:beforeAutospacing="0" w:afterAutospacing="0"/>
      <w:outlineLvl w:val="3"/>
    </w:pPr>
    <w:rPr>
      <w:color w:val="666666"/>
      <w:sz w:val="24"/>
      <w:szCs w:val="24"/>
    </w:rPr>
  </w:style>
  <w:style w:type="paragraph" w:styleId="P5">
    <w:name w:val="heading 5"/>
    <w:basedOn w:val="P0"/>
    <w:next w:val="P0"/>
    <w:pPr>
      <w:keepNext w:val="1"/>
      <w:keepLines w:val="1"/>
      <w:spacing w:before="240" w:after="80" w:beforeAutospacing="0" w:afterAutospacing="0"/>
      <w:outlineLvl w:val="4"/>
    </w:pPr>
    <w:rPr>
      <w:color w:val="666666"/>
    </w:rPr>
  </w:style>
  <w:style w:type="paragraph" w:styleId="P6">
    <w:name w:val="heading 6"/>
    <w:basedOn w:val="P0"/>
    <w:next w:val="P0"/>
    <w:pPr>
      <w:keepNext w:val="1"/>
      <w:keepLines w:val="1"/>
      <w:spacing w:before="240" w:after="80" w:beforeAutospacing="0" w:afterAutospacing="0"/>
      <w:outlineLvl w:val="5"/>
    </w:pPr>
    <w:rPr>
      <w:i w:val="1"/>
      <w:color w:val="666666"/>
    </w:rPr>
  </w:style>
  <w:style w:type="paragraph" w:styleId="P7">
    <w:name w:val="Title"/>
    <w:basedOn w:val="P0"/>
    <w:next w:val="P0"/>
    <w:pPr>
      <w:keepNext w:val="1"/>
      <w:keepLines w:val="1"/>
      <w:spacing w:after="60" w:beforeAutospacing="0" w:afterAutospacing="0"/>
    </w:pPr>
    <w:rPr>
      <w:sz w:val="52"/>
      <w:szCs w:val="52"/>
    </w:rPr>
  </w:style>
  <w:style w:type="paragraph" w:styleId="P8">
    <w:name w:val="Subtitle"/>
    <w:basedOn w:val="P0"/>
    <w:next w:val="P0"/>
    <w:pPr>
      <w:keepNext w:val="1"/>
      <w:keepLines w:val="1"/>
      <w:spacing w:after="320" w:beforeAutospacing="0" w:afterAutospacing="0"/>
    </w:pPr>
    <w:rPr>
      <w:color w:val="666666"/>
      <w:sz w:val="30"/>
      <w:szCs w:val="30"/>
    </w:rPr>
  </w:style>
  <w:style w:type="paragraph" w:styleId="P9">
    <w:name w:val="annotation text"/>
    <w:basedOn w:val="P0"/>
    <w:link w:val="C3"/>
    <w:semiHidden/>
    <w:pPr>
      <w:spacing w:lineRule="auto" w:line="240" w:beforeAutospacing="0" w:afterAutospacing="0"/>
    </w:pPr>
    <w:rPr>
      <w:sz w:val="20"/>
      <w:szCs w:val="20"/>
    </w:rPr>
  </w:style>
  <w:style w:type="paragraph" w:styleId="P10">
    <w:name w:val="Balloon Text"/>
    <w:basedOn w:val="P0"/>
    <w:link w:val="C5"/>
    <w:semiHidden/>
    <w:pPr>
      <w:spacing w:lineRule="auto" w:line="240" w:beforeAutospacing="0" w:afterAutospacing="0"/>
    </w:pPr>
    <w:rPr>
      <w:rFonts w:ascii="Segoe UI" w:hAnsi="Segoe UI"/>
      <w:sz w:val="18"/>
      <w:szCs w:val="18"/>
    </w:rPr>
  </w:style>
  <w:style w:type="paragraph" w:styleId="P11">
    <w:name w:val="annotation subject"/>
    <w:basedOn w:val="P9"/>
    <w:next w:val="P9"/>
    <w:link w:val="C6"/>
    <w:semiHidden/>
    <w:pPr/>
    <w:rPr>
      <w:b w:val="1"/>
      <w:bCs w:val="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Текст примітки Знак"/>
    <w:basedOn w:val="C0"/>
    <w:link w:val="P9"/>
    <w:semiHidden/>
    <w:rPr>
      <w:sz w:val="20"/>
      <w:szCs w:val="20"/>
    </w:rPr>
  </w:style>
  <w:style w:type="character" w:styleId="C4">
    <w:name w:val="annotation reference"/>
    <w:basedOn w:val="C0"/>
    <w:semiHidden/>
    <w:rPr>
      <w:sz w:val="16"/>
      <w:szCs w:val="16"/>
    </w:rPr>
  </w:style>
  <w:style w:type="character" w:styleId="C5">
    <w:name w:val="Текст у виносці Знак"/>
    <w:basedOn w:val="C0"/>
    <w:link w:val="P10"/>
    <w:semiHidden/>
    <w:rPr>
      <w:rFonts w:ascii="Segoe UI" w:hAnsi="Segoe UI"/>
      <w:sz w:val="18"/>
      <w:szCs w:val="18"/>
    </w:rPr>
  </w:style>
  <w:style w:type="character" w:styleId="C6">
    <w:name w:val="Тема примітки Знак"/>
    <w:basedOn w:val="C3"/>
    <w:link w:val="P11"/>
    <w:semiHidden/>
    <w:rPr>
      <w:b w:val="1"/>
      <w:bCs w:val="1"/>
      <w:sz w:val="20"/>
      <w:szCs w:val="2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CellMar>
        <w:top w:w="0" w:type="dxa"/>
        <w:left w:w="0" w:type="dxa"/>
        <w:bottom w:w="0" w:type="dxa"/>
        <w:right w:w="0" w:type="dxa"/>
      </w:tblCellMar>
    </w:tblPr>
    <w:trPr/>
    <w:tcPr/>
  </w:style>
  <w:style w:type="numbering" w:styleId="N0">
    <w:name w:val="No List"/>
  </w:style>
</w:styles>
</file>

<file path=word/_rels/document.xml.rels>&#65279;<?xml version="1.0" encoding="utf-8"?><Relationships xmlns="http://schemas.openxmlformats.org/package/2006/relationships"><Relationship Id="R2" Type="http://schemas.openxmlformats.org/officeDocument/2006/relationships/hyperlink" Target="https://zakon.rada.gov.ua/laws/show/254%D0%BA/96-%D0%B2%D1%80" TargetMode="Externa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API/21.1.3.0</Application>
  <AppVersion>21.1</AppVersion>
  <Company>SPecialiST RePack</Company>
  <Template>Normal</Template>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Григорий</dc:creator>
  <dcterms:created xsi:type="dcterms:W3CDTF">2022-07-21T13:49:00Z</dcterms:created>
  <cp:lastModifiedBy>erp_adm</cp:lastModifiedBy>
  <dcterms:modified xsi:type="dcterms:W3CDTF">2022-07-21T14:53:29Z</dcterms:modified>
  <cp:revision>3</cp:revision>
</cp:coreProperties>
</file>