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Проєкт</w:t>
      </w:r>
    </w:p>
    <w:p w:rsidR="00000000" w:rsidDel="00000000" w:rsidP="00000000" w:rsidRDefault="00000000" w:rsidRPr="00000000" w14:paraId="00000002">
      <w:pPr>
        <w:spacing w:line="240" w:lineRule="auto"/>
        <w:jc w:val="right"/>
        <w:rPr>
          <w:rFonts w:ascii="Times New Roman" w:cs="Times New Roman" w:eastAsia="Times New Roman" w:hAnsi="Times New Roman"/>
          <w:b w:val="1"/>
          <w:color w:val="212529"/>
          <w:sz w:val="28"/>
          <w:szCs w:val="28"/>
          <w:highlight w:val="white"/>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b w:val="1"/>
          <w:color w:val="212529"/>
          <w:sz w:val="28"/>
          <w:szCs w:val="28"/>
          <w:highlight w:val="white"/>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КАБІНЕТ МІНІСТРІВ УКРАЇНИ</w:t>
      </w:r>
    </w:p>
    <w:p w:rsidR="00000000" w:rsidDel="00000000" w:rsidP="00000000" w:rsidRDefault="00000000" w:rsidRPr="00000000" w14:paraId="00000005">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ПОСТАНОВА</w:t>
      </w:r>
    </w:p>
    <w:p w:rsidR="00000000" w:rsidDel="00000000" w:rsidP="00000000" w:rsidRDefault="00000000" w:rsidRPr="00000000" w14:paraId="00000007">
      <w:pPr>
        <w:spacing w:line="240" w:lineRule="auto"/>
        <w:jc w:val="center"/>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               2021 р. №  </w:t>
      </w:r>
    </w:p>
    <w:p w:rsidR="00000000" w:rsidDel="00000000" w:rsidP="00000000" w:rsidRDefault="00000000" w:rsidRPr="00000000" w14:paraId="00000009">
      <w:pPr>
        <w:spacing w:line="240" w:lineRule="auto"/>
        <w:jc w:val="center"/>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Київ</w:t>
      </w:r>
    </w:p>
    <w:p w:rsidR="00000000" w:rsidDel="00000000" w:rsidP="00000000" w:rsidRDefault="00000000" w:rsidRPr="00000000" w14:paraId="0000000A">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Про затвердження Державної цільової програми розвитку дослідницьких інфраструктур в Україні на період до 2026 року</w:t>
      </w:r>
    </w:p>
    <w:p w:rsidR="00000000" w:rsidDel="00000000" w:rsidP="00000000" w:rsidRDefault="00000000" w:rsidRPr="00000000" w14:paraId="0000000C">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Кабінет Міністрів України постановляє:</w:t>
      </w:r>
    </w:p>
    <w:p w:rsidR="00000000" w:rsidDel="00000000" w:rsidP="00000000" w:rsidRDefault="00000000" w:rsidRPr="00000000" w14:paraId="0000000E">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1. Затвердити Державну цільову програму розвитку дослідницьких інфраструктур в Україні на період до 2026 року (далі - Програма), що додається.</w:t>
      </w:r>
    </w:p>
    <w:p w:rsidR="00000000" w:rsidDel="00000000" w:rsidP="00000000" w:rsidRDefault="00000000" w:rsidRPr="00000000" w14:paraId="00000010">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2. Міністерству освіти і науки  подавати щороку до 15 липня та 15 березня до Кабінету Міністрів України і Міністерства розвитку економіки, торгівлі та сільського господарства звіт про стан виконання Програми.</w:t>
      </w:r>
    </w:p>
    <w:p w:rsidR="00000000" w:rsidDel="00000000" w:rsidP="00000000" w:rsidRDefault="00000000" w:rsidRPr="00000000" w14:paraId="00000012">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4">
      <w:pPr>
        <w:spacing w:before="240" w:line="240" w:lineRule="auto"/>
        <w:jc w:val="both"/>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Прем’єр-міністр України                                  </w:t>
        <w:tab/>
        <w:t xml:space="preserve">            Д. ШМИГАЛЬ</w:t>
      </w:r>
    </w:p>
    <w:p w:rsidR="00000000" w:rsidDel="00000000" w:rsidP="00000000" w:rsidRDefault="00000000" w:rsidRPr="00000000" w14:paraId="00000015">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6">
      <w:pPr>
        <w:spacing w:line="240" w:lineRule="auto"/>
        <w:ind w:firstLine="4110.236220472441"/>
        <w:jc w:val="center"/>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ЗАТВЕРДЖЕНО</w:t>
      </w:r>
    </w:p>
    <w:p w:rsidR="00000000" w:rsidDel="00000000" w:rsidP="00000000" w:rsidRDefault="00000000" w:rsidRPr="00000000" w14:paraId="00000027">
      <w:pPr>
        <w:spacing w:line="240" w:lineRule="auto"/>
        <w:ind w:firstLine="4110.236220472441"/>
        <w:jc w:val="center"/>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постановою Кабінету Міністрів України</w:t>
      </w:r>
    </w:p>
    <w:p w:rsidR="00000000" w:rsidDel="00000000" w:rsidP="00000000" w:rsidRDefault="00000000" w:rsidRPr="00000000" w14:paraId="00000028">
      <w:pPr>
        <w:spacing w:line="240" w:lineRule="auto"/>
        <w:ind w:firstLine="4110.236220472441"/>
        <w:jc w:val="center"/>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             2021 р. № </w:t>
      </w:r>
    </w:p>
    <w:p w:rsidR="00000000" w:rsidDel="00000000" w:rsidP="00000000" w:rsidRDefault="00000000" w:rsidRPr="00000000" w14:paraId="00000029">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ДЕРЖАВНА ЦІЛЬОВА ПРОГРАМА</w:t>
      </w:r>
    </w:p>
    <w:p w:rsidR="00000000" w:rsidDel="00000000" w:rsidP="00000000" w:rsidRDefault="00000000" w:rsidRPr="00000000" w14:paraId="0000002B">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розвитку дослідницьких інфраструктур в Україні </w:t>
      </w:r>
    </w:p>
    <w:p w:rsidR="00000000" w:rsidDel="00000000" w:rsidP="00000000" w:rsidRDefault="00000000" w:rsidRPr="00000000" w14:paraId="0000002C">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на період до 2026 року</w:t>
      </w:r>
    </w:p>
    <w:p w:rsidR="00000000" w:rsidDel="00000000" w:rsidP="00000000" w:rsidRDefault="00000000" w:rsidRPr="00000000" w14:paraId="0000002D">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Мета Програми</w:t>
      </w:r>
    </w:p>
    <w:p w:rsidR="00000000" w:rsidDel="00000000" w:rsidP="00000000" w:rsidRDefault="00000000" w:rsidRPr="00000000" w14:paraId="0000002F">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30">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Метою Програми є створення необхідних організаційних, правових та фінансових умов для розвитку системи дослідницьких інфраструктур в Україні, підвищення їх конкурентоспроможності, а також  розвитку сфер наукової, науково-технічної та інноваційної діяльності в частині доступу вчених до передових дослідницьких інфраструктур Європейського Союзу.</w:t>
      </w:r>
    </w:p>
    <w:p w:rsidR="00000000" w:rsidDel="00000000" w:rsidP="00000000" w:rsidRDefault="00000000" w:rsidRPr="00000000" w14:paraId="00000031">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Дослідницька інфраструктура та матеріально-технічна база наукових установ і закладів вищої освіти не приведені у належний стан внаслідок:</w:t>
      </w:r>
    </w:p>
    <w:p w:rsidR="00000000" w:rsidDel="00000000" w:rsidP="00000000" w:rsidRDefault="00000000" w:rsidRPr="00000000" w14:paraId="00000032">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багаторічного недофінансування капітальних видатків на підтримку та оновлення матеріально-технічної бази наукових установ та закладів вищої освіти;</w:t>
      </w:r>
    </w:p>
    <w:p w:rsidR="00000000" w:rsidDel="00000000" w:rsidP="00000000" w:rsidRDefault="00000000" w:rsidRPr="00000000" w14:paraId="00000033">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недостатнього обсягу позабюджетних надходжень на дослідницьку інфраструктуру, зокрема доходів від надання платних послуг за користування науковим обладнанням;</w:t>
      </w:r>
    </w:p>
    <w:p w:rsidR="00000000" w:rsidDel="00000000" w:rsidP="00000000" w:rsidRDefault="00000000" w:rsidRPr="00000000" w14:paraId="00000034">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високого рівня зношеності наукового обладнання в наукових установах та закладах вищої освіти;</w:t>
      </w:r>
    </w:p>
    <w:p w:rsidR="00000000" w:rsidDel="00000000" w:rsidP="00000000" w:rsidRDefault="00000000" w:rsidRPr="00000000" w14:paraId="00000035">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відсутності гнучких інструментів перерозподілу та накопичення фінансування на оновлення матеріально-технічної бази наукових установ, закладів вищої освіти, дослідницьких інфраструктур, зокрема  можливостей  розміщення на вкладних (депозитних) рахунках в установах банків державного сектору економіки тимчасово вільних бюджетних коштів, отриманих за надання платних послуг  науковими установами, закладами вищої освіти, дослідницькими інфраструктурами;</w:t>
      </w:r>
    </w:p>
    <w:p w:rsidR="00000000" w:rsidDel="00000000" w:rsidP="00000000" w:rsidRDefault="00000000" w:rsidRPr="00000000" w14:paraId="00000036">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відсутності системного розвитку дослідницьких інфраструктур та державної політики в зазначеній сфері;</w:t>
      </w:r>
    </w:p>
    <w:p w:rsidR="00000000" w:rsidDel="00000000" w:rsidP="00000000" w:rsidRDefault="00000000" w:rsidRPr="00000000" w14:paraId="00000037">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недосконалості нормативно-правової бази щодо створення та розвитку дослідницьких інфраструктур;</w:t>
      </w:r>
    </w:p>
    <w:p w:rsidR="00000000" w:rsidDel="00000000" w:rsidP="00000000" w:rsidRDefault="00000000" w:rsidRPr="00000000" w14:paraId="00000038">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відсутності процедури ідентифікації та моніторингу українських дослідницьких інфраструктур, а також систематизації та цифровізації відповідних даних, зокрема, відсутності бази даних дослідницьких інфраструктур.</w:t>
      </w:r>
    </w:p>
    <w:p w:rsidR="00000000" w:rsidDel="00000000" w:rsidP="00000000" w:rsidRDefault="00000000" w:rsidRPr="00000000" w14:paraId="00000039">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Наслідком цього є те, що вчені не можуть повною мірою реалізувати свій науковий потенціал в Україні, що призводить до відтоку науковців закордон та до суттєвого зниження конкурентоспроможності наукових досліджень та науково-технічних (експериментальних) розробок. Це негативно впливає на використання наукового потенціалу підприємствами, уповільнює розвиток економіки України та погіршує якість життя її громадян, робить неможливою розбудову суспільства, що базується на знаннях.  </w:t>
      </w:r>
    </w:p>
    <w:p w:rsidR="00000000" w:rsidDel="00000000" w:rsidP="00000000" w:rsidRDefault="00000000" w:rsidRPr="00000000" w14:paraId="0000003A">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Наявність перерахованих вище причин незадовільного стану дослідницької інфраструктури унеможливлює розвиток сфер наукової, науково-технічної та інноваційної діяльності та вимагає системного та цілісного підходу до розв’язання зазначеної проблеми.</w:t>
      </w:r>
    </w:p>
    <w:p w:rsidR="00000000" w:rsidDel="00000000" w:rsidP="00000000" w:rsidRDefault="00000000" w:rsidRPr="00000000" w14:paraId="0000003B">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Шляхи і способи розв’язання проблеми</w:t>
      </w:r>
    </w:p>
    <w:p w:rsidR="00000000" w:rsidDel="00000000" w:rsidP="00000000" w:rsidRDefault="00000000" w:rsidRPr="00000000" w14:paraId="0000003D">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tl w:val="0"/>
        </w:rPr>
      </w:r>
    </w:p>
    <w:p w:rsidR="00000000" w:rsidDel="00000000" w:rsidP="00000000" w:rsidRDefault="00000000" w:rsidRPr="00000000" w14:paraId="0000003E">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Для розв'язання проблеми незадовільного стану дослідницької інфраструктури, що унеможливлює розвиток сфер наукової, науково-технічної та інноваційної діяльності, можливі два варіанти.</w:t>
      </w:r>
    </w:p>
    <w:p w:rsidR="00000000" w:rsidDel="00000000" w:rsidP="00000000" w:rsidRDefault="00000000" w:rsidRPr="00000000" w14:paraId="0000003F">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Перший варіант передбачає: </w:t>
      </w:r>
    </w:p>
    <w:p w:rsidR="00000000" w:rsidDel="00000000" w:rsidP="00000000" w:rsidRDefault="00000000" w:rsidRPr="00000000" w14:paraId="00000040">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збільшення обсягу фінансування капітальних видатків, спрямоване на модернізацію матеріально-технічної бази закладів вищої освіти та наукових установ без проведення аналізу та моніторингу діючого стану дослідницьких інфраструктур;</w:t>
      </w:r>
    </w:p>
    <w:p w:rsidR="00000000" w:rsidDel="00000000" w:rsidP="00000000" w:rsidRDefault="00000000" w:rsidRPr="00000000" w14:paraId="00000041">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реалізація положень Закону України “Про наукову і науково-технічну діяльність” в частині визначення організаційно-правових форм дослідницьких інфраструктур, принципів функціонування та організаційних засад створення та функціонування дослідницьких інфраструктур.</w:t>
      </w:r>
    </w:p>
    <w:p w:rsidR="00000000" w:rsidDel="00000000" w:rsidP="00000000" w:rsidRDefault="00000000" w:rsidRPr="00000000" w14:paraId="00000042">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Перший варіант відповідає поточній політиці щодо забезпечення функціонування дослідницької інфраструктури і може мати позитивний ефект виключно за умови суттєвого збільшення фінансування. </w:t>
      </w:r>
    </w:p>
    <w:p w:rsidR="00000000" w:rsidDel="00000000" w:rsidP="00000000" w:rsidRDefault="00000000" w:rsidRPr="00000000" w14:paraId="00000043">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Проте за умови обмежених фінансових можливостей в країні, забезпечення оновлення матеріально-технічної бази кожного закладу вищої освіти та наукової установи неможливо. Брак інформації про наявні дослідницькі інфраструктури та обмеженість доступу до них й надалі сприятиме дублюванню зусиль та неоптимальному використанню ресурсів. Конкурентоспроможність на світовому рівні також буде залишатися невисокою. </w:t>
      </w:r>
    </w:p>
    <w:p w:rsidR="00000000" w:rsidDel="00000000" w:rsidP="00000000" w:rsidRDefault="00000000" w:rsidRPr="00000000" w14:paraId="00000044">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Другий варіант полягає у розв’язанні проблеми програмно-цільовим методом, тобто шляхом виконання Програми, що передбачає здійснення комплексу заходів щодо відновлення та розбудови системи дослідницьких інфраструктур, удосконалення правового, організаційного та фінансового забезпечення виконання Програми, вироблення механізму консолідації зусиль центральних органів виконавчої влади, Національної академії наук, національних галузевих академій наук та міжнародних організацій, що надають міжнародну технічну допомогу для відновлення та розбудови системи дослідницьких інфраструктур України.</w:t>
      </w:r>
    </w:p>
    <w:p w:rsidR="00000000" w:rsidDel="00000000" w:rsidP="00000000" w:rsidRDefault="00000000" w:rsidRPr="00000000" w14:paraId="00000045">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Другий варіант передбачає: </w:t>
      </w:r>
    </w:p>
    <w:p w:rsidR="00000000" w:rsidDel="00000000" w:rsidP="00000000" w:rsidRDefault="00000000" w:rsidRPr="00000000" w14:paraId="00000046">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збільшення обсягу фінансування дослідницьких інфраструктур на основі вдосконалення інструментів фінансування за умови їх моніторингу та аналізу;</w:t>
      </w:r>
    </w:p>
    <w:p w:rsidR="00000000" w:rsidDel="00000000" w:rsidP="00000000" w:rsidRDefault="00000000" w:rsidRPr="00000000" w14:paraId="00000047">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вибір пріоритетів та системних підходів для розвитку дослідницьких інфраструктур;</w:t>
      </w:r>
    </w:p>
    <w:p w:rsidR="00000000" w:rsidDel="00000000" w:rsidP="00000000" w:rsidRDefault="00000000" w:rsidRPr="00000000" w14:paraId="00000048">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координацію розвитку системи дослідницьких інфраструктур;</w:t>
      </w:r>
    </w:p>
    <w:p w:rsidR="00000000" w:rsidDel="00000000" w:rsidP="00000000" w:rsidRDefault="00000000" w:rsidRPr="00000000" w14:paraId="00000049">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наявності відкритої інформації про дослідницьку інфраструктуру;</w:t>
      </w:r>
    </w:p>
    <w:p w:rsidR="00000000" w:rsidDel="00000000" w:rsidP="00000000" w:rsidRDefault="00000000" w:rsidRPr="00000000" w14:paraId="0000004A">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відкритого доступу до дослідницьких інфраструктур;</w:t>
      </w:r>
    </w:p>
    <w:p w:rsidR="00000000" w:rsidDel="00000000" w:rsidP="00000000" w:rsidRDefault="00000000" w:rsidRPr="00000000" w14:paraId="0000004B">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інтернаціоналізацію дослідницьких інфраструктур шляхом участі в міжнародних об’єднаннях дослідницьких інфраструктур та надання доступу до наукового обладнання, у тому числі іноземним науковцям;</w:t>
      </w:r>
    </w:p>
    <w:p w:rsidR="00000000" w:rsidDel="00000000" w:rsidP="00000000" w:rsidRDefault="00000000" w:rsidRPr="00000000" w14:paraId="0000004C">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створення та забезпечення діяльності різних організаційно-правових форм дослідницьких інфраструктур та їх об’єднання з метою оптимального використання ресурсів (кадрів, матеріалів, устаткування, обчислювальних ресурсів та зберігання банків даних і знань). </w:t>
      </w:r>
    </w:p>
    <w:p w:rsidR="00000000" w:rsidDel="00000000" w:rsidP="00000000" w:rsidRDefault="00000000" w:rsidRPr="00000000" w14:paraId="0000004D">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Другий варіант розв’язання проблеми, що є оптимальним, дозволяє розподіляти обмежені бюджетні кошти в рамках обраних пріоритетів, та з можливістю відкритого доступу до наукового обладнання за умови його ефективного використання в інтересах більшості науковців. Виокремлення важливих дослідницьких інфраструктур та концентрація ресурсів для їх розвитку дозволить отримати суттєвий і видимий ефект протягом 5 років. </w:t>
      </w:r>
    </w:p>
    <w:p w:rsidR="00000000" w:rsidDel="00000000" w:rsidP="00000000" w:rsidRDefault="00000000" w:rsidRPr="00000000" w14:paraId="0000004E">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На першому (підготовчому) етапі (2021-2022 роки) реалізації Програми передбачається:</w:t>
      </w:r>
    </w:p>
    <w:p w:rsidR="00000000" w:rsidDel="00000000" w:rsidP="00000000" w:rsidRDefault="00000000" w:rsidRPr="00000000" w14:paraId="0000004F">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розроблення положення та порядку створення, впровадження, модернізації та експлуатації дослідницьких інфраструктур;</w:t>
      </w:r>
    </w:p>
    <w:p w:rsidR="00000000" w:rsidDel="00000000" w:rsidP="00000000" w:rsidRDefault="00000000" w:rsidRPr="00000000" w14:paraId="00000050">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утворення Організаційного комітету з питань розвитку дослідницьких інфраструктур;</w:t>
      </w:r>
    </w:p>
    <w:p w:rsidR="00000000" w:rsidDel="00000000" w:rsidP="00000000" w:rsidRDefault="00000000" w:rsidRPr="00000000" w14:paraId="00000051">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створення інструментів фінансової підтримки участі дослідницьких інфраструктур  в міжнародних об'єднаннях дослідницьких інфраструктур.</w:t>
      </w:r>
    </w:p>
    <w:p w:rsidR="00000000" w:rsidDel="00000000" w:rsidP="00000000" w:rsidRDefault="00000000" w:rsidRPr="00000000" w14:paraId="00000052">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На другому етапі (2022-2026 роки) передбачається створення та забезпечення діяльності різних організаційно-правових форм дослідницьких інфраструктур.</w:t>
      </w:r>
    </w:p>
    <w:p w:rsidR="00000000" w:rsidDel="00000000" w:rsidP="00000000" w:rsidRDefault="00000000" w:rsidRPr="00000000" w14:paraId="00000053">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Відомості про державного замовника, керівника і виконавців Програми, строк виконання, прогнозні обсяги та джерела фінансування наведені в додатку 1.</w:t>
      </w:r>
    </w:p>
    <w:p w:rsidR="00000000" w:rsidDel="00000000" w:rsidP="00000000" w:rsidRDefault="00000000" w:rsidRPr="00000000" w14:paraId="00000054">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55">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Завдання і заходи</w:t>
      </w:r>
    </w:p>
    <w:p w:rsidR="00000000" w:rsidDel="00000000" w:rsidP="00000000" w:rsidRDefault="00000000" w:rsidRPr="00000000" w14:paraId="00000056">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57">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Для розв’язання проблеми незадовільного стану дослідницької інфраструктури передбачається виконання основних завдань Програми, до яких належать:</w:t>
      </w:r>
    </w:p>
    <w:p w:rsidR="00000000" w:rsidDel="00000000" w:rsidP="00000000" w:rsidRDefault="00000000" w:rsidRPr="00000000" w14:paraId="00000058">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внесення змін до чинного законодавства в сфері наукової і науково-технічної діяльності в частині визначення принципів та особливостей функціонування дослідницьких інфраструктур різних організаційно-правових форм;</w:t>
      </w:r>
    </w:p>
    <w:p w:rsidR="00000000" w:rsidDel="00000000" w:rsidP="00000000" w:rsidRDefault="00000000" w:rsidRPr="00000000" w14:paraId="00000059">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затвердження Концепції та плану заходів реалізації державної політики розвитку українських цифрових інфраструктур, основним завданням яких є отримання, зберігання, управління та інтеграція наукових даних, послуги обчислення та комунікації;</w:t>
      </w:r>
    </w:p>
    <w:p w:rsidR="00000000" w:rsidDel="00000000" w:rsidP="00000000" w:rsidRDefault="00000000" w:rsidRPr="00000000" w14:paraId="0000005A">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удосконалення механізму державної підтримки організаційно-правових форм дослідницької інфраструктури;</w:t>
      </w:r>
    </w:p>
    <w:p w:rsidR="00000000" w:rsidDel="00000000" w:rsidP="00000000" w:rsidRDefault="00000000" w:rsidRPr="00000000" w14:paraId="0000005B">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створення цифрової платформи українських дослідницьких інфраструктур з метою забезпечення доступу до їх бази даних українським вченим та суб’єктам інноваційної діяльності, міжнародного співробітництва;</w:t>
      </w:r>
    </w:p>
    <w:p w:rsidR="00000000" w:rsidDel="00000000" w:rsidP="00000000" w:rsidRDefault="00000000" w:rsidRPr="00000000" w14:paraId="0000005C">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ідентифікація та аналіз стану дослідницьких інфраструктур;</w:t>
      </w:r>
    </w:p>
    <w:p w:rsidR="00000000" w:rsidDel="00000000" w:rsidP="00000000" w:rsidRDefault="00000000" w:rsidRPr="00000000" w14:paraId="0000005D">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систематизація українських дослідницьких інфраструктур на стратегічні, національні та регіональні з точки зору їх унікальності та важливості для України та розвитку міжнародного співробітництва із залученням інструментів Європейського Союзу для проведення міжнародної експертизи;</w:t>
      </w:r>
    </w:p>
    <w:p w:rsidR="00000000" w:rsidDel="00000000" w:rsidP="00000000" w:rsidRDefault="00000000" w:rsidRPr="00000000" w14:paraId="0000005E">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моніторинг ефективності діяльності дослідницьких інфраструктур;</w:t>
      </w:r>
    </w:p>
    <w:p w:rsidR="00000000" w:rsidDel="00000000" w:rsidP="00000000" w:rsidRDefault="00000000" w:rsidRPr="00000000" w14:paraId="0000005F">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підтримка і модернізація центрів колективного користування науковим обладнанням та окремих наукових об’єктів, що становлять національне надбання, забезпечення їх модернізації до рівня національних дослідницьких інфраструктур;</w:t>
      </w:r>
    </w:p>
    <w:p w:rsidR="00000000" w:rsidDel="00000000" w:rsidP="00000000" w:rsidRDefault="00000000" w:rsidRPr="00000000" w14:paraId="00000060">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розроблення та реалізації Порядку формування переліку дослідницьких інфраструктур державного значення;</w:t>
      </w:r>
    </w:p>
    <w:p w:rsidR="00000000" w:rsidDel="00000000" w:rsidP="00000000" w:rsidRDefault="00000000" w:rsidRPr="00000000" w14:paraId="00000061">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створення та забезпечення функціонування державних ключових лабораторій та національних наукових центрів;</w:t>
      </w:r>
    </w:p>
    <w:p w:rsidR="00000000" w:rsidDel="00000000" w:rsidP="00000000" w:rsidRDefault="00000000" w:rsidRPr="00000000" w14:paraId="00000062">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участі українських делегатів та експертів в роботі Європейського стратегічного форуму дослідницьких інфраструктур;</w:t>
      </w:r>
    </w:p>
    <w:p w:rsidR="00000000" w:rsidDel="00000000" w:rsidP="00000000" w:rsidRDefault="00000000" w:rsidRPr="00000000" w14:paraId="00000063">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інтеграція стратегічних та національних українських дослідницьких інфраструктур до європейських об’єднань дослідницьких інфраструктур;</w:t>
      </w:r>
    </w:p>
    <w:p w:rsidR="00000000" w:rsidDel="00000000" w:rsidP="00000000" w:rsidRDefault="00000000" w:rsidRPr="00000000" w14:paraId="00000064">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впровадження інструментів перерозподілу фінансування від продажу об’єктів майнового комплексу Національної академії наук України, національних галузевих академій наук, державних закладів вищої освіти на розвиток дослідницьких інфраструктур;</w:t>
      </w:r>
    </w:p>
    <w:p w:rsidR="00000000" w:rsidDel="00000000" w:rsidP="00000000" w:rsidRDefault="00000000" w:rsidRPr="00000000" w14:paraId="00000065">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розроблення фінансових інструментів підтримки дослідницьких  інфраструктур протягом їх повного життєвого циклу;</w:t>
      </w:r>
    </w:p>
    <w:p w:rsidR="00000000" w:rsidDel="00000000" w:rsidP="00000000" w:rsidRDefault="00000000" w:rsidRPr="00000000" w14:paraId="00000066">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збереження, видимості, доступу, можливості взаємодії елементів дослідницької інфраструктури та повторного використання наукових даних, що отримані дослідницькими інфраструктурами за рахунок державних коштів шляхом використання цифрових інфраструктур, зокрема тих, що об’єднані в рамках Європейської хмари відкритої науки.</w:t>
      </w:r>
    </w:p>
    <w:p w:rsidR="00000000" w:rsidDel="00000000" w:rsidP="00000000" w:rsidRDefault="00000000" w:rsidRPr="00000000" w14:paraId="00000067">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Виконання Програми передбачається протягом 2021-2026 років.</w:t>
      </w:r>
    </w:p>
    <w:p w:rsidR="00000000" w:rsidDel="00000000" w:rsidP="00000000" w:rsidRDefault="00000000" w:rsidRPr="00000000" w14:paraId="00000068">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69">
      <w:pPr>
        <w:spacing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Перелік завдань і заходів з визначенням строків їх виконання та джерел і обсягів фінансування наведено в додатку 2.</w:t>
      </w:r>
    </w:p>
    <w:p w:rsidR="00000000" w:rsidDel="00000000" w:rsidP="00000000" w:rsidRDefault="00000000" w:rsidRPr="00000000" w14:paraId="0000006A">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6B">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Очікувані результати, ефективність Програми</w:t>
      </w:r>
    </w:p>
    <w:p w:rsidR="00000000" w:rsidDel="00000000" w:rsidP="00000000" w:rsidRDefault="00000000" w:rsidRPr="00000000" w14:paraId="0000006C">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Реалізація Програми забезпечить впровадження правових, організаційних та фінансових механізмів для створення, функціонування та розвитку дослідницьких інфраструктур.</w:t>
      </w:r>
    </w:p>
    <w:p w:rsidR="00000000" w:rsidDel="00000000" w:rsidP="00000000" w:rsidRDefault="00000000" w:rsidRPr="00000000" w14:paraId="0000006D">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Очікувані результати виконання Програми:</w:t>
      </w:r>
    </w:p>
    <w:p w:rsidR="00000000" w:rsidDel="00000000" w:rsidP="00000000" w:rsidRDefault="00000000" w:rsidRPr="00000000" w14:paraId="0000006E">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створено та функціонують щонайменше 50 центрів колективного користування обладнанням, 9 державних ключових лабораторій, 3 національних наукових центри;</w:t>
      </w:r>
    </w:p>
    <w:p w:rsidR="00000000" w:rsidDel="00000000" w:rsidP="00000000" w:rsidRDefault="00000000" w:rsidRPr="00000000" w14:paraId="0000006F">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створено і впроваджено систему взаємодії наявних та нових українських е-інфраструктур з урахуванням сучасних практик Європейського дослідницького простору;</w:t>
      </w:r>
    </w:p>
    <w:p w:rsidR="00000000" w:rsidDel="00000000" w:rsidP="00000000" w:rsidRDefault="00000000" w:rsidRPr="00000000" w14:paraId="00000070">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створено умови для запровадження в Україні нових дослідницьких інфраструктур європейського рівня;</w:t>
      </w:r>
    </w:p>
    <w:p w:rsidR="00000000" w:rsidDel="00000000" w:rsidP="00000000" w:rsidRDefault="00000000" w:rsidRPr="00000000" w14:paraId="00000071">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вчені та суб’єкти інноваційної діяльності отримають доступ до конкурентоздатної дослідницької інфраструктури та вмотивованість займатись науковою та науково-технічною діяльністю на високому рівні, що дасть можливість припинити відтік наукового потенціалу,  як людського ресурсу за кордон.</w:t>
      </w:r>
    </w:p>
    <w:p w:rsidR="00000000" w:rsidDel="00000000" w:rsidP="00000000" w:rsidRDefault="00000000" w:rsidRPr="00000000" w14:paraId="00000072">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Крім того, передбачається досягти таких довгострокових результатів:</w:t>
      </w:r>
    </w:p>
    <w:p w:rsidR="00000000" w:rsidDel="00000000" w:rsidP="00000000" w:rsidRDefault="00000000" w:rsidRPr="00000000" w14:paraId="00000073">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сталого соціально-економічного розвитку держави та розвитку науки;</w:t>
      </w:r>
    </w:p>
    <w:p w:rsidR="00000000" w:rsidDel="00000000" w:rsidP="00000000" w:rsidRDefault="00000000" w:rsidRPr="00000000" w14:paraId="00000074">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сприяння науково-технічному співробітництву шляхом обміну науково-технічною інформацією, обміну вченими й технічними спеціалістами, проведення спільних семінарів і зустрічей, навчання вчених і технічних спеціалістів, реалізації спільних дослідних проєктів, а також інших форм науково-технічного  співробітництва, які можуть бути взаємно погодженими між українськими та міжнародними дослідницькими інфраструктурами;</w:t>
      </w:r>
    </w:p>
    <w:p w:rsidR="00000000" w:rsidDel="00000000" w:rsidP="00000000" w:rsidRDefault="00000000" w:rsidRPr="00000000" w14:paraId="00000075">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розвиток сучасної матеріально-технічної бази та дослідницької інфраструктури наукових установ та закладів вищої освіти;</w:t>
      </w:r>
    </w:p>
    <w:p w:rsidR="00000000" w:rsidDel="00000000" w:rsidP="00000000" w:rsidRDefault="00000000" w:rsidRPr="00000000" w14:paraId="00000076">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забезпечення наукової співпраці із іноземними закладами освіти, науковими установами, інтеграції у європейський та світовий дослідницький простір.</w:t>
      </w:r>
    </w:p>
    <w:p w:rsidR="00000000" w:rsidDel="00000000" w:rsidP="00000000" w:rsidRDefault="00000000" w:rsidRPr="00000000" w14:paraId="00000077">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Ефективність здійснення заходів з реалізації цієї Програми забезпечується шляхом цільових інвестицій на підвищення конкурентоздатності дослідницьких інфраструктур, координації їх функціонування, збору і аналізу даних про такі інфраструктури, імплементації положень міжнародного законодавства у відповідній сфері у національне законодавство для забезпечення виконання Угоди про асоціацію, а також формування позитивного іміджу України у світі.</w:t>
      </w:r>
    </w:p>
    <w:p w:rsidR="00000000" w:rsidDel="00000000" w:rsidP="00000000" w:rsidRDefault="00000000" w:rsidRPr="00000000" w14:paraId="00000078">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Основні очікувані результати виконання Програми наведено в додатку 3.</w:t>
      </w:r>
    </w:p>
    <w:p w:rsidR="00000000" w:rsidDel="00000000" w:rsidP="00000000" w:rsidRDefault="00000000" w:rsidRPr="00000000" w14:paraId="00000079">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Обсяги та джерела фінансування</w:t>
      </w:r>
    </w:p>
    <w:p w:rsidR="00000000" w:rsidDel="00000000" w:rsidP="00000000" w:rsidRDefault="00000000" w:rsidRPr="00000000" w14:paraId="0000007A">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Фінансування заходів з реалізації Концепції здійснюватиметься за рахунок коштів державного та місцевих бюджетів у межах бюджетних програм, затверджених на відповідний рік, а також за рахунок міжнародної технічної допомоги та інших джерел, не заборонених законодавством. 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  Орієнтовний обсяг фінансування Програми     становить _____  млн гривень.</w:t>
      </w:r>
    </w:p>
    <w:p w:rsidR="00000000" w:rsidDel="00000000" w:rsidP="00000000" w:rsidRDefault="00000000" w:rsidRPr="00000000" w14:paraId="0000007B">
      <w:pPr>
        <w:spacing w:before="240" w:line="240" w:lineRule="auto"/>
        <w:ind w:firstLine="720"/>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7C">
      <w:pPr>
        <w:spacing w:before="240" w:line="240" w:lineRule="auto"/>
        <w:ind w:firstLine="720"/>
        <w:jc w:val="right"/>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Додаток 1</w:t>
      </w:r>
    </w:p>
    <w:p w:rsidR="00000000" w:rsidDel="00000000" w:rsidP="00000000" w:rsidRDefault="00000000" w:rsidRPr="00000000" w14:paraId="0000007D">
      <w:pPr>
        <w:spacing w:line="240" w:lineRule="auto"/>
        <w:jc w:val="right"/>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до Програми</w:t>
      </w:r>
    </w:p>
    <w:p w:rsidR="00000000" w:rsidDel="00000000" w:rsidP="00000000" w:rsidRDefault="00000000" w:rsidRPr="00000000" w14:paraId="0000007E">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ПАСПОРТ</w:t>
      </w:r>
    </w:p>
    <w:p w:rsidR="00000000" w:rsidDel="00000000" w:rsidP="00000000" w:rsidRDefault="00000000" w:rsidRPr="00000000" w14:paraId="00000080">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Державної цільової програми розвитку дослідницьких інфраструктур </w:t>
      </w:r>
    </w:p>
    <w:p w:rsidR="00000000" w:rsidDel="00000000" w:rsidP="00000000" w:rsidRDefault="00000000" w:rsidRPr="00000000" w14:paraId="00000081">
      <w:pPr>
        <w:spacing w:line="240" w:lineRule="auto"/>
        <w:jc w:val="center"/>
        <w:rPr>
          <w:rFonts w:ascii="Times New Roman" w:cs="Times New Roman" w:eastAsia="Times New Roman" w:hAnsi="Times New Roman"/>
          <w:b w:val="1"/>
          <w:color w:val="212529"/>
          <w:sz w:val="28"/>
          <w:szCs w:val="28"/>
          <w:highlight w:val="white"/>
        </w:rPr>
      </w:pPr>
      <w:r w:rsidDel="00000000" w:rsidR="00000000" w:rsidRPr="00000000">
        <w:rPr>
          <w:rFonts w:ascii="Times New Roman" w:cs="Times New Roman" w:eastAsia="Times New Roman" w:hAnsi="Times New Roman"/>
          <w:b w:val="1"/>
          <w:color w:val="212529"/>
          <w:sz w:val="28"/>
          <w:szCs w:val="28"/>
          <w:highlight w:val="white"/>
          <w:rtl w:val="0"/>
        </w:rPr>
        <w:t xml:space="preserve">на 2021-2026 роки.</w:t>
      </w:r>
    </w:p>
    <w:p w:rsidR="00000000" w:rsidDel="00000000" w:rsidP="00000000" w:rsidRDefault="00000000" w:rsidRPr="00000000" w14:paraId="00000082">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1. Концепція Програми схвалена розпорядженням Кабінету Міністрів України від 14 квітня 2021 р. № 322-р  (Офіційний вісник України, 2021 р., № , ст. ).</w:t>
      </w:r>
    </w:p>
    <w:p w:rsidR="00000000" w:rsidDel="00000000" w:rsidP="00000000" w:rsidRDefault="00000000" w:rsidRPr="00000000" w14:paraId="00000084">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2. Програма затверджена постановою Кабінету Міністрів України від     2021 р. № .</w:t>
      </w:r>
    </w:p>
    <w:p w:rsidR="00000000" w:rsidDel="00000000" w:rsidP="00000000" w:rsidRDefault="00000000" w:rsidRPr="00000000" w14:paraId="00000086">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3. Державний замовник - Міністерство освіти і науки України (далі - МОН).</w:t>
      </w:r>
    </w:p>
    <w:p w:rsidR="00000000" w:rsidDel="00000000" w:rsidP="00000000" w:rsidRDefault="00000000" w:rsidRPr="00000000" w14:paraId="00000088">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4. Керівник Програми - Перший заступник Міністра освіти і науки.</w:t>
      </w:r>
    </w:p>
    <w:p w:rsidR="00000000" w:rsidDel="00000000" w:rsidP="00000000" w:rsidRDefault="00000000" w:rsidRPr="00000000" w14:paraId="0000008A">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5. Виконавці заходів Програми - Національна академія наук України (за згодою), національні галузеві академії наук (за згодою).</w:t>
      </w:r>
    </w:p>
    <w:p w:rsidR="00000000" w:rsidDel="00000000" w:rsidP="00000000" w:rsidRDefault="00000000" w:rsidRPr="00000000" w14:paraId="0000008C">
      <w:pPr>
        <w:spacing w:line="240" w:lineRule="auto"/>
        <w:jc w:val="both"/>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6. Строк виконання: 2021-2026 роки.</w:t>
      </w:r>
    </w:p>
    <w:p w:rsidR="00000000" w:rsidDel="00000000" w:rsidP="00000000" w:rsidRDefault="00000000" w:rsidRPr="00000000" w14:paraId="0000008E">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7. Прогнозні обсяги та джерела фінансування</w:t>
      </w:r>
    </w:p>
    <w:p w:rsidR="00000000" w:rsidDel="00000000" w:rsidP="00000000" w:rsidRDefault="00000000" w:rsidRPr="00000000" w14:paraId="00000090">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tbl>
      <w:tblPr>
        <w:tblStyle w:val="Table1"/>
        <w:tblW w:w="9036.7270803704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7.99819626071"/>
        <w:gridCol w:w="1275"/>
        <w:gridCol w:w="870"/>
        <w:gridCol w:w="1047.0123833639739"/>
        <w:gridCol w:w="980.7457768219502"/>
        <w:gridCol w:w="874.7192063547124"/>
        <w:gridCol w:w="940.985812896736"/>
        <w:gridCol w:w="1060.2657046723787"/>
        <w:tblGridChange w:id="0">
          <w:tblGrid>
            <w:gridCol w:w="1987.99819626071"/>
            <w:gridCol w:w="1275"/>
            <w:gridCol w:w="870"/>
            <w:gridCol w:w="1047.0123833639739"/>
            <w:gridCol w:w="980.7457768219502"/>
            <w:gridCol w:w="874.7192063547124"/>
            <w:gridCol w:w="940.985812896736"/>
            <w:gridCol w:w="1060.2657046723787"/>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color w:val="212529"/>
                <w:sz w:val="26"/>
                <w:szCs w:val="26"/>
                <w:highlight w:val="white"/>
              </w:rPr>
            </w:pP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Джерела фінансування</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Обсяг фінансу-вання</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В тому числі, за роками </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2026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Державний бюджет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Місцеві бюджети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Інші джерела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Fonts w:ascii="Times New Roman" w:cs="Times New Roman" w:eastAsia="Times New Roman" w:hAnsi="Times New Roman"/>
                <w:color w:val="212529"/>
                <w:sz w:val="26"/>
                <w:szCs w:val="26"/>
                <w:highlight w:val="white"/>
                <w:rtl w:val="0"/>
              </w:rPr>
              <w:t xml:space="preserve">Усього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12529"/>
                <w:sz w:val="26"/>
                <w:szCs w:val="26"/>
                <w:highlight w:val="white"/>
              </w:rPr>
            </w:pPr>
            <w:r w:rsidDel="00000000" w:rsidR="00000000" w:rsidRPr="00000000">
              <w:rPr>
                <w:rtl w:val="0"/>
              </w:rPr>
            </w:r>
          </w:p>
        </w:tc>
      </w:tr>
    </w:tbl>
    <w:p w:rsidR="00000000" w:rsidDel="00000000" w:rsidP="00000000" w:rsidRDefault="00000000" w:rsidRPr="00000000" w14:paraId="000000C2">
      <w:pPr>
        <w:spacing w:line="240" w:lineRule="auto"/>
        <w:rPr>
          <w:rFonts w:ascii="Times New Roman" w:cs="Times New Roman" w:eastAsia="Times New Roman" w:hAnsi="Times New Roman"/>
          <w:color w:val="212529"/>
          <w:sz w:val="28"/>
          <w:szCs w:val="28"/>
          <w:highlight w:val="white"/>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Керівник Програми _____________________      _____________________ </w:t>
      </w:r>
    </w:p>
    <w:p w:rsidR="00000000" w:rsidDel="00000000" w:rsidP="00000000" w:rsidRDefault="00000000" w:rsidRPr="00000000" w14:paraId="000000C4">
      <w:pPr>
        <w:spacing w:line="240" w:lineRule="auto"/>
        <w:rPr/>
      </w:pPr>
      <w:r w:rsidDel="00000000" w:rsidR="00000000" w:rsidRPr="00000000">
        <w:rPr>
          <w:rFonts w:ascii="Times New Roman" w:cs="Times New Roman" w:eastAsia="Times New Roman" w:hAnsi="Times New Roman"/>
          <w:color w:val="212529"/>
          <w:sz w:val="28"/>
          <w:szCs w:val="28"/>
          <w:highlight w:val="white"/>
          <w:rtl w:val="0"/>
        </w:rPr>
        <w:t xml:space="preserve"> </w:t>
        <w:tab/>
        <w:t xml:space="preserve">  </w:t>
        <w:tab/>
        <w:tab/>
        <w:tab/>
        <w:tab/>
        <w:t xml:space="preserve">      (підпис)            (ініціали та прізвище)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