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3E" w:rsidRPr="001E7C86" w:rsidRDefault="007E5D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7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ПОРІВНЯЛЬНА ТАБЛИЦЯ</w:t>
      </w:r>
    </w:p>
    <w:p w:rsidR="00921F61" w:rsidRPr="00921F61" w:rsidRDefault="007E5D8B" w:rsidP="00921F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proofErr w:type="spellStart"/>
      <w:r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r w:rsidR="00676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</w:t>
      </w:r>
      <w:r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кту</w:t>
      </w:r>
      <w:proofErr w:type="spellEnd"/>
      <w:r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 Кабінету Міністрів</w:t>
      </w:r>
      <w:r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України «</w:t>
      </w:r>
      <w:r w:rsidR="00921F61" w:rsidRPr="0092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змін до постанови Кабінету Міністрів України </w:t>
      </w:r>
    </w:p>
    <w:p w:rsidR="0003723E" w:rsidRPr="001E7C86" w:rsidRDefault="00921F61" w:rsidP="00921F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17 жовтня 2018 р. № 845</w:t>
      </w:r>
      <w:r w:rsidR="007E5D8B" w:rsidRPr="001E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3723E" w:rsidRPr="001E7C86" w:rsidRDefault="000372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5"/>
        <w:gridCol w:w="6022"/>
        <w:gridCol w:w="4201"/>
      </w:tblGrid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432277" w:rsidP="0043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Зміст положення </w:t>
            </w:r>
            <w:proofErr w:type="spellStart"/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432277" w:rsidP="00432277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Зміст відповідного положення </w:t>
            </w:r>
            <w:proofErr w:type="spellStart"/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є</w:t>
            </w:r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кту</w:t>
            </w:r>
            <w:proofErr w:type="spellEnd"/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432277" w:rsidP="004322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Пояснення змін</w:t>
            </w:r>
          </w:p>
        </w:tc>
      </w:tr>
      <w:tr w:rsidR="00921F61" w:rsidRPr="001E7C86" w:rsidTr="00921F61">
        <w:tc>
          <w:tcPr>
            <w:tcW w:w="1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61" w:rsidRPr="00921F61" w:rsidRDefault="00921F61" w:rsidP="00921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Постанова Кабінету Міністрів України від 17 жовтня 2018 р. № 845</w:t>
            </w:r>
          </w:p>
          <w:p w:rsidR="00921F61" w:rsidRPr="00921F61" w:rsidRDefault="00921F61" w:rsidP="00921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«Деякі питання дитячо-юнацького військово-патріотичного виховання»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43227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43227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Default="0043227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Default="00921F61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Міністерству освіти і науки, Міністерству молоді та спорту, Міністерству оборони, Міністерству внутрішніх справ, </w:t>
            </w:r>
            <w:r w:rsidRPr="00921F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Міністерству інформаційної політики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Міністерству </w:t>
            </w:r>
            <w:r w:rsidRPr="00921F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культури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Міністерству соціальної політики, Українському інституту національної пам’яті, Адміністрації Державної прикордонної служби, Державній службі з надзвичайних ситуацій, Національній поліції, Національній гвардії, Раді міністрів Автономної Республіки Крим, обласним, Київській та Севастопольській міським державним адміністраціям забезпечити проведення заходів, передбачених Положенням, затвердженим цією постановою. </w:t>
            </w:r>
          </w:p>
          <w:p w:rsidR="00100875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921F61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Міністерству освіти і науки, Міністерству молоді та спорту, Міністерству оборони,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Міністерству внутрішніх справ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Міністерству культури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 інформаційної політики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Міністерству соціальної політики, Українському інституту національної пам’яті, Адміністрації Державної прикордонної служби, Державній службі з надзвичайних ситуацій, Національній поліції, Національній гвардії, Раді міністрів Автономної Республіки Крим, обласним, Київській та Севастопольській міським державним адміністраціям забезпечити проведення заходів, передбачених Положенням, затвердженим цією постановою. </w:t>
            </w:r>
          </w:p>
          <w:p w:rsidR="00432277" w:rsidRPr="001E7C86" w:rsidRDefault="0043227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2277" w:rsidRDefault="00432277" w:rsidP="009543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0875" w:rsidRDefault="00100875" w:rsidP="009543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6F06" w:rsidRPr="001E7C86" w:rsidRDefault="00100875" w:rsidP="00D56F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432277" w:rsidP="00921F61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Приведення норм </w:t>
            </w:r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відповідність до норм </w:t>
            </w:r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постанови </w:t>
            </w:r>
            <w:r w:rsidR="00921F61"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</w:t>
            </w:r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1F61"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16 жовтня 2019 р. № 885</w:t>
            </w:r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зімнами</w:t>
            </w:r>
            <w:proofErr w:type="spellEnd"/>
            <w:r w:rsid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21F61" w:rsidRPr="001E7C86" w:rsidTr="00921F61">
        <w:tc>
          <w:tcPr>
            <w:tcW w:w="1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06" w:rsidRDefault="00921F61" w:rsidP="00D56F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оложення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Всеукраїнську дитячо-юнацьку військово-патріотичну гру “Сокіл” (“Джура”)</w:t>
            </w:r>
            <w:r w:rsidR="00D56F06"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21F61" w:rsidRPr="001E7C86" w:rsidRDefault="00D56F06" w:rsidP="00D56F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(затверджено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постановою Кабінету Міністрів України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17 жовтня 2018 р. № 845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921F61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Всеукраїнська дитячо-юнацька військово-патріотична гра “Сокіл” (“Джура”) (далі - Гра) є системною формою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національно-патріотичного виховання дітей та молоді, важливим засобом громадянської освіти, формування національно-патріотичної свідомості відповідно до ціннісних орієнтирів та індикаторів ефективності Стратегії національно-патріотичного виховання </w:t>
            </w:r>
            <w:r w:rsidRPr="00921F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дітей та молоді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 2016-2020 роки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затвердженої Указом Президента України 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r w:rsidRPr="00921F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13 жовтня 2015 р. № 580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921F61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Всеукраїнська дитячо-юнацька військово-патріотична гра “Сокіл” (“Джура”) (далі - Гра) є системною формою національно-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патріотичного виховання дітей та молоді, важливим засобом громадянської освіти, формування національно-патріотичної свідомості відповідно до ціннісних орієнтирів та індикаторів ефективності Стратегії національно-патріотичного виховання, затвердженої Указом Президента України від </w:t>
            </w:r>
            <w:r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18 травня 2019 р. № </w:t>
            </w:r>
            <w:r w:rsidR="00100875"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286/2019</w:t>
            </w:r>
            <w:r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100875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Приведення норм постанови у відповідність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норм 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Президента України від 18 травня 2019 р. № 286/2019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Мета Гри реалізовується шляхом створення та розвитку національно-патріотичних осередків самовиховання дітей та молоді у закладах загальної середньої та позашкільної освіти, громадських об’єднаннях і молодіжних центрах у тісній співпраці з громадськістю, зокрема студентським та учнівським самоврядуванням.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Мета Гри реалізовується шляхом створення та розвитку національно-патріотичних осередків самовиховання дітей та молоді у закладах загальної середньої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професійної (професійно-технічної)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позашкільної освіти, громадських об’єднаннях і молодіжних центрах у тісній співпраці з громадськістю, зокрема студентським та учнівським самоврядуванням.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Розширення прав здобувачів професійної (професійно-технічної) освіти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Гра проводиться згідно з рекомендаціями, які розробляються та затверджуються Українським державним центром туризму і краєзнавства учнівської молоді (далі - Український державний центр туризму) за погодженням з Головним штабом.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Гра проводиться згідно з рекомендаціями, які розробляються та затверджуються </w:t>
            </w:r>
            <w:r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Українським державним центром національно-патріотичного виховання, краєзнавства і туризму учнівської молоді (далі - Український державний центр національно-патріотичного виховання)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погодженням з Головним штабом.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100875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Приведення найменування державного закладу позашкільної освіти до фактичного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Default="00100875" w:rsidP="00685D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Учасниками Гри є учні закладів загальної середньої та позашкільної освіти (далі - заклади освіти), члени громадських об’єднань, учасники молодіжних центрів, 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об’єднані на добровільних засадах у самовиховних малих групах - 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роях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(гуртках):</w:t>
            </w:r>
          </w:p>
          <w:p w:rsidR="00100875" w:rsidRPr="00385FA0" w:rsidRDefault="00100875" w:rsidP="00685D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D5" w:rsidRDefault="00100875" w:rsidP="00385F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 Учасниками Гри є учні закладів загальної середньої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008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професійної (професійно-технічної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позашкільної освіти (далі - заклади освіти), члени громадських об’єднань, учасники </w:t>
            </w: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молодіжних центрів, об’єднані на добровільних засадах у самовиховних малих групах - 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роях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(гуртках):</w:t>
            </w:r>
          </w:p>
          <w:p w:rsidR="00100875" w:rsidRPr="001E7C86" w:rsidRDefault="00100875" w:rsidP="00385F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100875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Розширення прав здобувачів професійної (професійно-технічної) освіти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75" w:rsidRPr="00100875" w:rsidRDefault="00100875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Кожен рій куреня обирає собі назву за тематикою історичної героїки борців за незалежність України (наприклад, “Святославичі”, “Січовики”, “Гайдамаки”, “Чорні запорожці”,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Холодноярці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“Карпатські січовики”, “Повстанці”, “Кіборги”,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Добробати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Гарпунівці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“Кульчицькі”,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Айдарівці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 тощо). Назву гуртка/рою затверджує рада ройових куреня.</w:t>
            </w:r>
          </w:p>
          <w:p w:rsidR="00432277" w:rsidRPr="001E7C86" w:rsidRDefault="00100875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Назви і склад роїв молодих козаків, які створюються у закладах освіти, де відсутні курені Гри, а також курені, створені на базі роїв молодих козаків, реєструються Головним штабом або, за його дорученням, обласним штабом Гри, але відповідно до героїки боротьби за державну незалежність України.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75" w:rsidRPr="00100875" w:rsidRDefault="00100875" w:rsidP="001008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Кожен рій куреня обирає собі назву за тематикою історичної героїки борців за незалежність України (наприклад, “Святославичі”, “Січовики”, “Гайдамаки”, “Чорні запорожці”,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Холодноярці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“Карпатські січовики”, “Повстанці”, “Кіборги”,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Добробати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Гарпунівці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“Кульчицькі”,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Айдарівці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“</w:t>
            </w:r>
            <w:proofErr w:type="spellStart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Азовці</w:t>
            </w:r>
            <w:proofErr w:type="spellEnd"/>
            <w:r w:rsidRPr="00100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 тощо). Назву гуртка/рою затверджує рада ройових куреня.</w:t>
            </w:r>
          </w:p>
          <w:p w:rsidR="00432277" w:rsidRPr="001E7C86" w:rsidRDefault="00100875" w:rsidP="00100875">
            <w:pPr>
              <w:pStyle w:val="rvps2"/>
              <w:shd w:val="clear" w:color="auto" w:fill="FFFFFF"/>
              <w:spacing w:before="0" w:after="0"/>
              <w:ind w:firstLine="709"/>
              <w:jc w:val="both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0875">
              <w:rPr>
                <w:color w:val="000000" w:themeColor="text1"/>
                <w:sz w:val="28"/>
                <w:szCs w:val="28"/>
              </w:rPr>
              <w:t xml:space="preserve">Назви і склад роїв молодих козаків, які створюються у закладах освіти, де відсутні курені Гри, а також курені, створені на базі роїв молодих козаків, реєструються </w:t>
            </w:r>
            <w:r w:rsidR="00E049B3" w:rsidRPr="00E049B3">
              <w:rPr>
                <w:b/>
                <w:color w:val="000000" w:themeColor="text1"/>
                <w:sz w:val="28"/>
                <w:szCs w:val="28"/>
              </w:rPr>
              <w:t>Українським державним центром національно-патріотичного виховання або, за дорученням Головного штабу</w:t>
            </w:r>
            <w:r w:rsidRPr="00100875">
              <w:rPr>
                <w:color w:val="000000" w:themeColor="text1"/>
                <w:sz w:val="28"/>
                <w:szCs w:val="28"/>
              </w:rPr>
              <w:t>, обласним штабом Гри, але відповідно до героїки боротьби за державну незалежність України.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E049B3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Розвантаження Головного штабу від невластивих йому функцій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E049B3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 Співорганізаторами Гри є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Мінмолодьспорт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Міноборони, МВС, </w:t>
            </w:r>
            <w:r w:rsidRPr="00E049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МІП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Мінкультури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Мінсоцполітики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Український інститут національної пам’яті, Адміністрація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Держприкордонслужби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ДСНС, Національна поліція, Національна гвардія, Рада міністрів Автономної Республіки Крим, обласні, Київська та Севастопольська міські держадміністрації.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 Співорганізаторами Гри є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Мінмолодьспорт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Міноборони, МВС,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МКІП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Мінсоцполітики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Український інститут національної пам’яті, Адміністрація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Держприкордонслужби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ДСНС, Національна поліція, Національна гвардія, Рада міністрів Автономної Республіки Крим, обласні, Київська та Севастопольська міські держадміністрації.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E049B3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Приведення норм постанови у відповідність до норм постанови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16 жовтня 2019 р. № 885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зімнами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E049B3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24.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Мінкультури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сприяє в організації та проведенні культурно-мистецьких, екскурсійних заходів, творчих зустрічей і вечорів з видатними діячами культури та мистецтва України.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МКІП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сприяє в організації та проведенні культурно-мистецьких, екскурсійних заходів, творчих зустрічей і вечорів з видатними діячами культури та мистецтва України.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E049B3" w:rsidP="00A37B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Приведення норм постанови у відповідність до норм постанови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16 жовтня 2019 р. № 885</w:t>
            </w:r>
            <w:r w:rsid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змі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нами)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E049B3" w:rsidRDefault="00E049B3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049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32. Методичне та організаційне забезпечення проведення Гри здійснює Український державний центр </w:t>
            </w:r>
            <w:r w:rsidRPr="00E049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туризму</w:t>
            </w:r>
            <w:r w:rsidRPr="00E049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 погодженням з Головним штабом.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50171B" w:rsidRDefault="00E049B3" w:rsidP="00E049B3">
            <w:pPr>
              <w:pStyle w:val="rvps2"/>
              <w:shd w:val="clear" w:color="auto" w:fill="FFFFFF"/>
              <w:spacing w:before="0" w:after="0"/>
              <w:ind w:firstLine="425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049B3">
              <w:rPr>
                <w:bCs/>
                <w:color w:val="000000" w:themeColor="text1"/>
                <w:sz w:val="28"/>
                <w:szCs w:val="28"/>
              </w:rPr>
              <w:t xml:space="preserve">32. Методичне та організаційне забезпечення проведення Гри здійснює Український державний центр </w:t>
            </w:r>
            <w:r w:rsidRPr="00E049B3">
              <w:rPr>
                <w:b/>
                <w:bCs/>
                <w:color w:val="000000" w:themeColor="text1"/>
                <w:sz w:val="28"/>
                <w:szCs w:val="28"/>
              </w:rPr>
              <w:t>національно-патріотичного виховання</w:t>
            </w:r>
            <w:r w:rsidRPr="00E049B3">
              <w:rPr>
                <w:bCs/>
                <w:color w:val="000000" w:themeColor="text1"/>
                <w:sz w:val="28"/>
                <w:szCs w:val="28"/>
              </w:rPr>
              <w:t xml:space="preserve"> за погодженням з Головним штабом.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C75436" w:rsidRDefault="00E049B3" w:rsidP="0010719B">
            <w:pPr>
              <w:spacing w:after="0" w:line="240" w:lineRule="auto"/>
              <w:ind w:firstLine="7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Приведення найменування державного закладу позашкільної освіти до фактичного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 Підсумкові наметові таборування Гри проводяться поетапно: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початковий етап - навчально-тренувальний похід первинних осередків (куренів) з не менш як однією ночівлею у польових умовах - у квітні - травні;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етап - районний (міський, об’єднана територіальна громада) - у травні;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етап - обласний - у травні - червні;</w:t>
            </w:r>
          </w:p>
          <w:p w:rsid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2277" w:rsidRPr="001E7C86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 етап - фінальний (Всеукраїнський) - у липні - серпні.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 Підсумкові наметові таборування Гри проводяться поетапно: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початковий етап - навчально-тренувальний похід первинних осередків (куренів) з не менш як однією ночівлею у польових умовах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 правило,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квітні - травні;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етап - районний (міський, об’єднана територіальна громада) -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 правило,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травні;</w:t>
            </w:r>
          </w:p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 етап - обласний -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 правило,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травні - червні;</w:t>
            </w:r>
          </w:p>
          <w:p w:rsidR="00432277" w:rsidRPr="001E7C86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III етап - фінальний (Всеукраїнський) - </w:t>
            </w:r>
            <w:r w:rsidRPr="00E04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 правило,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липні - серпні.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Врахування обставин, визначених постановою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 від 11 березня 2020 р. № 211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(зі змінами)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B3" w:rsidRPr="00E049B3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 Для проведення у закладі освіти, в об’єднаній територіальній громаді, районі, місті, області початкового, I (районного, міського, об’єднаної територіальної громади) та II (обласного) етапів Гри штабами відповідного рівня створюються організаційні комітети, визначаються установи чи організації, на які покладається відповідальність за організацію та проведення відповідного етапу Гри.</w:t>
            </w:r>
          </w:p>
          <w:p w:rsidR="00E049B3" w:rsidRPr="00E049B3" w:rsidRDefault="00D56F06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…</w:t>
            </w:r>
          </w:p>
          <w:p w:rsidR="00432277" w:rsidRDefault="00E049B3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складу організаційних комітетів входять представники відповідного штабу, працівники місцевих держадміністрацій, органів місцевого самоврядування, яким надано повноваження у сфері освіти, фізичної культури та спорту, центрів туризму та краєзнавства, а також працівники систем Міноборони, </w:t>
            </w:r>
            <w:r w:rsidRPr="00D56F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Мінкультури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Мінсоцполітики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Національної поліції, Національної гвардії, Адміністрації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Держприкордонслужби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ДСНС.</w:t>
            </w:r>
          </w:p>
          <w:p w:rsidR="00D56F06" w:rsidRPr="001E7C86" w:rsidRDefault="00D56F06" w:rsidP="00E04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06" w:rsidRPr="00E049B3" w:rsidRDefault="00D56F06" w:rsidP="00D56F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38. Для проведення у закладі освіти, в об’єднаній територіальній громаді, районі, місті, області початкового, I (районного, міського, об’єднаної територіальної громади) та II (обласного) етапів Гри штабами відповідного рівня створюються організаційні комітети, визначаються установи чи організації, на які покладається відповідальність за організацію та проведення відповідного етапу Гри.</w:t>
            </w:r>
          </w:p>
          <w:p w:rsidR="00D56F06" w:rsidRDefault="00D56F06" w:rsidP="00D56F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6F06" w:rsidRPr="00E049B3" w:rsidRDefault="00D56F06" w:rsidP="00D56F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…</w:t>
            </w:r>
          </w:p>
          <w:p w:rsidR="00432277" w:rsidRDefault="00D56F06" w:rsidP="00D56F0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складу організаційних комітетів входять представники відповідного штабу, працівники місцевих держадміністрацій, органів місцевого самоврядування, яким надано повноваження у сфері освіти, фізичної культури та спорту, центрів туризму та краєзнавства, а також працівники систем Міноборони, </w:t>
            </w:r>
            <w:r w:rsidRPr="00D56F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КІП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Мінсоцполітики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Національної поліції, Національної гвардії, Адміністрації </w:t>
            </w:r>
            <w:proofErr w:type="spellStart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Держприкордонслужби</w:t>
            </w:r>
            <w:proofErr w:type="spellEnd"/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ДСНС.</w:t>
            </w:r>
          </w:p>
          <w:p w:rsidR="00D56F06" w:rsidRDefault="00D56F06" w:rsidP="00D56F0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6F06" w:rsidRDefault="00D56F06" w:rsidP="00D56F0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6F06" w:rsidRPr="00E86F3E" w:rsidRDefault="00D56F06" w:rsidP="00D56F0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D56F06" w:rsidP="00E86F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Приведення норм постанови у відповідність до норм постанови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16 жовтня 2019 р. № 885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змінами)</w:t>
            </w:r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06" w:rsidRPr="00D56F06" w:rsidRDefault="00D56F06" w:rsidP="00D56F06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39. Організацію та проведення III (Всеукраїнського) етапу Гри забезпечує Український державний центр </w:t>
            </w:r>
            <w:r w:rsidRPr="00D56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туризму</w:t>
            </w: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56F06" w:rsidRDefault="00D56F06" w:rsidP="00D56F06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n103"/>
            <w:bookmarkEnd w:id="0"/>
          </w:p>
          <w:p w:rsidR="00D56F06" w:rsidRPr="00D56F06" w:rsidRDefault="00D56F06" w:rsidP="00D56F06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  <w:p w:rsidR="00432277" w:rsidRPr="00F45B57" w:rsidRDefault="00D56F06" w:rsidP="00F45B5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1" w:name="n104"/>
            <w:bookmarkEnd w:id="1"/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складу Організаційного комітету входять представники Головного штабу, працівники МОН та державних установ, співорганізаторів Гри, а також Українського державного центру </w:t>
            </w:r>
            <w:r w:rsidRPr="00D56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туризму</w:t>
            </w: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06" w:rsidRPr="00D56F06" w:rsidRDefault="00D56F06" w:rsidP="00D56F06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39. Організацію та проведення III (Всеукраїнського) етапу Гри забезпечує Український державний центр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національно-патріотичного виховання</w:t>
            </w: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56F06" w:rsidRPr="00D56F06" w:rsidRDefault="00D56F06" w:rsidP="00D56F06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  <w:p w:rsidR="00432277" w:rsidRPr="00F45B57" w:rsidRDefault="00D56F06" w:rsidP="00F45B5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складу Організаційного комітету входять представники Головного штабу, працівники МОН та державних установ, співорганізаторів Гри, а також Українського державного центру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національно-патріотичного виховання</w:t>
            </w:r>
            <w:r w:rsidRPr="00D5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D56F06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Приведення найменування державного закладу позашкільної освіти до фактичного</w:t>
            </w:r>
          </w:p>
        </w:tc>
      </w:tr>
      <w:tr w:rsidR="00E4551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17" w:rsidRP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42. Підсумкові наметові таборування куренів у закладах освіти проводяться щороку як підсумок самовиховної діяльності куренів протягом навчального року та включають спільне таборування всіх роїв куреня в польових умовах. Для первинних осередків (куренів) перевага </w:t>
            </w: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повинна надаватися таборуванням куренів в інших регіонах України з метою міжрегіонального культурного обміну.</w:t>
            </w:r>
          </w:p>
          <w:p w:rsid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I етапі Гри беруть участь рої, які визначаються за результатами підсумкового наметового таборування куренів, - кращий рій куреня або збірний рій куреня, а також </w:t>
            </w:r>
            <w:r w:rsidRPr="00E455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збірні</w:t>
            </w: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рої закладів освіти, в яких не створені курені.</w:t>
            </w:r>
          </w:p>
          <w:p w:rsidR="00E45517" w:rsidRPr="00D56F06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42. Підсумкові наметові таборування куренів у закладах освіти проводяться щороку як підсумок самовиховної діяльності куренів протягом навчального року та включають спільне таборування всіх роїв куреня в польових умовах. Для первинних осередків (куренів) перевага повинна надаватися таборуванням </w:t>
            </w: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куренів в інших регіонах України з метою міжрегіонального культурного обміну.</w:t>
            </w:r>
          </w:p>
          <w:p w:rsidR="00E45517" w:rsidRP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I етапі Гри беруть участь рої, які визначаються за результатами підсумкового наметового таборування куренів, - кращий рій куреня або збірний рій куреня, а також збірні рої закладів освіти, в яких не створені курені.</w:t>
            </w:r>
          </w:p>
          <w:p w:rsidR="00E45517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45517" w:rsidRPr="00D56F06" w:rsidRDefault="00E45517" w:rsidP="00E45517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17" w:rsidRDefault="00E4551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Розширення можливостей роїв та закладів освіти, в яких не створені курені.</w:t>
            </w:r>
            <w:bookmarkStart w:id="2" w:name="_GoBack"/>
            <w:bookmarkEnd w:id="2"/>
          </w:p>
        </w:tc>
      </w:tr>
      <w:tr w:rsidR="00432277" w:rsidRPr="001E7C86" w:rsidTr="00432277"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D56F06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45. Строки та місце проведення III етапу наметового таборування Гри </w:t>
            </w:r>
            <w:r w:rsidRPr="00D56F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визначаються Головним штабом і</w:t>
            </w:r>
            <w:r w:rsidRP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затверджуються наказом МОН </w:t>
            </w:r>
            <w:r w:rsidRPr="00D56F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 узгодженням з </w:t>
            </w:r>
            <w:proofErr w:type="spellStart"/>
            <w:r w:rsidRPr="00D56F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Мінмолодьспортом</w:t>
            </w:r>
            <w:proofErr w:type="spellEnd"/>
            <w:r w:rsidRP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повідомляються центральним органам виконавчої влади, місцевим держадміністраціям Автономної Республіки Крим, областям, мм. Києву та Севастополю </w:t>
            </w:r>
            <w:r w:rsidRPr="00F45B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 пізніше ніж за три місяці до його початку</w:t>
            </w:r>
            <w:r w:rsidRP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7" w:rsidRPr="001E7C86" w:rsidRDefault="00D56F06" w:rsidP="00154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Строки та місце проведення III етапу наметового таборування Гри затверджуються наказом МОН та повідомляються центральним органам виконавчої влади, місцевим держадміністраціям Автономної Республіки Крим, областям, мм. Києву та Севастополю. </w:t>
            </w:r>
            <w:r w:rsidRPr="00F45B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Строк проведення ІІ етапу визначається з урахуванням встановленого строку проведення ІІІ етапу та не може визначатись пізніше визначеного строку проведення ІІІ етапу. Строк проведення І етапу визначається з урахуванням встановленого строку проведення ІІ етапу та не може визначатись пізніше визначеного строку проведення ІІ етапу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77" w:rsidRPr="001E7C86" w:rsidRDefault="00F45B57" w:rsidP="002579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Врахування обставин, визначених постановою </w:t>
            </w:r>
            <w:r w:rsidRPr="00E0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Кабінету Міністрів України від 11 березня 2020 р. № 211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(зі змінами)</w:t>
            </w:r>
          </w:p>
        </w:tc>
      </w:tr>
    </w:tbl>
    <w:p w:rsidR="003872D5" w:rsidRDefault="003872D5" w:rsidP="00E24B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B21" w:rsidRPr="00E24B21" w:rsidRDefault="00992A59" w:rsidP="00E24B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В.о. г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>енеральн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директорату </w:t>
      </w:r>
    </w:p>
    <w:p w:rsidR="00E24B21" w:rsidRPr="00E24B21" w:rsidRDefault="00992A59" w:rsidP="00E24B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дошкільної, 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позашкільної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інклюзивної 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освіти </w:t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4B21" w:rsidRPr="00E24B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іктор САЛЬКОВ</w:t>
      </w:r>
    </w:p>
    <w:sectPr w:rsidR="00E24B21" w:rsidRPr="00E24B21" w:rsidSect="003872D5">
      <w:headerReference w:type="default" r:id="rId8"/>
      <w:pgSz w:w="16838" w:h="11906" w:orient="landscape"/>
      <w:pgMar w:top="567" w:right="567" w:bottom="284" w:left="85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9D" w:rsidRDefault="0062329D">
      <w:pPr>
        <w:spacing w:after="0" w:line="240" w:lineRule="auto"/>
      </w:pPr>
      <w:r>
        <w:separator/>
      </w:r>
    </w:p>
  </w:endnote>
  <w:endnote w:type="continuationSeparator" w:id="0">
    <w:p w:rsidR="0062329D" w:rsidRDefault="0062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9D" w:rsidRDefault="0062329D">
      <w:pPr>
        <w:spacing w:after="0" w:line="240" w:lineRule="auto"/>
      </w:pPr>
      <w:r>
        <w:separator/>
      </w:r>
    </w:p>
  </w:footnote>
  <w:footnote w:type="continuationSeparator" w:id="0">
    <w:p w:rsidR="0062329D" w:rsidRDefault="0062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61" w:rsidRDefault="00921F61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E45517">
      <w:rPr>
        <w:noProof/>
      </w:rPr>
      <w:t>6</w:t>
    </w:r>
    <w:r>
      <w:fldChar w:fldCharType="end"/>
    </w:r>
  </w:p>
  <w:p w:rsidR="00921F61" w:rsidRDefault="00921F61">
    <w:pPr>
      <w:pStyle w:val="ac"/>
      <w:jc w:val="right"/>
    </w:pPr>
  </w:p>
  <w:p w:rsidR="00921F61" w:rsidRDefault="00921F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BD4"/>
    <w:multiLevelType w:val="hybridMultilevel"/>
    <w:tmpl w:val="A4C0FCC8"/>
    <w:lvl w:ilvl="0" w:tplc="A8647E8E">
      <w:start w:val="1"/>
      <w:numFmt w:val="decimal"/>
      <w:lvlText w:val="%1."/>
      <w:lvlJc w:val="left"/>
      <w:pPr>
        <w:ind w:left="1054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1B831B58"/>
    <w:multiLevelType w:val="hybridMultilevel"/>
    <w:tmpl w:val="37D44E6E"/>
    <w:lvl w:ilvl="0" w:tplc="9D3A372E">
      <w:start w:val="1"/>
      <w:numFmt w:val="decimal"/>
      <w:lvlText w:val="%1."/>
      <w:lvlJc w:val="left"/>
      <w:pPr>
        <w:ind w:left="99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20A74D97"/>
    <w:multiLevelType w:val="hybridMultilevel"/>
    <w:tmpl w:val="32428C90"/>
    <w:lvl w:ilvl="0" w:tplc="00E22AB2">
      <w:start w:val="1"/>
      <w:numFmt w:val="decimal"/>
      <w:lvlText w:val="%1."/>
      <w:lvlJc w:val="left"/>
      <w:pPr>
        <w:ind w:left="107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3" w:hanging="360"/>
      </w:pPr>
    </w:lvl>
    <w:lvl w:ilvl="2" w:tplc="0422001B" w:tentative="1">
      <w:start w:val="1"/>
      <w:numFmt w:val="lowerRoman"/>
      <w:lvlText w:val="%3."/>
      <w:lvlJc w:val="right"/>
      <w:pPr>
        <w:ind w:left="2513" w:hanging="180"/>
      </w:pPr>
    </w:lvl>
    <w:lvl w:ilvl="3" w:tplc="0422000F" w:tentative="1">
      <w:start w:val="1"/>
      <w:numFmt w:val="decimal"/>
      <w:lvlText w:val="%4."/>
      <w:lvlJc w:val="left"/>
      <w:pPr>
        <w:ind w:left="3233" w:hanging="360"/>
      </w:pPr>
    </w:lvl>
    <w:lvl w:ilvl="4" w:tplc="04220019" w:tentative="1">
      <w:start w:val="1"/>
      <w:numFmt w:val="lowerLetter"/>
      <w:lvlText w:val="%5."/>
      <w:lvlJc w:val="left"/>
      <w:pPr>
        <w:ind w:left="3953" w:hanging="360"/>
      </w:pPr>
    </w:lvl>
    <w:lvl w:ilvl="5" w:tplc="0422001B" w:tentative="1">
      <w:start w:val="1"/>
      <w:numFmt w:val="lowerRoman"/>
      <w:lvlText w:val="%6."/>
      <w:lvlJc w:val="right"/>
      <w:pPr>
        <w:ind w:left="4673" w:hanging="180"/>
      </w:pPr>
    </w:lvl>
    <w:lvl w:ilvl="6" w:tplc="0422000F" w:tentative="1">
      <w:start w:val="1"/>
      <w:numFmt w:val="decimal"/>
      <w:lvlText w:val="%7."/>
      <w:lvlJc w:val="left"/>
      <w:pPr>
        <w:ind w:left="5393" w:hanging="360"/>
      </w:pPr>
    </w:lvl>
    <w:lvl w:ilvl="7" w:tplc="04220019" w:tentative="1">
      <w:start w:val="1"/>
      <w:numFmt w:val="lowerLetter"/>
      <w:lvlText w:val="%8."/>
      <w:lvlJc w:val="left"/>
      <w:pPr>
        <w:ind w:left="6113" w:hanging="360"/>
      </w:pPr>
    </w:lvl>
    <w:lvl w:ilvl="8" w:tplc="0422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24DE178F"/>
    <w:multiLevelType w:val="multilevel"/>
    <w:tmpl w:val="4E78B7BE"/>
    <w:lvl w:ilvl="0">
      <w:start w:val="1"/>
      <w:numFmt w:val="decimal"/>
      <w:lvlText w:val="%1.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2D1E22E7"/>
    <w:multiLevelType w:val="hybridMultilevel"/>
    <w:tmpl w:val="007E6386"/>
    <w:lvl w:ilvl="0" w:tplc="68F86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D7A91"/>
    <w:multiLevelType w:val="multilevel"/>
    <w:tmpl w:val="E596730A"/>
    <w:lvl w:ilvl="0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83F7B08"/>
    <w:multiLevelType w:val="multilevel"/>
    <w:tmpl w:val="4E78B7BE"/>
    <w:lvl w:ilvl="0">
      <w:start w:val="1"/>
      <w:numFmt w:val="decimal"/>
      <w:lvlText w:val="%1.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7" w15:restartNumberingAfterBreak="0">
    <w:nsid w:val="3CA70068"/>
    <w:multiLevelType w:val="hybridMultilevel"/>
    <w:tmpl w:val="32126AA8"/>
    <w:lvl w:ilvl="0" w:tplc="2EF2514C">
      <w:start w:val="1"/>
      <w:numFmt w:val="decimal"/>
      <w:lvlText w:val="%1."/>
      <w:lvlJc w:val="left"/>
      <w:pPr>
        <w:ind w:left="105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458C5B85"/>
    <w:multiLevelType w:val="hybridMultilevel"/>
    <w:tmpl w:val="AB00CFAC"/>
    <w:lvl w:ilvl="0" w:tplc="3B2ED9AE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3" w:hanging="360"/>
      </w:pPr>
    </w:lvl>
    <w:lvl w:ilvl="2" w:tplc="0422001B" w:tentative="1">
      <w:start w:val="1"/>
      <w:numFmt w:val="lowerRoman"/>
      <w:lvlText w:val="%3."/>
      <w:lvlJc w:val="right"/>
      <w:pPr>
        <w:ind w:left="2513" w:hanging="180"/>
      </w:pPr>
    </w:lvl>
    <w:lvl w:ilvl="3" w:tplc="0422000F" w:tentative="1">
      <w:start w:val="1"/>
      <w:numFmt w:val="decimal"/>
      <w:lvlText w:val="%4."/>
      <w:lvlJc w:val="left"/>
      <w:pPr>
        <w:ind w:left="3233" w:hanging="360"/>
      </w:pPr>
    </w:lvl>
    <w:lvl w:ilvl="4" w:tplc="04220019" w:tentative="1">
      <w:start w:val="1"/>
      <w:numFmt w:val="lowerLetter"/>
      <w:lvlText w:val="%5."/>
      <w:lvlJc w:val="left"/>
      <w:pPr>
        <w:ind w:left="3953" w:hanging="360"/>
      </w:pPr>
    </w:lvl>
    <w:lvl w:ilvl="5" w:tplc="0422001B" w:tentative="1">
      <w:start w:val="1"/>
      <w:numFmt w:val="lowerRoman"/>
      <w:lvlText w:val="%6."/>
      <w:lvlJc w:val="right"/>
      <w:pPr>
        <w:ind w:left="4673" w:hanging="180"/>
      </w:pPr>
    </w:lvl>
    <w:lvl w:ilvl="6" w:tplc="0422000F" w:tentative="1">
      <w:start w:val="1"/>
      <w:numFmt w:val="decimal"/>
      <w:lvlText w:val="%7."/>
      <w:lvlJc w:val="left"/>
      <w:pPr>
        <w:ind w:left="5393" w:hanging="360"/>
      </w:pPr>
    </w:lvl>
    <w:lvl w:ilvl="7" w:tplc="04220019" w:tentative="1">
      <w:start w:val="1"/>
      <w:numFmt w:val="lowerLetter"/>
      <w:lvlText w:val="%8."/>
      <w:lvlJc w:val="left"/>
      <w:pPr>
        <w:ind w:left="6113" w:hanging="360"/>
      </w:pPr>
    </w:lvl>
    <w:lvl w:ilvl="8" w:tplc="0422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4E780EA7"/>
    <w:multiLevelType w:val="multilevel"/>
    <w:tmpl w:val="86C478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21A7F0F"/>
    <w:multiLevelType w:val="multilevel"/>
    <w:tmpl w:val="6F94E69C"/>
    <w:lvl w:ilvl="0">
      <w:start w:val="1"/>
      <w:numFmt w:val="decimal"/>
      <w:lvlText w:val="%1."/>
      <w:lvlJc w:val="left"/>
      <w:pPr>
        <w:ind w:left="1073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1" w15:restartNumberingAfterBreak="0">
    <w:nsid w:val="521C5210"/>
    <w:multiLevelType w:val="hybridMultilevel"/>
    <w:tmpl w:val="8C6C7728"/>
    <w:lvl w:ilvl="0" w:tplc="174C348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A95DF0"/>
    <w:multiLevelType w:val="multilevel"/>
    <w:tmpl w:val="F95A7456"/>
    <w:lvl w:ilvl="0">
      <w:start w:val="1"/>
      <w:numFmt w:val="decimal"/>
      <w:lvlText w:val="%1."/>
      <w:lvlJc w:val="left"/>
      <w:pPr>
        <w:ind w:left="1073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607D688B"/>
    <w:multiLevelType w:val="hybridMultilevel"/>
    <w:tmpl w:val="1C4021A4"/>
    <w:lvl w:ilvl="0" w:tplc="04DCC56A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6D04712F"/>
    <w:multiLevelType w:val="hybridMultilevel"/>
    <w:tmpl w:val="3F5296F0"/>
    <w:lvl w:ilvl="0" w:tplc="1EFE72D8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E"/>
    <w:rsid w:val="00000D96"/>
    <w:rsid w:val="00004288"/>
    <w:rsid w:val="00014167"/>
    <w:rsid w:val="00015BFC"/>
    <w:rsid w:val="00025B30"/>
    <w:rsid w:val="0003521E"/>
    <w:rsid w:val="0003723E"/>
    <w:rsid w:val="00040F09"/>
    <w:rsid w:val="00041C2D"/>
    <w:rsid w:val="000453BF"/>
    <w:rsid w:val="0004555A"/>
    <w:rsid w:val="00045662"/>
    <w:rsid w:val="00056F7E"/>
    <w:rsid w:val="00061DD7"/>
    <w:rsid w:val="000623F7"/>
    <w:rsid w:val="00064E33"/>
    <w:rsid w:val="00064FC4"/>
    <w:rsid w:val="0007518C"/>
    <w:rsid w:val="00082DE7"/>
    <w:rsid w:val="00083583"/>
    <w:rsid w:val="00085635"/>
    <w:rsid w:val="000860A1"/>
    <w:rsid w:val="000926E2"/>
    <w:rsid w:val="000A02B4"/>
    <w:rsid w:val="000A38B0"/>
    <w:rsid w:val="000A3E70"/>
    <w:rsid w:val="000B4345"/>
    <w:rsid w:val="000B7EE0"/>
    <w:rsid w:val="000C348B"/>
    <w:rsid w:val="000D26F7"/>
    <w:rsid w:val="000E0CFD"/>
    <w:rsid w:val="000E1683"/>
    <w:rsid w:val="000E41FF"/>
    <w:rsid w:val="000E6027"/>
    <w:rsid w:val="000F2BBE"/>
    <w:rsid w:val="000F5CFA"/>
    <w:rsid w:val="000F7642"/>
    <w:rsid w:val="00100875"/>
    <w:rsid w:val="0010233D"/>
    <w:rsid w:val="0010319D"/>
    <w:rsid w:val="001046C5"/>
    <w:rsid w:val="00107140"/>
    <w:rsid w:val="0010719B"/>
    <w:rsid w:val="00110FDA"/>
    <w:rsid w:val="00123C26"/>
    <w:rsid w:val="00136D17"/>
    <w:rsid w:val="001449DE"/>
    <w:rsid w:val="001507F6"/>
    <w:rsid w:val="001514D3"/>
    <w:rsid w:val="001538DF"/>
    <w:rsid w:val="0015491B"/>
    <w:rsid w:val="00154F0B"/>
    <w:rsid w:val="001570C4"/>
    <w:rsid w:val="00157CB6"/>
    <w:rsid w:val="0016660E"/>
    <w:rsid w:val="0017433F"/>
    <w:rsid w:val="00182206"/>
    <w:rsid w:val="001861B2"/>
    <w:rsid w:val="001914D6"/>
    <w:rsid w:val="00191538"/>
    <w:rsid w:val="00191C99"/>
    <w:rsid w:val="00192C35"/>
    <w:rsid w:val="001A4DB0"/>
    <w:rsid w:val="001B0A02"/>
    <w:rsid w:val="001B41DD"/>
    <w:rsid w:val="001C1AEE"/>
    <w:rsid w:val="001C4443"/>
    <w:rsid w:val="001C6EB8"/>
    <w:rsid w:val="001C6F93"/>
    <w:rsid w:val="001D07A4"/>
    <w:rsid w:val="001D2586"/>
    <w:rsid w:val="001E2A17"/>
    <w:rsid w:val="001E387F"/>
    <w:rsid w:val="001E4AFC"/>
    <w:rsid w:val="001E6CC3"/>
    <w:rsid w:val="001E79BF"/>
    <w:rsid w:val="001E7C86"/>
    <w:rsid w:val="001F089C"/>
    <w:rsid w:val="001F6010"/>
    <w:rsid w:val="002010C7"/>
    <w:rsid w:val="00201E50"/>
    <w:rsid w:val="00205DE1"/>
    <w:rsid w:val="00212D98"/>
    <w:rsid w:val="002228DA"/>
    <w:rsid w:val="0022601E"/>
    <w:rsid w:val="002334AC"/>
    <w:rsid w:val="0023355C"/>
    <w:rsid w:val="00235BAA"/>
    <w:rsid w:val="00245591"/>
    <w:rsid w:val="00247501"/>
    <w:rsid w:val="00250BA2"/>
    <w:rsid w:val="00251127"/>
    <w:rsid w:val="0025796A"/>
    <w:rsid w:val="002620EA"/>
    <w:rsid w:val="0027016A"/>
    <w:rsid w:val="00281A44"/>
    <w:rsid w:val="002A084C"/>
    <w:rsid w:val="002B6F32"/>
    <w:rsid w:val="002C2A1F"/>
    <w:rsid w:val="002C5868"/>
    <w:rsid w:val="002C632F"/>
    <w:rsid w:val="002D20CD"/>
    <w:rsid w:val="002E5A59"/>
    <w:rsid w:val="002F025F"/>
    <w:rsid w:val="002F0313"/>
    <w:rsid w:val="002F4E36"/>
    <w:rsid w:val="003120D8"/>
    <w:rsid w:val="0031529A"/>
    <w:rsid w:val="003223F4"/>
    <w:rsid w:val="0032317F"/>
    <w:rsid w:val="0032799C"/>
    <w:rsid w:val="00342629"/>
    <w:rsid w:val="003536A1"/>
    <w:rsid w:val="00374D85"/>
    <w:rsid w:val="003829F9"/>
    <w:rsid w:val="003839D8"/>
    <w:rsid w:val="00384195"/>
    <w:rsid w:val="00385FA0"/>
    <w:rsid w:val="003872D5"/>
    <w:rsid w:val="00390789"/>
    <w:rsid w:val="00397160"/>
    <w:rsid w:val="003B30E4"/>
    <w:rsid w:val="003C23CA"/>
    <w:rsid w:val="003C32B0"/>
    <w:rsid w:val="003D737E"/>
    <w:rsid w:val="003E3243"/>
    <w:rsid w:val="003F2F3F"/>
    <w:rsid w:val="00410F60"/>
    <w:rsid w:val="004154C7"/>
    <w:rsid w:val="0041672E"/>
    <w:rsid w:val="00423DEF"/>
    <w:rsid w:val="00426D62"/>
    <w:rsid w:val="00427CDB"/>
    <w:rsid w:val="00432277"/>
    <w:rsid w:val="0043344B"/>
    <w:rsid w:val="00440190"/>
    <w:rsid w:val="0045164A"/>
    <w:rsid w:val="004526D9"/>
    <w:rsid w:val="00454C73"/>
    <w:rsid w:val="00455A5A"/>
    <w:rsid w:val="00470049"/>
    <w:rsid w:val="00470438"/>
    <w:rsid w:val="00482DF7"/>
    <w:rsid w:val="0048313D"/>
    <w:rsid w:val="00486CC9"/>
    <w:rsid w:val="00492C0A"/>
    <w:rsid w:val="004949AE"/>
    <w:rsid w:val="004A3917"/>
    <w:rsid w:val="004B14C6"/>
    <w:rsid w:val="004B3637"/>
    <w:rsid w:val="004B7CEF"/>
    <w:rsid w:val="004C0EA5"/>
    <w:rsid w:val="004C19AA"/>
    <w:rsid w:val="004C655E"/>
    <w:rsid w:val="004C6B5E"/>
    <w:rsid w:val="004D10B5"/>
    <w:rsid w:val="0050171B"/>
    <w:rsid w:val="00506510"/>
    <w:rsid w:val="00507E71"/>
    <w:rsid w:val="0051015F"/>
    <w:rsid w:val="00513BC8"/>
    <w:rsid w:val="00524AA5"/>
    <w:rsid w:val="00540CC3"/>
    <w:rsid w:val="0054153E"/>
    <w:rsid w:val="00543AB0"/>
    <w:rsid w:val="00547F4D"/>
    <w:rsid w:val="005606B6"/>
    <w:rsid w:val="005640EF"/>
    <w:rsid w:val="0056420D"/>
    <w:rsid w:val="00570286"/>
    <w:rsid w:val="005836A7"/>
    <w:rsid w:val="005862C4"/>
    <w:rsid w:val="0059197F"/>
    <w:rsid w:val="00596BBA"/>
    <w:rsid w:val="005A144A"/>
    <w:rsid w:val="005A1ED0"/>
    <w:rsid w:val="005A478E"/>
    <w:rsid w:val="005A578A"/>
    <w:rsid w:val="005B3CA5"/>
    <w:rsid w:val="005B4013"/>
    <w:rsid w:val="005B5312"/>
    <w:rsid w:val="005B73A0"/>
    <w:rsid w:val="005C2428"/>
    <w:rsid w:val="005C3A39"/>
    <w:rsid w:val="005D0EA9"/>
    <w:rsid w:val="005D14B5"/>
    <w:rsid w:val="005D7E81"/>
    <w:rsid w:val="005F34CA"/>
    <w:rsid w:val="005F7F4F"/>
    <w:rsid w:val="00603C2C"/>
    <w:rsid w:val="006129FA"/>
    <w:rsid w:val="00613643"/>
    <w:rsid w:val="0062329D"/>
    <w:rsid w:val="00623304"/>
    <w:rsid w:val="00627DDA"/>
    <w:rsid w:val="006333B2"/>
    <w:rsid w:val="006477AB"/>
    <w:rsid w:val="00665874"/>
    <w:rsid w:val="00672608"/>
    <w:rsid w:val="00676049"/>
    <w:rsid w:val="00676122"/>
    <w:rsid w:val="00677BFB"/>
    <w:rsid w:val="00685D74"/>
    <w:rsid w:val="00694EF1"/>
    <w:rsid w:val="006952C0"/>
    <w:rsid w:val="00696BCA"/>
    <w:rsid w:val="006B2388"/>
    <w:rsid w:val="006B2CB5"/>
    <w:rsid w:val="006B3E34"/>
    <w:rsid w:val="006D04B3"/>
    <w:rsid w:val="006D6871"/>
    <w:rsid w:val="006E0ABF"/>
    <w:rsid w:val="006E29A8"/>
    <w:rsid w:val="006E71C3"/>
    <w:rsid w:val="006F3FD2"/>
    <w:rsid w:val="006F6866"/>
    <w:rsid w:val="007006FE"/>
    <w:rsid w:val="00701DE7"/>
    <w:rsid w:val="00706428"/>
    <w:rsid w:val="007177EA"/>
    <w:rsid w:val="0072659B"/>
    <w:rsid w:val="007317BF"/>
    <w:rsid w:val="007336C2"/>
    <w:rsid w:val="0073551A"/>
    <w:rsid w:val="00735B68"/>
    <w:rsid w:val="00747FB1"/>
    <w:rsid w:val="0075021C"/>
    <w:rsid w:val="00750D3B"/>
    <w:rsid w:val="00751807"/>
    <w:rsid w:val="00751D92"/>
    <w:rsid w:val="00751F58"/>
    <w:rsid w:val="0077343C"/>
    <w:rsid w:val="007776B7"/>
    <w:rsid w:val="00784BC2"/>
    <w:rsid w:val="00786DFC"/>
    <w:rsid w:val="00787AA3"/>
    <w:rsid w:val="00795591"/>
    <w:rsid w:val="0079635A"/>
    <w:rsid w:val="007A1CC1"/>
    <w:rsid w:val="007B33BB"/>
    <w:rsid w:val="007B58FD"/>
    <w:rsid w:val="007C279C"/>
    <w:rsid w:val="007C3300"/>
    <w:rsid w:val="007D3C93"/>
    <w:rsid w:val="007D6006"/>
    <w:rsid w:val="007D6B27"/>
    <w:rsid w:val="007E4C56"/>
    <w:rsid w:val="007E5B6D"/>
    <w:rsid w:val="007E5D8B"/>
    <w:rsid w:val="007E6044"/>
    <w:rsid w:val="007E720B"/>
    <w:rsid w:val="00801C3F"/>
    <w:rsid w:val="008130C5"/>
    <w:rsid w:val="00820CF4"/>
    <w:rsid w:val="00830DF9"/>
    <w:rsid w:val="00831C04"/>
    <w:rsid w:val="00832602"/>
    <w:rsid w:val="0084468A"/>
    <w:rsid w:val="008721DE"/>
    <w:rsid w:val="008729B8"/>
    <w:rsid w:val="00873AA9"/>
    <w:rsid w:val="00877F4B"/>
    <w:rsid w:val="008834F2"/>
    <w:rsid w:val="00887535"/>
    <w:rsid w:val="00892DF6"/>
    <w:rsid w:val="00893775"/>
    <w:rsid w:val="00894D54"/>
    <w:rsid w:val="008A6613"/>
    <w:rsid w:val="008A6E3E"/>
    <w:rsid w:val="008B50E3"/>
    <w:rsid w:val="008B79B4"/>
    <w:rsid w:val="008C0841"/>
    <w:rsid w:val="008C2885"/>
    <w:rsid w:val="008C60FB"/>
    <w:rsid w:val="008C7045"/>
    <w:rsid w:val="008D1E7D"/>
    <w:rsid w:val="008D2AAF"/>
    <w:rsid w:val="008D2C13"/>
    <w:rsid w:val="008D3E5F"/>
    <w:rsid w:val="008E5267"/>
    <w:rsid w:val="008F68F0"/>
    <w:rsid w:val="00904AAA"/>
    <w:rsid w:val="00913705"/>
    <w:rsid w:val="009177CC"/>
    <w:rsid w:val="00921F61"/>
    <w:rsid w:val="00922B8D"/>
    <w:rsid w:val="009247F5"/>
    <w:rsid w:val="00925093"/>
    <w:rsid w:val="009252C1"/>
    <w:rsid w:val="009317FA"/>
    <w:rsid w:val="00946776"/>
    <w:rsid w:val="00947F3C"/>
    <w:rsid w:val="009506E6"/>
    <w:rsid w:val="0095435E"/>
    <w:rsid w:val="00956487"/>
    <w:rsid w:val="00960A7E"/>
    <w:rsid w:val="00962285"/>
    <w:rsid w:val="00967202"/>
    <w:rsid w:val="00967AAB"/>
    <w:rsid w:val="00972813"/>
    <w:rsid w:val="00977829"/>
    <w:rsid w:val="009805DF"/>
    <w:rsid w:val="00980A2B"/>
    <w:rsid w:val="00987292"/>
    <w:rsid w:val="00992A59"/>
    <w:rsid w:val="0099422D"/>
    <w:rsid w:val="00997CC4"/>
    <w:rsid w:val="009B4483"/>
    <w:rsid w:val="009C4DC8"/>
    <w:rsid w:val="009D1526"/>
    <w:rsid w:val="009D7ADD"/>
    <w:rsid w:val="009E5BCE"/>
    <w:rsid w:val="00A01144"/>
    <w:rsid w:val="00A054B9"/>
    <w:rsid w:val="00A13511"/>
    <w:rsid w:val="00A1614D"/>
    <w:rsid w:val="00A16365"/>
    <w:rsid w:val="00A24D39"/>
    <w:rsid w:val="00A26B8A"/>
    <w:rsid w:val="00A31469"/>
    <w:rsid w:val="00A37B0A"/>
    <w:rsid w:val="00A45078"/>
    <w:rsid w:val="00A60BD4"/>
    <w:rsid w:val="00A630C6"/>
    <w:rsid w:val="00A63EA6"/>
    <w:rsid w:val="00A662AE"/>
    <w:rsid w:val="00A70A50"/>
    <w:rsid w:val="00A740A2"/>
    <w:rsid w:val="00A846DF"/>
    <w:rsid w:val="00A90B0C"/>
    <w:rsid w:val="00A94255"/>
    <w:rsid w:val="00A949DF"/>
    <w:rsid w:val="00AB164A"/>
    <w:rsid w:val="00AC164D"/>
    <w:rsid w:val="00AC32D8"/>
    <w:rsid w:val="00AC3C73"/>
    <w:rsid w:val="00AC4762"/>
    <w:rsid w:val="00AC5097"/>
    <w:rsid w:val="00AD157D"/>
    <w:rsid w:val="00AD326A"/>
    <w:rsid w:val="00AD3F45"/>
    <w:rsid w:val="00AD5F1D"/>
    <w:rsid w:val="00AD6E71"/>
    <w:rsid w:val="00AE0E08"/>
    <w:rsid w:val="00AE1EFD"/>
    <w:rsid w:val="00AE27E7"/>
    <w:rsid w:val="00AE2BBA"/>
    <w:rsid w:val="00AE57B6"/>
    <w:rsid w:val="00AF11D1"/>
    <w:rsid w:val="00AF64AB"/>
    <w:rsid w:val="00AF67F9"/>
    <w:rsid w:val="00B021B4"/>
    <w:rsid w:val="00B035FF"/>
    <w:rsid w:val="00B1150B"/>
    <w:rsid w:val="00B22176"/>
    <w:rsid w:val="00B22792"/>
    <w:rsid w:val="00B277BE"/>
    <w:rsid w:val="00B315B5"/>
    <w:rsid w:val="00B323EE"/>
    <w:rsid w:val="00B461D1"/>
    <w:rsid w:val="00B5353D"/>
    <w:rsid w:val="00B5477A"/>
    <w:rsid w:val="00B6228D"/>
    <w:rsid w:val="00B710E9"/>
    <w:rsid w:val="00B7166E"/>
    <w:rsid w:val="00B81BDB"/>
    <w:rsid w:val="00B82CFF"/>
    <w:rsid w:val="00B94FE1"/>
    <w:rsid w:val="00BA1071"/>
    <w:rsid w:val="00BA3299"/>
    <w:rsid w:val="00BA7867"/>
    <w:rsid w:val="00BB35C9"/>
    <w:rsid w:val="00BB6044"/>
    <w:rsid w:val="00BB6B4F"/>
    <w:rsid w:val="00BC332F"/>
    <w:rsid w:val="00BC6255"/>
    <w:rsid w:val="00BD28B8"/>
    <w:rsid w:val="00BD4581"/>
    <w:rsid w:val="00BD74E1"/>
    <w:rsid w:val="00BE182E"/>
    <w:rsid w:val="00BE2034"/>
    <w:rsid w:val="00BE438F"/>
    <w:rsid w:val="00BE7E9D"/>
    <w:rsid w:val="00BF59B7"/>
    <w:rsid w:val="00C1524B"/>
    <w:rsid w:val="00C171E0"/>
    <w:rsid w:val="00C23D4F"/>
    <w:rsid w:val="00C258BB"/>
    <w:rsid w:val="00C26754"/>
    <w:rsid w:val="00C30F1A"/>
    <w:rsid w:val="00C33C90"/>
    <w:rsid w:val="00C417FC"/>
    <w:rsid w:val="00C421C8"/>
    <w:rsid w:val="00C511B0"/>
    <w:rsid w:val="00C5325F"/>
    <w:rsid w:val="00C54301"/>
    <w:rsid w:val="00C62F6D"/>
    <w:rsid w:val="00C66093"/>
    <w:rsid w:val="00C7232F"/>
    <w:rsid w:val="00C75953"/>
    <w:rsid w:val="00C83840"/>
    <w:rsid w:val="00C91E92"/>
    <w:rsid w:val="00CA0014"/>
    <w:rsid w:val="00CA1E96"/>
    <w:rsid w:val="00CA27EF"/>
    <w:rsid w:val="00CA3FCB"/>
    <w:rsid w:val="00CA5793"/>
    <w:rsid w:val="00CA5F64"/>
    <w:rsid w:val="00CB0A41"/>
    <w:rsid w:val="00CC6F01"/>
    <w:rsid w:val="00CD1D2D"/>
    <w:rsid w:val="00CD3E58"/>
    <w:rsid w:val="00CD3FD5"/>
    <w:rsid w:val="00CD4702"/>
    <w:rsid w:val="00CE5E66"/>
    <w:rsid w:val="00D005CA"/>
    <w:rsid w:val="00D0668B"/>
    <w:rsid w:val="00D076BA"/>
    <w:rsid w:val="00D07A69"/>
    <w:rsid w:val="00D13BC5"/>
    <w:rsid w:val="00D22708"/>
    <w:rsid w:val="00D22CFF"/>
    <w:rsid w:val="00D314E2"/>
    <w:rsid w:val="00D31B8B"/>
    <w:rsid w:val="00D31E45"/>
    <w:rsid w:val="00D4208F"/>
    <w:rsid w:val="00D54C0C"/>
    <w:rsid w:val="00D56D2E"/>
    <w:rsid w:val="00D56F06"/>
    <w:rsid w:val="00D607BE"/>
    <w:rsid w:val="00D62FD2"/>
    <w:rsid w:val="00D658B5"/>
    <w:rsid w:val="00D678F6"/>
    <w:rsid w:val="00D772C4"/>
    <w:rsid w:val="00D8250A"/>
    <w:rsid w:val="00D837CD"/>
    <w:rsid w:val="00D9025E"/>
    <w:rsid w:val="00D92104"/>
    <w:rsid w:val="00D95057"/>
    <w:rsid w:val="00D978A4"/>
    <w:rsid w:val="00DB2F8A"/>
    <w:rsid w:val="00DC156E"/>
    <w:rsid w:val="00DC7194"/>
    <w:rsid w:val="00DC71F1"/>
    <w:rsid w:val="00DD2769"/>
    <w:rsid w:val="00DD4325"/>
    <w:rsid w:val="00DD7535"/>
    <w:rsid w:val="00DE0198"/>
    <w:rsid w:val="00DE2E35"/>
    <w:rsid w:val="00DE6BAE"/>
    <w:rsid w:val="00DF6803"/>
    <w:rsid w:val="00E0138C"/>
    <w:rsid w:val="00E0300F"/>
    <w:rsid w:val="00E049B3"/>
    <w:rsid w:val="00E04E30"/>
    <w:rsid w:val="00E04ED4"/>
    <w:rsid w:val="00E0700B"/>
    <w:rsid w:val="00E1172B"/>
    <w:rsid w:val="00E139BF"/>
    <w:rsid w:val="00E24B21"/>
    <w:rsid w:val="00E265CA"/>
    <w:rsid w:val="00E347CA"/>
    <w:rsid w:val="00E453B7"/>
    <w:rsid w:val="00E45517"/>
    <w:rsid w:val="00E45B76"/>
    <w:rsid w:val="00E46E73"/>
    <w:rsid w:val="00E52FAE"/>
    <w:rsid w:val="00E63797"/>
    <w:rsid w:val="00E65A26"/>
    <w:rsid w:val="00E71B63"/>
    <w:rsid w:val="00E75266"/>
    <w:rsid w:val="00E806CA"/>
    <w:rsid w:val="00E83A03"/>
    <w:rsid w:val="00E85B38"/>
    <w:rsid w:val="00E86F3E"/>
    <w:rsid w:val="00E87ED6"/>
    <w:rsid w:val="00EA7EE1"/>
    <w:rsid w:val="00EB6637"/>
    <w:rsid w:val="00ED18B6"/>
    <w:rsid w:val="00ED55FA"/>
    <w:rsid w:val="00EE02BF"/>
    <w:rsid w:val="00EE3C65"/>
    <w:rsid w:val="00EE79A0"/>
    <w:rsid w:val="00EF4899"/>
    <w:rsid w:val="00EF6626"/>
    <w:rsid w:val="00EF77AE"/>
    <w:rsid w:val="00EF7A41"/>
    <w:rsid w:val="00F023F0"/>
    <w:rsid w:val="00F06ACC"/>
    <w:rsid w:val="00F13047"/>
    <w:rsid w:val="00F15B1A"/>
    <w:rsid w:val="00F4343F"/>
    <w:rsid w:val="00F45B57"/>
    <w:rsid w:val="00F45CE2"/>
    <w:rsid w:val="00F541F9"/>
    <w:rsid w:val="00F605B5"/>
    <w:rsid w:val="00F60BFD"/>
    <w:rsid w:val="00F7143A"/>
    <w:rsid w:val="00F767D8"/>
    <w:rsid w:val="00F77339"/>
    <w:rsid w:val="00FA4F41"/>
    <w:rsid w:val="00FA7096"/>
    <w:rsid w:val="00FB227A"/>
    <w:rsid w:val="00FB3875"/>
    <w:rsid w:val="00FB3B0A"/>
    <w:rsid w:val="00FC64D6"/>
    <w:rsid w:val="00FD30DD"/>
    <w:rsid w:val="00FD3A75"/>
    <w:rsid w:val="00FD4EEA"/>
    <w:rsid w:val="00FE06BD"/>
    <w:rsid w:val="00FF399F"/>
    <w:rsid w:val="00FF46A3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B010"/>
  <w15:docId w15:val="{DAE2EE63-4042-4EE3-9397-0C1252C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3">
    <w:name w:val="Верхній колонтитул Знак"/>
    <w:basedOn w:val="a0"/>
    <w:uiPriority w:val="99"/>
    <w:qFormat/>
  </w:style>
  <w:style w:type="character" w:customStyle="1" w:styleId="a4">
    <w:name w:val="Нижній колонтитул Знак"/>
    <w:basedOn w:val="a0"/>
    <w:qFormat/>
  </w:style>
  <w:style w:type="character" w:customStyle="1" w:styleId="rvts9">
    <w:name w:val="rvts9"/>
    <w:basedOn w:val="a0"/>
    <w:qFormat/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Текст примітки Знак"/>
    <w:basedOn w:val="a0"/>
    <w:qFormat/>
    <w:rPr>
      <w:sz w:val="20"/>
      <w:szCs w:val="20"/>
    </w:rPr>
  </w:style>
  <w:style w:type="character" w:customStyle="1" w:styleId="a7">
    <w:name w:val="Тема примітки Знак"/>
    <w:basedOn w:val="a6"/>
    <w:qFormat/>
    <w:rPr>
      <w:b/>
      <w:bCs/>
      <w:sz w:val="20"/>
      <w:szCs w:val="20"/>
    </w:rPr>
  </w:style>
  <w:style w:type="character" w:customStyle="1" w:styleId="a8">
    <w:name w:val="Текст у виносці Знак"/>
    <w:basedOn w:val="a0"/>
    <w:qFormat/>
    <w:rPr>
      <w:rFonts w:ascii="Segoe UI" w:hAnsi="Segoe UI" w:cs="Segoe UI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ascii="Times New Roman" w:hAnsi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/>
      <w:b/>
      <w:sz w:val="28"/>
    </w:rPr>
  </w:style>
  <w:style w:type="character" w:customStyle="1" w:styleId="ListLabel9">
    <w:name w:val="ListLabel 9"/>
    <w:qFormat/>
    <w:rPr>
      <w:rFonts w:cs="Times New Roman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b/>
      <w:i w:val="0"/>
      <w:sz w:val="24"/>
    </w:rPr>
  </w:style>
  <w:style w:type="character" w:customStyle="1" w:styleId="ListLabel19">
    <w:name w:val="ListLabel 19"/>
    <w:qFormat/>
    <w:rPr>
      <w:b/>
      <w:sz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Текст в заданном формате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HTML">
    <w:name w:val="HTML Preformatted"/>
    <w:basedOn w:val="a"/>
    <w:link w:val="HTML0"/>
    <w:uiPriority w:val="99"/>
    <w:semiHidden/>
    <w:unhideWhenUsed/>
    <w:rsid w:val="0094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47F3C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3">
    <w:name w:val="Нормальний текст"/>
    <w:basedOn w:val="a"/>
    <w:rsid w:val="00F15B1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rsid w:val="008A661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5E09-5A3A-42B3-82D4-9B0DFFA1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8658</Words>
  <Characters>4936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Демедюк Юрій Григорович</cp:lastModifiedBy>
  <cp:revision>42</cp:revision>
  <cp:lastPrinted>2020-04-07T06:09:00Z</cp:lastPrinted>
  <dcterms:created xsi:type="dcterms:W3CDTF">2019-05-30T17:12:00Z</dcterms:created>
  <dcterms:modified xsi:type="dcterms:W3CDTF">2020-04-07T06:10:00Z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