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FD" w:rsidRPr="0000332B" w:rsidRDefault="00B07355" w:rsidP="0000332B">
      <w:pPr>
        <w:spacing w:after="40" w:line="240" w:lineRule="auto"/>
        <w:jc w:val="center"/>
        <w:rPr>
          <w:rFonts w:ascii="Times New Roman" w:hAnsi="Times New Roman" w:cs="Times New Roman"/>
          <w:b/>
          <w:sz w:val="24"/>
          <w:szCs w:val="28"/>
        </w:rPr>
      </w:pPr>
      <w:r w:rsidRPr="0000332B">
        <w:rPr>
          <w:rFonts w:ascii="Times New Roman" w:hAnsi="Times New Roman" w:cs="Times New Roman"/>
          <w:b/>
          <w:sz w:val="24"/>
          <w:szCs w:val="28"/>
        </w:rPr>
        <w:t>ПОРІВНЯЛЬНА ТАБЛИЦЯ</w:t>
      </w:r>
    </w:p>
    <w:p w:rsidR="00C227E8" w:rsidRPr="00C227E8" w:rsidRDefault="00B07355" w:rsidP="00C227E8">
      <w:pPr>
        <w:spacing w:after="0" w:line="240" w:lineRule="auto"/>
        <w:jc w:val="center"/>
        <w:rPr>
          <w:rFonts w:ascii="Times New Roman" w:hAnsi="Times New Roman"/>
          <w:bCs/>
          <w:color w:val="000000"/>
          <w:sz w:val="28"/>
          <w:szCs w:val="28"/>
          <w:shd w:val="clear" w:color="auto" w:fill="FFFFFF"/>
        </w:rPr>
      </w:pPr>
      <w:r w:rsidRPr="00C227E8">
        <w:rPr>
          <w:rFonts w:ascii="Times New Roman" w:hAnsi="Times New Roman" w:cs="Times New Roman"/>
          <w:sz w:val="28"/>
          <w:szCs w:val="28"/>
        </w:rPr>
        <w:t xml:space="preserve">до </w:t>
      </w:r>
      <w:proofErr w:type="spellStart"/>
      <w:r w:rsidRPr="00C227E8">
        <w:rPr>
          <w:rFonts w:ascii="Times New Roman" w:hAnsi="Times New Roman" w:cs="Times New Roman"/>
          <w:sz w:val="28"/>
          <w:szCs w:val="28"/>
        </w:rPr>
        <w:t>проєкту</w:t>
      </w:r>
      <w:proofErr w:type="spellEnd"/>
      <w:r w:rsidRPr="00C227E8">
        <w:rPr>
          <w:rFonts w:ascii="Times New Roman" w:hAnsi="Times New Roman" w:cs="Times New Roman"/>
          <w:sz w:val="28"/>
          <w:szCs w:val="28"/>
        </w:rPr>
        <w:t xml:space="preserve"> постанови </w:t>
      </w:r>
      <w:r w:rsidR="00C227E8" w:rsidRPr="00C227E8">
        <w:rPr>
          <w:rFonts w:ascii="Times New Roman" w:hAnsi="Times New Roman"/>
          <w:sz w:val="28"/>
          <w:szCs w:val="28"/>
        </w:rPr>
        <w:t xml:space="preserve"> Ка</w:t>
      </w:r>
      <w:r w:rsidR="00C227E8" w:rsidRPr="00C227E8">
        <w:rPr>
          <w:rFonts w:ascii="Times New Roman" w:hAnsi="Times New Roman"/>
          <w:sz w:val="28"/>
          <w:szCs w:val="28"/>
          <w:lang w:val="ru-RU"/>
        </w:rPr>
        <w:t>б</w:t>
      </w:r>
      <w:proofErr w:type="spellStart"/>
      <w:r w:rsidR="00C227E8" w:rsidRPr="00C227E8">
        <w:rPr>
          <w:rFonts w:ascii="Times New Roman" w:hAnsi="Times New Roman"/>
          <w:sz w:val="28"/>
          <w:szCs w:val="28"/>
        </w:rPr>
        <w:t>інету</w:t>
      </w:r>
      <w:proofErr w:type="spellEnd"/>
      <w:r w:rsidR="00C227E8" w:rsidRPr="00C227E8">
        <w:rPr>
          <w:rFonts w:ascii="Times New Roman" w:hAnsi="Times New Roman"/>
          <w:sz w:val="28"/>
          <w:szCs w:val="28"/>
        </w:rPr>
        <w:t xml:space="preserve"> Міністрів України «</w:t>
      </w:r>
      <w:r w:rsidR="00C227E8" w:rsidRPr="00C227E8">
        <w:rPr>
          <w:rFonts w:ascii="Times New Roman" w:hAnsi="Times New Roman"/>
          <w:bCs/>
          <w:color w:val="000000"/>
          <w:sz w:val="28"/>
          <w:szCs w:val="28"/>
          <w:shd w:val="clear" w:color="auto" w:fill="FFFFFF"/>
        </w:rPr>
        <w:t xml:space="preserve">Про внесення змін до постанови Кабінету Міністрів України </w:t>
      </w:r>
    </w:p>
    <w:p w:rsidR="00C227E8" w:rsidRPr="00C227E8" w:rsidRDefault="00C227E8" w:rsidP="00C227E8">
      <w:pPr>
        <w:spacing w:after="0" w:line="240" w:lineRule="auto"/>
        <w:jc w:val="center"/>
        <w:rPr>
          <w:rFonts w:ascii="Times New Roman" w:hAnsi="Times New Roman"/>
          <w:sz w:val="28"/>
          <w:szCs w:val="28"/>
        </w:rPr>
      </w:pPr>
      <w:r w:rsidRPr="00C227E8">
        <w:rPr>
          <w:rFonts w:ascii="Times New Roman" w:hAnsi="Times New Roman"/>
          <w:color w:val="000000"/>
          <w:sz w:val="28"/>
          <w:szCs w:val="28"/>
        </w:rPr>
        <w:t>від 10 липня 2019 р. № 639»</w:t>
      </w:r>
    </w:p>
    <w:p w:rsidR="0034762A" w:rsidRDefault="0034762A" w:rsidP="0000332B">
      <w:pPr>
        <w:spacing w:after="40" w:line="240" w:lineRule="auto"/>
        <w:jc w:val="center"/>
        <w:rPr>
          <w:rFonts w:ascii="Times New Roman" w:hAnsi="Times New Roman" w:cs="Times New Roman"/>
          <w:b/>
          <w:sz w:val="24"/>
          <w:szCs w:val="28"/>
        </w:rPr>
      </w:pPr>
    </w:p>
    <w:p w:rsidR="0000332B" w:rsidRPr="0000332B" w:rsidRDefault="0000332B" w:rsidP="0000332B">
      <w:pPr>
        <w:spacing w:after="40" w:line="240" w:lineRule="auto"/>
        <w:jc w:val="center"/>
        <w:rPr>
          <w:rFonts w:ascii="Times New Roman" w:hAnsi="Times New Roman" w:cs="Times New Roman"/>
          <w:b/>
          <w:sz w:val="24"/>
          <w:szCs w:val="28"/>
        </w:rPr>
      </w:pPr>
    </w:p>
    <w:tbl>
      <w:tblPr>
        <w:tblStyle w:val="a3"/>
        <w:tblW w:w="0" w:type="auto"/>
        <w:tblLook w:val="04A0" w:firstRow="1" w:lastRow="0" w:firstColumn="1" w:lastColumn="0" w:noHBand="0" w:noVBand="1"/>
      </w:tblPr>
      <w:tblGrid>
        <w:gridCol w:w="7368"/>
        <w:gridCol w:w="7369"/>
      </w:tblGrid>
      <w:tr w:rsidR="00B07355" w:rsidRPr="0000332B" w:rsidTr="00B07355">
        <w:tc>
          <w:tcPr>
            <w:tcW w:w="7368" w:type="dxa"/>
          </w:tcPr>
          <w:p w:rsidR="00B07355" w:rsidRPr="0000332B" w:rsidRDefault="00B07355" w:rsidP="0000332B">
            <w:pPr>
              <w:spacing w:after="40"/>
              <w:jc w:val="center"/>
              <w:rPr>
                <w:rFonts w:ascii="Times New Roman" w:hAnsi="Times New Roman" w:cs="Times New Roman"/>
                <w:sz w:val="24"/>
                <w:szCs w:val="28"/>
              </w:rPr>
            </w:pPr>
            <w:r w:rsidRPr="0000332B">
              <w:rPr>
                <w:rFonts w:ascii="Times New Roman" w:hAnsi="Times New Roman" w:cs="Times New Roman"/>
                <w:sz w:val="24"/>
                <w:szCs w:val="28"/>
              </w:rPr>
              <w:t>Зміст положення (норми) чинного законодавства</w:t>
            </w:r>
          </w:p>
        </w:tc>
        <w:tc>
          <w:tcPr>
            <w:tcW w:w="7369" w:type="dxa"/>
          </w:tcPr>
          <w:p w:rsidR="00B07355" w:rsidRPr="0000332B" w:rsidRDefault="00B07355" w:rsidP="0000332B">
            <w:pPr>
              <w:spacing w:after="40"/>
              <w:jc w:val="center"/>
              <w:rPr>
                <w:rFonts w:ascii="Times New Roman" w:hAnsi="Times New Roman" w:cs="Times New Roman"/>
                <w:sz w:val="24"/>
                <w:szCs w:val="28"/>
              </w:rPr>
            </w:pPr>
            <w:r w:rsidRPr="0000332B">
              <w:rPr>
                <w:rFonts w:ascii="Times New Roman" w:hAnsi="Times New Roman" w:cs="Times New Roman"/>
                <w:sz w:val="24"/>
                <w:szCs w:val="28"/>
              </w:rPr>
              <w:t xml:space="preserve">Зміст відповідного положення (норми) </w:t>
            </w:r>
            <w:proofErr w:type="spellStart"/>
            <w:r w:rsidRPr="0000332B">
              <w:rPr>
                <w:rFonts w:ascii="Times New Roman" w:hAnsi="Times New Roman" w:cs="Times New Roman"/>
                <w:sz w:val="24"/>
                <w:szCs w:val="28"/>
              </w:rPr>
              <w:t>проєкту</w:t>
            </w:r>
            <w:proofErr w:type="spellEnd"/>
            <w:r w:rsidRPr="0000332B">
              <w:rPr>
                <w:rFonts w:ascii="Times New Roman" w:hAnsi="Times New Roman" w:cs="Times New Roman"/>
                <w:sz w:val="24"/>
                <w:szCs w:val="28"/>
              </w:rPr>
              <w:t xml:space="preserve"> постанови</w:t>
            </w:r>
          </w:p>
        </w:tc>
      </w:tr>
      <w:tr w:rsidR="00B07355" w:rsidRPr="0000332B" w:rsidTr="00B07355">
        <w:tc>
          <w:tcPr>
            <w:tcW w:w="7368" w:type="dxa"/>
          </w:tcPr>
          <w:p w:rsidR="00C227E8" w:rsidRPr="00C87649" w:rsidRDefault="00EE5DE2" w:rsidP="00C227E8">
            <w:pPr>
              <w:jc w:val="both"/>
              <w:rPr>
                <w:rFonts w:ascii="Times New Roman" w:hAnsi="Times New Roman" w:cs="Times New Roman"/>
                <w:b/>
                <w:sz w:val="24"/>
                <w:szCs w:val="24"/>
              </w:rPr>
            </w:pPr>
            <w:r>
              <w:rPr>
                <w:rFonts w:ascii="Times New Roman" w:hAnsi="Times New Roman" w:cs="Times New Roman"/>
                <w:sz w:val="24"/>
                <w:szCs w:val="24"/>
              </w:rPr>
              <w:t xml:space="preserve">      </w:t>
            </w:r>
            <w:r w:rsidR="00C227E8" w:rsidRPr="00C87649">
              <w:rPr>
                <w:rFonts w:ascii="Times New Roman" w:hAnsi="Times New Roman" w:cs="Times New Roman"/>
                <w:b/>
                <w:sz w:val="24"/>
                <w:szCs w:val="24"/>
              </w:rPr>
              <w:t xml:space="preserve">Постанова </w:t>
            </w:r>
            <w:r w:rsidR="00C227E8" w:rsidRPr="00C87649">
              <w:rPr>
                <w:rFonts w:ascii="Times New Roman" w:hAnsi="Times New Roman"/>
                <w:b/>
                <w:sz w:val="24"/>
                <w:szCs w:val="24"/>
              </w:rPr>
              <w:t xml:space="preserve"> Кабінету Міністрів України </w:t>
            </w:r>
            <w:r w:rsidRPr="00C87649">
              <w:rPr>
                <w:rFonts w:ascii="Times New Roman" w:hAnsi="Times New Roman"/>
                <w:b/>
                <w:sz w:val="24"/>
                <w:szCs w:val="24"/>
              </w:rPr>
              <w:t xml:space="preserve"> від 10.07.2019 № 639 </w:t>
            </w:r>
            <w:r w:rsidR="00C227E8" w:rsidRPr="00C87649">
              <w:rPr>
                <w:rFonts w:ascii="Times New Roman" w:hAnsi="Times New Roman"/>
                <w:b/>
                <w:sz w:val="24"/>
                <w:szCs w:val="24"/>
              </w:rPr>
              <w:t>«</w:t>
            </w:r>
            <w:r w:rsidR="00C227E8" w:rsidRPr="00C87649">
              <w:rPr>
                <w:rFonts w:ascii="Times New Roman" w:hAnsi="Times New Roman" w:cs="Times New Roman"/>
                <w:b/>
                <w:bCs/>
                <w:color w:val="000000"/>
                <w:sz w:val="24"/>
                <w:szCs w:val="24"/>
                <w:shd w:val="clear" w:color="auto" w:fill="FFFFFF"/>
              </w:rPr>
              <w:t>Про затвердження Порядку використання коштів, передбачених у державному бюджеті для підтримки пріоритетних напрямів наукових досліджень і науково-технічних (експериментальних) розробок у закладах вищої освіти</w:t>
            </w:r>
            <w:r w:rsidRPr="00C87649">
              <w:rPr>
                <w:rFonts w:ascii="Times New Roman" w:hAnsi="Times New Roman" w:cs="Times New Roman"/>
                <w:b/>
                <w:bCs/>
                <w:color w:val="000000"/>
                <w:sz w:val="24"/>
                <w:szCs w:val="24"/>
                <w:shd w:val="clear" w:color="auto" w:fill="FFFFFF"/>
              </w:rPr>
              <w:t>»</w:t>
            </w:r>
          </w:p>
          <w:p w:rsidR="00C227E8" w:rsidRPr="00C227E8" w:rsidRDefault="00C227E8" w:rsidP="00EE5DE2">
            <w:pPr>
              <w:spacing w:after="40"/>
              <w:jc w:val="center"/>
              <w:rPr>
                <w:rFonts w:ascii="Times New Roman" w:hAnsi="Times New Roman" w:cs="Times New Roman"/>
                <w:sz w:val="24"/>
                <w:szCs w:val="24"/>
              </w:rPr>
            </w:pPr>
            <w:r w:rsidRPr="00C227E8">
              <w:rPr>
                <w:rFonts w:ascii="Times New Roman" w:hAnsi="Times New Roman" w:cs="Times New Roman"/>
                <w:sz w:val="24"/>
                <w:szCs w:val="24"/>
              </w:rPr>
              <w:t>…</w:t>
            </w:r>
          </w:p>
          <w:p w:rsidR="00C227E8" w:rsidRPr="00EE5DE2" w:rsidRDefault="00C227E8" w:rsidP="0000332B">
            <w:pPr>
              <w:spacing w:after="40"/>
              <w:jc w:val="center"/>
              <w:rPr>
                <w:rFonts w:ascii="Times New Roman" w:hAnsi="Times New Roman" w:cs="Times New Roman"/>
                <w:sz w:val="24"/>
                <w:szCs w:val="24"/>
              </w:rPr>
            </w:pPr>
            <w:r w:rsidRPr="00EE5DE2">
              <w:rPr>
                <w:rFonts w:ascii="Times New Roman" w:hAnsi="Times New Roman" w:cs="Times New Roman"/>
                <w:color w:val="000000"/>
                <w:sz w:val="24"/>
                <w:szCs w:val="24"/>
                <w:shd w:val="clear" w:color="auto" w:fill="FFFFFF"/>
              </w:rPr>
              <w:t>2. Установити, що у 2019 році кошти, передбачені у державному бюджеті для підтримки пріоритетних напрямів наукових досліджень і науково-технічних (експериментальних) розробок у закладах вищої освіти, спрямовуються починаючи з 1 вересня за науковими напрямами закладів вищої освіти, які за результатами державної атестації віднесені до кваліфікаційної групи А, в межах обсягу видатків, затвердженого </w:t>
            </w:r>
            <w:hyperlink r:id="rId4" w:tgtFrame="_blank" w:history="1">
              <w:r w:rsidRPr="00C87649">
                <w:rPr>
                  <w:rStyle w:val="a4"/>
                  <w:rFonts w:ascii="Times New Roman" w:hAnsi="Times New Roman" w:cs="Times New Roman"/>
                  <w:color w:val="000000" w:themeColor="text1"/>
                  <w:sz w:val="24"/>
                  <w:szCs w:val="24"/>
                  <w:u w:val="none"/>
                  <w:shd w:val="clear" w:color="auto" w:fill="FFFFFF"/>
                </w:rPr>
                <w:t>Законом України</w:t>
              </w:r>
            </w:hyperlink>
            <w:r w:rsidR="00C87649" w:rsidRPr="00C87649">
              <w:rPr>
                <w:rFonts w:ascii="Times New Roman" w:hAnsi="Times New Roman" w:cs="Times New Roman"/>
                <w:color w:val="000000" w:themeColor="text1"/>
                <w:sz w:val="24"/>
                <w:szCs w:val="24"/>
                <w:shd w:val="clear" w:color="auto" w:fill="FFFFFF"/>
              </w:rPr>
              <w:t> </w:t>
            </w:r>
            <w:r w:rsidR="00C87649">
              <w:rPr>
                <w:rFonts w:ascii="Times New Roman" w:hAnsi="Times New Roman" w:cs="Times New Roman"/>
                <w:color w:val="000000"/>
                <w:sz w:val="24"/>
                <w:szCs w:val="24"/>
                <w:shd w:val="clear" w:color="auto" w:fill="FFFFFF"/>
              </w:rPr>
              <w:t>«</w:t>
            </w:r>
            <w:r w:rsidRPr="00EE5DE2">
              <w:rPr>
                <w:rFonts w:ascii="Times New Roman" w:hAnsi="Times New Roman" w:cs="Times New Roman"/>
                <w:color w:val="000000"/>
                <w:sz w:val="24"/>
                <w:szCs w:val="24"/>
                <w:shd w:val="clear" w:color="auto" w:fill="FFFFFF"/>
              </w:rPr>
              <w:t>Про Державний бюджет Укр</w:t>
            </w:r>
            <w:r w:rsidR="00C87649">
              <w:rPr>
                <w:rFonts w:ascii="Times New Roman" w:hAnsi="Times New Roman" w:cs="Times New Roman"/>
                <w:color w:val="000000"/>
                <w:sz w:val="24"/>
                <w:szCs w:val="24"/>
                <w:shd w:val="clear" w:color="auto" w:fill="FFFFFF"/>
              </w:rPr>
              <w:t>аїни на 2019 рік»</w:t>
            </w:r>
            <w:r w:rsidRPr="00EE5DE2">
              <w:rPr>
                <w:rFonts w:ascii="Times New Roman" w:hAnsi="Times New Roman" w:cs="Times New Roman"/>
                <w:color w:val="000000"/>
                <w:sz w:val="24"/>
                <w:szCs w:val="24"/>
                <w:shd w:val="clear" w:color="auto" w:fill="FFFFFF"/>
              </w:rPr>
              <w:t>.</w:t>
            </w:r>
          </w:p>
          <w:p w:rsidR="00C227E8" w:rsidRPr="00EE5DE2" w:rsidRDefault="00C227E8" w:rsidP="0000332B">
            <w:pPr>
              <w:spacing w:after="40"/>
              <w:jc w:val="center"/>
              <w:rPr>
                <w:rFonts w:ascii="Times New Roman" w:hAnsi="Times New Roman" w:cs="Times New Roman"/>
                <w:sz w:val="24"/>
                <w:szCs w:val="24"/>
              </w:rPr>
            </w:pPr>
          </w:p>
          <w:p w:rsidR="00C87649" w:rsidRDefault="00C87649" w:rsidP="0000332B">
            <w:pPr>
              <w:pStyle w:val="rvps2"/>
              <w:shd w:val="clear" w:color="auto" w:fill="FFFFFF"/>
              <w:spacing w:before="0" w:beforeAutospacing="0" w:after="40" w:afterAutospacing="0"/>
              <w:ind w:firstLine="450"/>
              <w:jc w:val="both"/>
              <w:rPr>
                <w:b/>
                <w:bCs/>
                <w:color w:val="000000"/>
                <w:shd w:val="clear" w:color="auto" w:fill="FFFFFF"/>
              </w:rPr>
            </w:pPr>
            <w:r w:rsidRPr="00C87649">
              <w:rPr>
                <w:b/>
                <w:bCs/>
                <w:color w:val="000000"/>
                <w:shd w:val="clear" w:color="auto" w:fill="FFFFFF"/>
              </w:rPr>
              <w:t>Порядок використання коштів, передбачених у державному бюджеті для підтримки пріоритетних напрямів наукових досліджень і науково-технічних (експериментальних) розробок у закладах вищої освіти.</w:t>
            </w:r>
          </w:p>
          <w:p w:rsidR="00C87649" w:rsidRPr="009319A1" w:rsidRDefault="00C87649" w:rsidP="00C87649">
            <w:pPr>
              <w:pStyle w:val="rvps2"/>
              <w:shd w:val="clear" w:color="auto" w:fill="FFFFFF"/>
              <w:spacing w:before="0" w:beforeAutospacing="0" w:after="40" w:afterAutospacing="0"/>
              <w:ind w:firstLine="450"/>
              <w:jc w:val="center"/>
              <w:rPr>
                <w:bCs/>
                <w:color w:val="000000"/>
                <w:shd w:val="clear" w:color="auto" w:fill="FFFFFF"/>
              </w:rPr>
            </w:pPr>
            <w:r w:rsidRPr="009319A1">
              <w:rPr>
                <w:bCs/>
                <w:color w:val="000000"/>
                <w:shd w:val="clear" w:color="auto" w:fill="FFFFFF"/>
              </w:rPr>
              <w:t>…</w:t>
            </w:r>
          </w:p>
          <w:p w:rsidR="009319A1" w:rsidRDefault="00C87649" w:rsidP="0000332B">
            <w:pPr>
              <w:pStyle w:val="rvps2"/>
              <w:shd w:val="clear" w:color="auto" w:fill="FFFFFF"/>
              <w:spacing w:before="0" w:beforeAutospacing="0" w:after="40" w:afterAutospacing="0"/>
              <w:ind w:firstLine="450"/>
              <w:jc w:val="both"/>
              <w:rPr>
                <w:bCs/>
                <w:color w:val="000000"/>
                <w:shd w:val="clear" w:color="auto" w:fill="FFFFFF"/>
              </w:rPr>
            </w:pPr>
            <w:r w:rsidRPr="009319A1">
              <w:rPr>
                <w:bCs/>
                <w:color w:val="000000"/>
                <w:shd w:val="clear" w:color="auto" w:fill="FFFFFF"/>
              </w:rPr>
              <w:t xml:space="preserve">7.                                            </w:t>
            </w:r>
          </w:p>
          <w:p w:rsidR="00C87649" w:rsidRPr="009319A1" w:rsidRDefault="009319A1" w:rsidP="0000332B">
            <w:pPr>
              <w:pStyle w:val="rvps2"/>
              <w:shd w:val="clear" w:color="auto" w:fill="FFFFFF"/>
              <w:spacing w:before="0" w:beforeAutospacing="0" w:after="40" w:afterAutospacing="0"/>
              <w:ind w:firstLine="450"/>
              <w:jc w:val="both"/>
              <w:rPr>
                <w:bCs/>
                <w:color w:val="000000"/>
                <w:shd w:val="clear" w:color="auto" w:fill="FFFFFF"/>
              </w:rPr>
            </w:pPr>
            <w:r>
              <w:rPr>
                <w:bCs/>
                <w:color w:val="000000"/>
                <w:shd w:val="clear" w:color="auto" w:fill="FFFFFF"/>
              </w:rPr>
              <w:t xml:space="preserve">                                              </w:t>
            </w:r>
            <w:r w:rsidR="00C87649" w:rsidRPr="009319A1">
              <w:rPr>
                <w:bCs/>
                <w:color w:val="000000"/>
                <w:shd w:val="clear" w:color="auto" w:fill="FFFFFF"/>
              </w:rPr>
              <w:t xml:space="preserve">       …</w:t>
            </w:r>
          </w:p>
          <w:p w:rsidR="00C87649" w:rsidRPr="00C87649" w:rsidRDefault="00C87649" w:rsidP="0000332B">
            <w:pPr>
              <w:pStyle w:val="rvps2"/>
              <w:shd w:val="clear" w:color="auto" w:fill="FFFFFF"/>
              <w:spacing w:before="0" w:beforeAutospacing="0" w:after="40" w:afterAutospacing="0"/>
              <w:ind w:firstLine="450"/>
              <w:jc w:val="both"/>
              <w:rPr>
                <w:b/>
                <w:bCs/>
                <w:color w:val="000000"/>
                <w:shd w:val="clear" w:color="auto" w:fill="FFFFFF"/>
              </w:rPr>
            </w:pPr>
            <w:r w:rsidRPr="009319A1">
              <w:rPr>
                <w:noProof/>
                <w:color w:val="0275D8"/>
                <w:shd w:val="clear" w:color="auto" w:fill="FFFFFF"/>
              </w:rPr>
              <w:drawing>
                <wp:inline distT="0" distB="0" distL="0" distR="0">
                  <wp:extent cx="175260" cy="236220"/>
                  <wp:effectExtent l="0" t="0" r="0" b="0"/>
                  <wp:docPr id="1" name="Рисунок 1" descr="https://zakon.rada.gov.ua/laws/file/imgs/73/p486402n19-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3/p486402n19-2.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9319A1">
              <w:rPr>
                <w:color w:val="000000"/>
                <w:shd w:val="clear" w:color="auto" w:fill="FFFFFF"/>
              </w:rPr>
              <w:t> - середньорічний обсяг коштів</w:t>
            </w:r>
            <w:r>
              <w:rPr>
                <w:color w:val="000000"/>
                <w:shd w:val="clear" w:color="auto" w:fill="FFFFFF"/>
              </w:rPr>
              <w:t xml:space="preserve"> (кошти загального та спеціального фонду державного бюджету, отримані на виконання науково-дослідних робіт закладів вищої освіти за науковим напрямом за останні п’ять років);</w:t>
            </w:r>
          </w:p>
          <w:p w:rsidR="00C87649" w:rsidRDefault="00C87649" w:rsidP="0000332B">
            <w:pPr>
              <w:pStyle w:val="rvps2"/>
              <w:shd w:val="clear" w:color="auto" w:fill="FFFFFF"/>
              <w:spacing w:before="0" w:beforeAutospacing="0" w:after="40" w:afterAutospacing="0"/>
              <w:ind w:firstLine="450"/>
              <w:jc w:val="both"/>
              <w:rPr>
                <w:bCs/>
                <w:color w:val="000000"/>
                <w:shd w:val="clear" w:color="auto" w:fill="FFFFFF"/>
              </w:rPr>
            </w:pPr>
          </w:p>
          <w:p w:rsidR="00C87649" w:rsidRDefault="00C87649" w:rsidP="0000332B">
            <w:pPr>
              <w:pStyle w:val="rvps2"/>
              <w:shd w:val="clear" w:color="auto" w:fill="FFFFFF"/>
              <w:spacing w:before="0" w:beforeAutospacing="0" w:after="40" w:afterAutospacing="0"/>
              <w:ind w:firstLine="450"/>
              <w:jc w:val="both"/>
              <w:rPr>
                <w:bCs/>
                <w:color w:val="000000"/>
                <w:shd w:val="clear" w:color="auto" w:fill="FFFFFF"/>
              </w:rPr>
            </w:pPr>
          </w:p>
          <w:p w:rsidR="00C87649" w:rsidRDefault="00C87649" w:rsidP="0000332B">
            <w:pPr>
              <w:pStyle w:val="rvps2"/>
              <w:shd w:val="clear" w:color="auto" w:fill="FFFFFF"/>
              <w:spacing w:before="0" w:beforeAutospacing="0" w:after="40" w:afterAutospacing="0"/>
              <w:ind w:firstLine="450"/>
              <w:jc w:val="both"/>
              <w:rPr>
                <w:bCs/>
                <w:color w:val="000000"/>
                <w:shd w:val="clear" w:color="auto" w:fill="FFFFFF"/>
              </w:rPr>
            </w:pPr>
          </w:p>
          <w:p w:rsidR="003C47E0" w:rsidRDefault="003C47E0" w:rsidP="003C47E0">
            <w:pPr>
              <w:pStyle w:val="rvps2"/>
              <w:shd w:val="clear" w:color="auto" w:fill="FFFFFF"/>
              <w:spacing w:before="0" w:beforeAutospacing="0" w:after="40" w:afterAutospacing="0"/>
              <w:ind w:firstLine="450"/>
              <w:jc w:val="center"/>
              <w:rPr>
                <w:bCs/>
                <w:color w:val="000000"/>
                <w:shd w:val="clear" w:color="auto" w:fill="FFFFFF"/>
              </w:rPr>
            </w:pPr>
            <w:r>
              <w:rPr>
                <w:bCs/>
                <w:color w:val="000000"/>
                <w:shd w:val="clear" w:color="auto" w:fill="FFFFFF"/>
              </w:rPr>
              <w:t>…</w:t>
            </w:r>
          </w:p>
          <w:p w:rsidR="003C47E0" w:rsidRDefault="003C47E0" w:rsidP="003C47E0">
            <w:pPr>
              <w:pStyle w:val="rvps2"/>
              <w:shd w:val="clear" w:color="auto" w:fill="FFFFFF"/>
              <w:spacing w:before="0" w:beforeAutospacing="0" w:after="150" w:afterAutospacing="0"/>
              <w:ind w:firstLine="450"/>
              <w:jc w:val="both"/>
              <w:rPr>
                <w:color w:val="000000"/>
              </w:rPr>
            </w:pPr>
            <w:r>
              <w:rPr>
                <w:noProof/>
                <w:color w:val="0275D8"/>
              </w:rPr>
              <w:lastRenderedPageBreak/>
              <w:drawing>
                <wp:inline distT="0" distB="0" distL="0" distR="0">
                  <wp:extent cx="350520" cy="335280"/>
                  <wp:effectExtent l="0" t="0" r="0" b="7620"/>
                  <wp:docPr id="5" name="Рисунок 5" descr="https://zakon.rada.gov.ua/laws/file/imgs/73/p486402n19-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73/p486402n19-3.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color w:val="000000"/>
              </w:rPr>
              <w:t> - сума середньорічних обсягів коштів всіх закладів вищої освіти, що віднесені до кваліфікаційної групи А;</w:t>
            </w:r>
          </w:p>
          <w:p w:rsidR="003C47E0" w:rsidRDefault="003C47E0" w:rsidP="003C47E0">
            <w:pPr>
              <w:pStyle w:val="rvps2"/>
              <w:shd w:val="clear" w:color="auto" w:fill="FFFFFF"/>
              <w:spacing w:before="0" w:beforeAutospacing="0" w:after="150" w:afterAutospacing="0"/>
              <w:ind w:firstLine="450"/>
              <w:jc w:val="both"/>
              <w:rPr>
                <w:color w:val="000000"/>
              </w:rPr>
            </w:pPr>
            <w:r>
              <w:rPr>
                <w:noProof/>
                <w:color w:val="0275D8"/>
              </w:rPr>
              <w:drawing>
                <wp:inline distT="0" distB="0" distL="0" distR="0">
                  <wp:extent cx="342900" cy="335280"/>
                  <wp:effectExtent l="0" t="0" r="0" b="7620"/>
                  <wp:docPr id="4" name="Рисунок 4" descr="https://zakon.rada.gov.ua/laws/file/imgs/73/p486402n19-4.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73/p486402n19-4.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Pr>
                <w:color w:val="000000"/>
              </w:rPr>
              <w:t> - сума середньорічних обсягів коштів усіх закладів вищої освіти, що віднесені до кваліфікаційної групи Б.</w:t>
            </w:r>
          </w:p>
          <w:p w:rsidR="005C3779" w:rsidRDefault="005C3779" w:rsidP="003C47E0">
            <w:pPr>
              <w:pStyle w:val="rvps2"/>
              <w:shd w:val="clear" w:color="auto" w:fill="FFFFFF"/>
              <w:spacing w:before="0" w:beforeAutospacing="0" w:after="150" w:afterAutospacing="0"/>
              <w:ind w:firstLine="450"/>
              <w:jc w:val="both"/>
              <w:rPr>
                <w:color w:val="000000"/>
              </w:rPr>
            </w:pPr>
          </w:p>
          <w:p w:rsidR="005C3779" w:rsidRDefault="005C3779" w:rsidP="005C3779">
            <w:pPr>
              <w:pStyle w:val="rvps2"/>
              <w:shd w:val="clear" w:color="auto" w:fill="FFFFFF"/>
              <w:spacing w:before="0" w:beforeAutospacing="0" w:after="150" w:afterAutospacing="0"/>
              <w:ind w:firstLine="450"/>
              <w:jc w:val="center"/>
              <w:rPr>
                <w:color w:val="000000"/>
              </w:rPr>
            </w:pPr>
            <w:r>
              <w:rPr>
                <w:color w:val="000000"/>
              </w:rPr>
              <w:t>…</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9. Бюджетні кошти спрямовуються на:</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1) проведення досліджень і розробок у межах наукових напрямів закладів вищої освіти;</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2) розвиток інфраструктури, оновлення та модернізацію матеріально-технічної бази наукової і науково-технічної діяльності.</w:t>
            </w:r>
          </w:p>
          <w:p w:rsidR="005C3779" w:rsidRDefault="005C3779" w:rsidP="003C47E0">
            <w:pPr>
              <w:pStyle w:val="rvps2"/>
              <w:shd w:val="clear" w:color="auto" w:fill="FFFFFF"/>
              <w:spacing w:before="0" w:beforeAutospacing="0" w:after="150" w:afterAutospacing="0"/>
              <w:ind w:firstLine="450"/>
              <w:jc w:val="both"/>
              <w:rPr>
                <w:color w:val="000000"/>
              </w:rPr>
            </w:pPr>
          </w:p>
          <w:p w:rsidR="00B07355" w:rsidRDefault="00B07355" w:rsidP="003C47E0">
            <w:pPr>
              <w:pStyle w:val="rvps2"/>
              <w:shd w:val="clear" w:color="auto" w:fill="FFFFFF"/>
              <w:spacing w:before="0" w:beforeAutospacing="0" w:after="40" w:afterAutospacing="0"/>
              <w:ind w:firstLine="450"/>
              <w:jc w:val="both"/>
              <w:rPr>
                <w:szCs w:val="28"/>
              </w:rPr>
            </w:pPr>
          </w:p>
          <w:p w:rsidR="005C3779" w:rsidRDefault="005C3779" w:rsidP="005C3779">
            <w:pPr>
              <w:pStyle w:val="rvps2"/>
              <w:shd w:val="clear" w:color="auto" w:fill="FFFFFF"/>
              <w:spacing w:before="0" w:beforeAutospacing="0" w:after="40" w:afterAutospacing="0"/>
              <w:ind w:firstLine="450"/>
              <w:jc w:val="center"/>
              <w:rPr>
                <w:szCs w:val="28"/>
              </w:rPr>
            </w:pPr>
          </w:p>
          <w:p w:rsidR="005C3779" w:rsidRDefault="005C3779" w:rsidP="005C3779">
            <w:pPr>
              <w:pStyle w:val="rvps2"/>
              <w:shd w:val="clear" w:color="auto" w:fill="FFFFFF"/>
              <w:spacing w:before="0" w:beforeAutospacing="0" w:after="40" w:afterAutospacing="0"/>
              <w:ind w:firstLine="450"/>
              <w:jc w:val="center"/>
              <w:rPr>
                <w:szCs w:val="28"/>
              </w:rPr>
            </w:pPr>
            <w:r>
              <w:rPr>
                <w:szCs w:val="28"/>
              </w:rPr>
              <w:t>…</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14. Розпорядники бюджетних коштів нижчого рівня щороку до 15 числа місяця, що настає за звітним, подають головному розпоряднику бюджетних коштів звіт про використання бюджетних коштів, виконання умов договору та досягнення результативних показників перспективного плану розвитку наукового напряму на п’ятирічний період.</w:t>
            </w:r>
          </w:p>
          <w:p w:rsidR="005C3779" w:rsidRDefault="005C3779" w:rsidP="005C3779">
            <w:pPr>
              <w:pStyle w:val="rvps2"/>
              <w:shd w:val="clear" w:color="auto" w:fill="FFFFFF"/>
              <w:spacing w:before="0" w:beforeAutospacing="0" w:after="150" w:afterAutospacing="0"/>
              <w:ind w:firstLine="450"/>
              <w:jc w:val="both"/>
              <w:rPr>
                <w:color w:val="000000"/>
              </w:rPr>
            </w:pPr>
            <w:bookmarkStart w:id="0" w:name="n31"/>
            <w:bookmarkEnd w:id="0"/>
            <w:r>
              <w:rPr>
                <w:color w:val="000000"/>
              </w:rPr>
              <w:t>За результатами поданої звітності МОН приймає рішення щодо продовження фінансування, коригування його обсягів або припинення фінансування розпорядника бюджетних коштів.</w:t>
            </w:r>
          </w:p>
          <w:p w:rsidR="005C3779" w:rsidRPr="0000332B" w:rsidRDefault="005C3779" w:rsidP="003C47E0">
            <w:pPr>
              <w:pStyle w:val="rvps2"/>
              <w:shd w:val="clear" w:color="auto" w:fill="FFFFFF"/>
              <w:spacing w:before="0" w:beforeAutospacing="0" w:after="40" w:afterAutospacing="0"/>
              <w:ind w:firstLine="450"/>
              <w:jc w:val="both"/>
              <w:rPr>
                <w:szCs w:val="28"/>
              </w:rPr>
            </w:pPr>
          </w:p>
        </w:tc>
        <w:tc>
          <w:tcPr>
            <w:tcW w:w="7369" w:type="dxa"/>
          </w:tcPr>
          <w:p w:rsidR="00EE5DE2" w:rsidRDefault="00EE5DE2" w:rsidP="0000332B">
            <w:pPr>
              <w:pStyle w:val="rvps2"/>
              <w:shd w:val="clear" w:color="auto" w:fill="FFFFFF"/>
              <w:spacing w:before="0" w:beforeAutospacing="0" w:after="40" w:afterAutospacing="0"/>
              <w:ind w:firstLine="450"/>
              <w:jc w:val="both"/>
              <w:rPr>
                <w:color w:val="000000"/>
                <w:szCs w:val="28"/>
              </w:rPr>
            </w:pPr>
          </w:p>
          <w:p w:rsidR="009319A1" w:rsidRDefault="009319A1" w:rsidP="0000332B">
            <w:pPr>
              <w:pStyle w:val="rvps2"/>
              <w:shd w:val="clear" w:color="auto" w:fill="FFFFFF"/>
              <w:spacing w:before="0" w:beforeAutospacing="0" w:after="40" w:afterAutospacing="0"/>
              <w:ind w:firstLine="450"/>
              <w:jc w:val="both"/>
              <w:rPr>
                <w:color w:val="000000"/>
                <w:szCs w:val="28"/>
              </w:rPr>
            </w:pPr>
          </w:p>
          <w:p w:rsidR="00EE5DE2" w:rsidRDefault="00EE5DE2" w:rsidP="0000332B">
            <w:pPr>
              <w:pStyle w:val="rvps2"/>
              <w:shd w:val="clear" w:color="auto" w:fill="FFFFFF"/>
              <w:spacing w:before="0" w:beforeAutospacing="0" w:after="40" w:afterAutospacing="0"/>
              <w:ind w:firstLine="450"/>
              <w:jc w:val="both"/>
              <w:rPr>
                <w:color w:val="000000"/>
                <w:szCs w:val="28"/>
              </w:rPr>
            </w:pPr>
          </w:p>
          <w:p w:rsidR="00EE5DE2" w:rsidRDefault="00EE5DE2" w:rsidP="0000332B">
            <w:pPr>
              <w:pStyle w:val="rvps2"/>
              <w:shd w:val="clear" w:color="auto" w:fill="FFFFFF"/>
              <w:spacing w:before="0" w:beforeAutospacing="0" w:after="40" w:afterAutospacing="0"/>
              <w:ind w:firstLine="450"/>
              <w:jc w:val="both"/>
              <w:rPr>
                <w:color w:val="000000"/>
                <w:szCs w:val="28"/>
              </w:rPr>
            </w:pPr>
          </w:p>
          <w:p w:rsidR="00C87649" w:rsidRDefault="009319A1" w:rsidP="009319A1">
            <w:pPr>
              <w:pStyle w:val="rvps2"/>
              <w:shd w:val="clear" w:color="auto" w:fill="FFFFFF"/>
              <w:spacing w:before="0" w:beforeAutospacing="0" w:after="40" w:afterAutospacing="0"/>
              <w:ind w:firstLine="450"/>
              <w:jc w:val="center"/>
              <w:rPr>
                <w:color w:val="000000"/>
                <w:szCs w:val="28"/>
              </w:rPr>
            </w:pPr>
            <w:r>
              <w:rPr>
                <w:color w:val="000000"/>
                <w:szCs w:val="28"/>
              </w:rPr>
              <w:t>…</w:t>
            </w:r>
          </w:p>
          <w:p w:rsidR="0000332B" w:rsidRPr="00EE5DE2" w:rsidRDefault="00EE5DE2" w:rsidP="0000332B">
            <w:pPr>
              <w:pStyle w:val="rvps2"/>
              <w:shd w:val="clear" w:color="auto" w:fill="FFFFFF"/>
              <w:spacing w:before="0" w:beforeAutospacing="0" w:after="40" w:afterAutospacing="0"/>
              <w:ind w:firstLine="450"/>
              <w:jc w:val="both"/>
              <w:rPr>
                <w:color w:val="000000"/>
              </w:rPr>
            </w:pPr>
            <w:r w:rsidRPr="00EE5DE2">
              <w:rPr>
                <w:color w:val="000000"/>
              </w:rPr>
              <w:t xml:space="preserve"> </w:t>
            </w:r>
            <w:r w:rsidRPr="00EE5DE2">
              <w:rPr>
                <w:color w:val="000000"/>
                <w:shd w:val="clear" w:color="auto" w:fill="FFFFFF"/>
              </w:rPr>
              <w:t>2. Установити, що у 2020 році кошти, передбачені у державному бюджеті для підтримки пріоритетних напрямів наукових досліджень і науково-технічних (експериментальних) розробок у закладах вищої освіти, спрямовуються за науковими напрямами закладів вищої освіти, які за результатами державної атестації віднесені до кваліфікаційної групи А, в межах обсягу видатків, затвердженого </w:t>
            </w:r>
            <w:hyperlink r:id="rId11" w:tgtFrame="_blank" w:history="1">
              <w:r w:rsidRPr="00C87649">
                <w:rPr>
                  <w:rStyle w:val="a4"/>
                  <w:color w:val="000000" w:themeColor="text1"/>
                  <w:u w:val="none"/>
                  <w:shd w:val="clear" w:color="auto" w:fill="FFFFFF"/>
                </w:rPr>
                <w:t>Законом України</w:t>
              </w:r>
            </w:hyperlink>
            <w:r w:rsidRPr="00C87649">
              <w:rPr>
                <w:color w:val="000000" w:themeColor="text1"/>
                <w:shd w:val="clear" w:color="auto" w:fill="FFFFFF"/>
              </w:rPr>
              <w:t> </w:t>
            </w:r>
            <w:r w:rsidRPr="00EE5DE2">
              <w:rPr>
                <w:color w:val="000000" w:themeColor="text1"/>
                <w:shd w:val="clear" w:color="auto" w:fill="FFFFFF"/>
              </w:rPr>
              <w:t>«Про Державний бюджет України на 2020 рік».</w:t>
            </w: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C87649" w:rsidRDefault="00C87649" w:rsidP="0000332B">
            <w:pPr>
              <w:spacing w:after="40"/>
              <w:jc w:val="center"/>
              <w:rPr>
                <w:rFonts w:ascii="Times New Roman" w:hAnsi="Times New Roman" w:cs="Times New Roman"/>
                <w:sz w:val="24"/>
                <w:szCs w:val="28"/>
              </w:rPr>
            </w:pPr>
          </w:p>
          <w:p w:rsidR="009319A1" w:rsidRPr="009319A1" w:rsidRDefault="009319A1" w:rsidP="009319A1">
            <w:pPr>
              <w:pStyle w:val="rvps2"/>
              <w:shd w:val="clear" w:color="auto" w:fill="FFFFFF"/>
              <w:spacing w:before="0" w:beforeAutospacing="0" w:after="40" w:afterAutospacing="0"/>
              <w:ind w:firstLine="450"/>
              <w:jc w:val="both"/>
              <w:rPr>
                <w:bCs/>
                <w:color w:val="000000"/>
                <w:shd w:val="clear" w:color="auto" w:fill="FFFFFF"/>
              </w:rPr>
            </w:pPr>
            <w:r>
              <w:rPr>
                <w:bCs/>
                <w:color w:val="000000"/>
                <w:shd w:val="clear" w:color="auto" w:fill="FFFFFF"/>
              </w:rPr>
              <w:t xml:space="preserve">                                              </w:t>
            </w:r>
            <w:r w:rsidRPr="009319A1">
              <w:rPr>
                <w:bCs/>
                <w:color w:val="000000"/>
                <w:shd w:val="clear" w:color="auto" w:fill="FFFFFF"/>
              </w:rPr>
              <w:t xml:space="preserve">       …</w:t>
            </w:r>
          </w:p>
          <w:p w:rsidR="00C87649" w:rsidRDefault="00C87649" w:rsidP="009319A1">
            <w:pPr>
              <w:tabs>
                <w:tab w:val="left" w:pos="816"/>
              </w:tabs>
              <w:spacing w:after="40"/>
              <w:jc w:val="both"/>
              <w:rPr>
                <w:rFonts w:ascii="Times New Roman" w:hAnsi="Times New Roman" w:cs="Times New Roman"/>
                <w:sz w:val="24"/>
                <w:szCs w:val="28"/>
              </w:rPr>
            </w:pPr>
            <w:r>
              <w:rPr>
                <w:noProof/>
                <w:color w:val="0275D8"/>
                <w:shd w:val="clear" w:color="auto" w:fill="FFFFFF"/>
                <w:lang w:eastAsia="uk-UA"/>
              </w:rPr>
              <w:drawing>
                <wp:inline distT="0" distB="0" distL="0" distR="0" wp14:anchorId="7CD79246" wp14:editId="75138EE6">
                  <wp:extent cx="175260" cy="236220"/>
                  <wp:effectExtent l="0" t="0" r="0" b="0"/>
                  <wp:docPr id="2" name="Рисунок 2" descr="https://zakon.rada.gov.ua/laws/file/imgs/73/p486402n19-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3/p486402n19-2.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Pr>
                <w:color w:val="000000"/>
                <w:shd w:val="clear" w:color="auto" w:fill="FFFFFF"/>
              </w:rPr>
              <w:t> </w:t>
            </w:r>
            <w:r w:rsidRPr="00C87649">
              <w:rPr>
                <w:rFonts w:ascii="Times New Roman" w:hAnsi="Times New Roman" w:cs="Times New Roman"/>
                <w:color w:val="000000"/>
                <w:sz w:val="24"/>
                <w:szCs w:val="24"/>
                <w:shd w:val="clear" w:color="auto" w:fill="FFFFFF"/>
              </w:rPr>
              <w:t>- середньорічний обсяг коштів (кошти загального та спеціального фонду державного бюджету, отримані на виконання науково-дослідних робіт закладів вищої освіти за науковим напрямом за останні п’ять років</w:t>
            </w:r>
            <w:r w:rsidRPr="00C87649">
              <w:rPr>
                <w:rFonts w:ascii="Times New Roman" w:hAnsi="Times New Roman" w:cs="Times New Roman"/>
                <w:color w:val="000000"/>
                <w:sz w:val="24"/>
                <w:szCs w:val="24"/>
                <w:shd w:val="clear" w:color="auto" w:fill="FFFFFF"/>
                <w:lang w:val="ru-RU"/>
              </w:rPr>
              <w:t xml:space="preserve">). Для </w:t>
            </w:r>
            <w:proofErr w:type="spellStart"/>
            <w:r w:rsidRPr="00C87649">
              <w:rPr>
                <w:rFonts w:ascii="Times New Roman" w:hAnsi="Times New Roman" w:cs="Times New Roman"/>
                <w:color w:val="000000"/>
                <w:sz w:val="24"/>
                <w:szCs w:val="24"/>
                <w:shd w:val="clear" w:color="auto" w:fill="FFFFFF"/>
                <w:lang w:val="ru-RU"/>
              </w:rPr>
              <w:t>розрахунку</w:t>
            </w:r>
            <w:proofErr w:type="spellEnd"/>
            <w:r w:rsidRPr="00C87649">
              <w:rPr>
                <w:rFonts w:ascii="Times New Roman" w:hAnsi="Times New Roman" w:cs="Times New Roman"/>
                <w:color w:val="000000"/>
                <w:sz w:val="24"/>
                <w:szCs w:val="24"/>
                <w:shd w:val="clear" w:color="auto" w:fill="FFFFFF"/>
                <w:lang w:val="ru-RU"/>
              </w:rPr>
              <w:t xml:space="preserve"> </w:t>
            </w:r>
            <w:r w:rsidRPr="00C87649">
              <w:rPr>
                <w:rFonts w:ascii="Times New Roman" w:hAnsi="Times New Roman" w:cs="Times New Roman"/>
                <w:noProof/>
                <w:color w:val="000000" w:themeColor="text1"/>
                <w:sz w:val="24"/>
                <w:szCs w:val="24"/>
                <w:shd w:val="clear" w:color="auto" w:fill="FFFFFF"/>
                <w:lang w:val="en-US" w:eastAsia="uk-UA"/>
              </w:rPr>
              <w:t>S</w:t>
            </w:r>
            <w:r w:rsidRPr="00C87649">
              <w:rPr>
                <w:rFonts w:ascii="Times New Roman" w:hAnsi="Times New Roman" w:cs="Times New Roman"/>
                <w:noProof/>
                <w:color w:val="000000" w:themeColor="text1"/>
                <w:sz w:val="24"/>
                <w:szCs w:val="24"/>
                <w:shd w:val="clear" w:color="auto" w:fill="FFFFFF"/>
                <w:vertAlign w:val="subscript"/>
                <w:lang w:val="en-US" w:eastAsia="uk-UA"/>
              </w:rPr>
              <w:t>i</w:t>
            </w:r>
            <w:r w:rsidRPr="00C87649">
              <w:rPr>
                <w:rFonts w:ascii="Times New Roman" w:hAnsi="Times New Roman" w:cs="Times New Roman"/>
                <w:color w:val="000000"/>
                <w:sz w:val="24"/>
                <w:szCs w:val="24"/>
                <w:shd w:val="clear" w:color="auto" w:fill="FFFFFF"/>
                <w:lang w:val="ru-RU"/>
              </w:rPr>
              <w:t xml:space="preserve"> у 2020 </w:t>
            </w:r>
            <w:proofErr w:type="spellStart"/>
            <w:proofErr w:type="gramStart"/>
            <w:r w:rsidRPr="00C87649">
              <w:rPr>
                <w:rFonts w:ascii="Times New Roman" w:hAnsi="Times New Roman" w:cs="Times New Roman"/>
                <w:color w:val="000000"/>
                <w:sz w:val="24"/>
                <w:szCs w:val="24"/>
                <w:shd w:val="clear" w:color="auto" w:fill="FFFFFF"/>
                <w:lang w:val="ru-RU"/>
              </w:rPr>
              <w:t>році</w:t>
            </w:r>
            <w:proofErr w:type="spellEnd"/>
            <w:r w:rsidRPr="00C87649">
              <w:rPr>
                <w:rFonts w:ascii="Times New Roman" w:hAnsi="Times New Roman" w:cs="Times New Roman"/>
                <w:color w:val="000000"/>
                <w:sz w:val="24"/>
                <w:szCs w:val="24"/>
                <w:shd w:val="clear" w:color="auto" w:fill="FFFFFF"/>
                <w:lang w:val="ru-RU"/>
              </w:rPr>
              <w:t xml:space="preserve">  та</w:t>
            </w:r>
            <w:proofErr w:type="gramEnd"/>
            <w:r w:rsidRPr="00C87649">
              <w:rPr>
                <w:rFonts w:ascii="Times New Roman" w:hAnsi="Times New Roman" w:cs="Times New Roman"/>
                <w:color w:val="000000"/>
                <w:sz w:val="24"/>
                <w:szCs w:val="24"/>
                <w:shd w:val="clear" w:color="auto" w:fill="FFFFFF"/>
                <w:lang w:val="ru-RU"/>
              </w:rPr>
              <w:t xml:space="preserve"> </w:t>
            </w:r>
            <w:proofErr w:type="spellStart"/>
            <w:r w:rsidRPr="00C87649">
              <w:rPr>
                <w:rFonts w:ascii="Times New Roman" w:hAnsi="Times New Roman" w:cs="Times New Roman"/>
                <w:color w:val="000000"/>
                <w:sz w:val="24"/>
                <w:szCs w:val="24"/>
                <w:shd w:val="clear" w:color="auto" w:fill="FFFFFF"/>
                <w:lang w:val="ru-RU"/>
              </w:rPr>
              <w:t>наступних</w:t>
            </w:r>
            <w:proofErr w:type="spellEnd"/>
            <w:r w:rsidRPr="00C87649">
              <w:rPr>
                <w:rFonts w:ascii="Times New Roman" w:hAnsi="Times New Roman" w:cs="Times New Roman"/>
                <w:color w:val="000000"/>
                <w:sz w:val="24"/>
                <w:szCs w:val="24"/>
                <w:shd w:val="clear" w:color="auto" w:fill="FFFFFF"/>
                <w:lang w:val="ru-RU"/>
              </w:rPr>
              <w:t xml:space="preserve"> роках </w:t>
            </w:r>
            <w:proofErr w:type="spellStart"/>
            <w:r w:rsidRPr="00C87649">
              <w:rPr>
                <w:rFonts w:ascii="Times New Roman" w:hAnsi="Times New Roman" w:cs="Times New Roman"/>
                <w:color w:val="000000"/>
                <w:sz w:val="24"/>
                <w:szCs w:val="24"/>
                <w:shd w:val="clear" w:color="auto" w:fill="FFFFFF"/>
                <w:lang w:val="ru-RU"/>
              </w:rPr>
              <w:t>беруться</w:t>
            </w:r>
            <w:proofErr w:type="spellEnd"/>
            <w:r w:rsidRPr="00C87649">
              <w:rPr>
                <w:rFonts w:ascii="Times New Roman" w:hAnsi="Times New Roman" w:cs="Times New Roman"/>
                <w:color w:val="000000"/>
                <w:sz w:val="24"/>
                <w:szCs w:val="24"/>
                <w:shd w:val="clear" w:color="auto" w:fill="FFFFFF"/>
                <w:lang w:val="ru-RU"/>
              </w:rPr>
              <w:t xml:space="preserve"> </w:t>
            </w:r>
            <w:proofErr w:type="spellStart"/>
            <w:r w:rsidRPr="00C87649">
              <w:rPr>
                <w:rFonts w:ascii="Times New Roman" w:hAnsi="Times New Roman" w:cs="Times New Roman"/>
                <w:color w:val="000000"/>
                <w:sz w:val="24"/>
                <w:szCs w:val="24"/>
                <w:shd w:val="clear" w:color="auto" w:fill="FFFFFF"/>
                <w:lang w:val="ru-RU"/>
              </w:rPr>
              <w:t>значення</w:t>
            </w:r>
            <w:proofErr w:type="spellEnd"/>
            <w:r w:rsidRPr="00C87649">
              <w:rPr>
                <w:rFonts w:ascii="Times New Roman" w:hAnsi="Times New Roman" w:cs="Times New Roman"/>
                <w:color w:val="000000"/>
                <w:sz w:val="24"/>
                <w:szCs w:val="24"/>
                <w:shd w:val="clear" w:color="auto" w:fill="FFFFFF"/>
                <w:lang w:val="ru-RU"/>
              </w:rPr>
              <w:t xml:space="preserve"> </w:t>
            </w:r>
            <w:proofErr w:type="spellStart"/>
            <w:r w:rsidRPr="00C87649">
              <w:rPr>
                <w:rFonts w:ascii="Times New Roman" w:hAnsi="Times New Roman" w:cs="Times New Roman"/>
                <w:color w:val="000000"/>
                <w:sz w:val="24"/>
                <w:szCs w:val="24"/>
                <w:shd w:val="clear" w:color="auto" w:fill="FFFFFF"/>
                <w:lang w:val="ru-RU"/>
              </w:rPr>
              <w:t>загального</w:t>
            </w:r>
            <w:proofErr w:type="spellEnd"/>
            <w:r w:rsidRPr="00C87649">
              <w:rPr>
                <w:rFonts w:ascii="Times New Roman" w:hAnsi="Times New Roman" w:cs="Times New Roman"/>
                <w:color w:val="000000"/>
                <w:sz w:val="24"/>
                <w:szCs w:val="24"/>
                <w:shd w:val="clear" w:color="auto" w:fill="FFFFFF"/>
                <w:lang w:val="ru-RU"/>
              </w:rPr>
              <w:t xml:space="preserve"> та </w:t>
            </w:r>
            <w:proofErr w:type="spellStart"/>
            <w:r w:rsidRPr="00C87649">
              <w:rPr>
                <w:rFonts w:ascii="Times New Roman" w:hAnsi="Times New Roman" w:cs="Times New Roman"/>
                <w:color w:val="000000"/>
                <w:sz w:val="24"/>
                <w:szCs w:val="24"/>
                <w:shd w:val="clear" w:color="auto" w:fill="FFFFFF"/>
                <w:lang w:val="ru-RU"/>
              </w:rPr>
              <w:t>спеціального</w:t>
            </w:r>
            <w:proofErr w:type="spellEnd"/>
            <w:r w:rsidRPr="00C87649">
              <w:rPr>
                <w:rFonts w:ascii="Times New Roman" w:hAnsi="Times New Roman" w:cs="Times New Roman"/>
                <w:color w:val="000000"/>
                <w:sz w:val="24"/>
                <w:szCs w:val="24"/>
                <w:shd w:val="clear" w:color="auto" w:fill="FFFFFF"/>
                <w:lang w:val="ru-RU"/>
              </w:rPr>
              <w:t xml:space="preserve"> фонду до 2019 року </w:t>
            </w:r>
            <w:proofErr w:type="spellStart"/>
            <w:r w:rsidRPr="00C87649">
              <w:rPr>
                <w:rFonts w:ascii="Times New Roman" w:hAnsi="Times New Roman" w:cs="Times New Roman"/>
                <w:color w:val="000000"/>
                <w:sz w:val="24"/>
                <w:szCs w:val="24"/>
                <w:shd w:val="clear" w:color="auto" w:fill="FFFFFF"/>
                <w:lang w:val="ru-RU"/>
              </w:rPr>
              <w:t>включно</w:t>
            </w:r>
            <w:proofErr w:type="spellEnd"/>
            <w:r w:rsidRPr="00C87649">
              <w:rPr>
                <w:rFonts w:ascii="Times New Roman" w:hAnsi="Times New Roman" w:cs="Times New Roman"/>
                <w:color w:val="000000"/>
                <w:sz w:val="24"/>
                <w:szCs w:val="24"/>
                <w:shd w:val="clear" w:color="auto" w:fill="FFFFFF"/>
                <w:lang w:val="ru-RU"/>
              </w:rPr>
              <w:t xml:space="preserve">, з 2021 року для </w:t>
            </w:r>
            <w:proofErr w:type="spellStart"/>
            <w:r w:rsidRPr="00C87649">
              <w:rPr>
                <w:rFonts w:ascii="Times New Roman" w:hAnsi="Times New Roman" w:cs="Times New Roman"/>
                <w:color w:val="000000"/>
                <w:sz w:val="24"/>
                <w:szCs w:val="24"/>
                <w:shd w:val="clear" w:color="auto" w:fill="FFFFFF"/>
                <w:lang w:val="ru-RU"/>
              </w:rPr>
              <w:t>розрахунку</w:t>
            </w:r>
            <w:proofErr w:type="spellEnd"/>
            <w:r w:rsidRPr="00C87649">
              <w:rPr>
                <w:rFonts w:ascii="Times New Roman" w:hAnsi="Times New Roman" w:cs="Times New Roman"/>
                <w:color w:val="000000"/>
                <w:sz w:val="24"/>
                <w:szCs w:val="24"/>
                <w:shd w:val="clear" w:color="auto" w:fill="FFFFFF"/>
                <w:lang w:val="ru-RU"/>
              </w:rPr>
              <w:t xml:space="preserve"> </w:t>
            </w:r>
            <w:r w:rsidRPr="00C87649">
              <w:rPr>
                <w:rFonts w:ascii="Times New Roman" w:hAnsi="Times New Roman" w:cs="Times New Roman"/>
                <w:noProof/>
                <w:color w:val="000000" w:themeColor="text1"/>
                <w:sz w:val="24"/>
                <w:szCs w:val="24"/>
                <w:shd w:val="clear" w:color="auto" w:fill="FFFFFF"/>
                <w:lang w:val="en-US" w:eastAsia="uk-UA"/>
              </w:rPr>
              <w:t>S</w:t>
            </w:r>
            <w:r w:rsidRPr="00C87649">
              <w:rPr>
                <w:rFonts w:ascii="Times New Roman" w:hAnsi="Times New Roman" w:cs="Times New Roman"/>
                <w:noProof/>
                <w:color w:val="000000" w:themeColor="text1"/>
                <w:sz w:val="24"/>
                <w:szCs w:val="24"/>
                <w:shd w:val="clear" w:color="auto" w:fill="FFFFFF"/>
                <w:vertAlign w:val="subscript"/>
                <w:lang w:val="en-US" w:eastAsia="uk-UA"/>
              </w:rPr>
              <w:t>i</w:t>
            </w:r>
            <w:r w:rsidRPr="00C87649">
              <w:rPr>
                <w:rFonts w:ascii="Times New Roman" w:hAnsi="Times New Roman" w:cs="Times New Roman"/>
                <w:color w:val="000000"/>
                <w:sz w:val="24"/>
                <w:szCs w:val="24"/>
                <w:shd w:val="clear" w:color="auto" w:fill="FFFFFF"/>
              </w:rPr>
              <w:t xml:space="preserve"> включаються виключно значення спеціального фонду</w:t>
            </w:r>
            <w:r w:rsidR="003C47E0">
              <w:rPr>
                <w:rFonts w:ascii="Times New Roman" w:hAnsi="Times New Roman" w:cs="Times New Roman"/>
                <w:color w:val="000000"/>
                <w:sz w:val="24"/>
                <w:szCs w:val="24"/>
                <w:shd w:val="clear" w:color="auto" w:fill="FFFFFF"/>
                <w:lang w:val="ru-RU"/>
              </w:rPr>
              <w:t>;</w:t>
            </w:r>
          </w:p>
          <w:p w:rsidR="00C87649" w:rsidRDefault="00C87649" w:rsidP="00C87649">
            <w:pPr>
              <w:tabs>
                <w:tab w:val="left" w:pos="816"/>
              </w:tabs>
              <w:spacing w:after="40"/>
              <w:rPr>
                <w:rFonts w:ascii="Times New Roman" w:hAnsi="Times New Roman" w:cs="Times New Roman"/>
                <w:sz w:val="24"/>
                <w:szCs w:val="28"/>
              </w:rPr>
            </w:pPr>
          </w:p>
          <w:p w:rsidR="00C87649" w:rsidRDefault="003C47E0" w:rsidP="003C47E0">
            <w:pPr>
              <w:tabs>
                <w:tab w:val="left" w:pos="816"/>
              </w:tabs>
              <w:spacing w:after="40"/>
              <w:jc w:val="center"/>
              <w:rPr>
                <w:rFonts w:ascii="Times New Roman" w:hAnsi="Times New Roman" w:cs="Times New Roman"/>
                <w:sz w:val="24"/>
                <w:szCs w:val="28"/>
              </w:rPr>
            </w:pPr>
            <w:r>
              <w:rPr>
                <w:rFonts w:ascii="Times New Roman" w:hAnsi="Times New Roman" w:cs="Times New Roman"/>
                <w:sz w:val="24"/>
                <w:szCs w:val="28"/>
              </w:rPr>
              <w:t>…</w:t>
            </w:r>
          </w:p>
          <w:p w:rsidR="009319A1" w:rsidRDefault="003C47E0" w:rsidP="003C47E0">
            <w:pPr>
              <w:pStyle w:val="rvps2"/>
              <w:shd w:val="clear" w:color="auto" w:fill="FFFFFF"/>
              <w:spacing w:before="0" w:beforeAutospacing="0" w:after="150" w:afterAutospacing="0"/>
              <w:ind w:firstLine="450"/>
              <w:jc w:val="both"/>
              <w:rPr>
                <w:color w:val="000000"/>
              </w:rPr>
            </w:pPr>
            <w:r>
              <w:rPr>
                <w:noProof/>
                <w:color w:val="0275D8"/>
              </w:rPr>
              <w:lastRenderedPageBreak/>
              <w:drawing>
                <wp:inline distT="0" distB="0" distL="0" distR="0">
                  <wp:extent cx="350520" cy="335280"/>
                  <wp:effectExtent l="0" t="0" r="0" b="7620"/>
                  <wp:docPr id="7" name="Рисунок 7" descr="https://zakon.rada.gov.ua/laws/file/imgs/73/p486402n19-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73/p486402n19-3.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color w:val="000000"/>
              </w:rPr>
              <w:t> - сума се</w:t>
            </w:r>
            <w:r w:rsidR="009319A1">
              <w:rPr>
                <w:color w:val="000000"/>
              </w:rPr>
              <w:t>редньорічних обсягів коштів за в</w:t>
            </w:r>
            <w:r>
              <w:rPr>
                <w:color w:val="000000"/>
              </w:rPr>
              <w:t>сіма науковими напрямами закладів вищої освіти, що віднесені до кваліфікаційної групи А;</w:t>
            </w:r>
          </w:p>
          <w:p w:rsidR="003C47E0" w:rsidRDefault="003C47E0" w:rsidP="003C47E0">
            <w:pPr>
              <w:pStyle w:val="rvps2"/>
              <w:shd w:val="clear" w:color="auto" w:fill="FFFFFF"/>
              <w:spacing w:before="0" w:beforeAutospacing="0" w:after="150" w:afterAutospacing="0"/>
              <w:ind w:firstLine="450"/>
              <w:jc w:val="both"/>
              <w:rPr>
                <w:color w:val="000000"/>
              </w:rPr>
            </w:pPr>
            <w:r>
              <w:rPr>
                <w:noProof/>
                <w:color w:val="0275D8"/>
              </w:rPr>
              <w:drawing>
                <wp:inline distT="0" distB="0" distL="0" distR="0">
                  <wp:extent cx="342900" cy="335280"/>
                  <wp:effectExtent l="0" t="0" r="0" b="7620"/>
                  <wp:docPr id="6" name="Рисунок 6" descr="https://zakon.rada.gov.ua/laws/file/imgs/73/p486402n19-4.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73/p486402n19-4.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Pr>
                <w:color w:val="000000"/>
              </w:rPr>
              <w:t> - сума се</w:t>
            </w:r>
            <w:r w:rsidR="009319A1">
              <w:rPr>
                <w:color w:val="000000"/>
              </w:rPr>
              <w:t>редньорічних обсягів коштів за в</w:t>
            </w:r>
            <w:r>
              <w:rPr>
                <w:color w:val="000000"/>
              </w:rPr>
              <w:t>сіма науковими напрямами закладів вищої освіти, що віднесені до кваліфікаційної групи Б.</w:t>
            </w:r>
          </w:p>
          <w:p w:rsidR="0000332B" w:rsidRPr="0000332B" w:rsidRDefault="005C3779" w:rsidP="0000332B">
            <w:pPr>
              <w:spacing w:after="40"/>
              <w:jc w:val="center"/>
              <w:rPr>
                <w:rFonts w:ascii="Times New Roman" w:hAnsi="Times New Roman" w:cs="Times New Roman"/>
                <w:sz w:val="24"/>
                <w:szCs w:val="28"/>
              </w:rPr>
            </w:pPr>
            <w:r>
              <w:rPr>
                <w:rFonts w:ascii="Times New Roman" w:hAnsi="Times New Roman" w:cs="Times New Roman"/>
                <w:sz w:val="24"/>
                <w:szCs w:val="28"/>
              </w:rPr>
              <w:t>…</w:t>
            </w:r>
          </w:p>
          <w:p w:rsidR="001A46F4" w:rsidRPr="001A46F4" w:rsidRDefault="001A46F4" w:rsidP="001A46F4">
            <w:pPr>
              <w:pStyle w:val="rvps2"/>
              <w:shd w:val="clear" w:color="auto" w:fill="FFFFFF"/>
              <w:spacing w:before="0" w:beforeAutospacing="0" w:after="150" w:afterAutospacing="0"/>
              <w:ind w:firstLine="450"/>
              <w:jc w:val="both"/>
              <w:rPr>
                <w:color w:val="000000"/>
              </w:rPr>
            </w:pPr>
            <w:r w:rsidRPr="001A46F4">
              <w:rPr>
                <w:color w:val="000000"/>
              </w:rPr>
              <w:t>9. Бюджетні кошти спрямовуються на:</w:t>
            </w:r>
            <w:bookmarkStart w:id="1" w:name="n24"/>
            <w:bookmarkEnd w:id="1"/>
          </w:p>
          <w:p w:rsidR="001A46F4" w:rsidRPr="001A46F4" w:rsidRDefault="001A46F4" w:rsidP="001A46F4">
            <w:pPr>
              <w:pStyle w:val="rvps2"/>
              <w:shd w:val="clear" w:color="auto" w:fill="FFFFFF"/>
              <w:spacing w:before="0" w:beforeAutospacing="0" w:after="150" w:afterAutospacing="0"/>
              <w:ind w:firstLine="450"/>
              <w:jc w:val="both"/>
              <w:rPr>
                <w:color w:val="000000"/>
              </w:rPr>
            </w:pPr>
            <w:r w:rsidRPr="001A46F4">
              <w:rPr>
                <w:color w:val="000000"/>
              </w:rPr>
              <w:t>1) проведення досліджень і розробок у межах тих наукових напрямів закладів вищої освіти, які віднесені до кваліфікаційної групи А або Б;</w:t>
            </w:r>
          </w:p>
          <w:p w:rsidR="005C3779" w:rsidRDefault="001A46F4" w:rsidP="005C3779">
            <w:pPr>
              <w:shd w:val="clear" w:color="auto" w:fill="FFFFFF"/>
              <w:spacing w:after="150"/>
              <w:ind w:firstLine="450"/>
              <w:jc w:val="both"/>
              <w:rPr>
                <w:rFonts w:ascii="Times New Roman" w:hAnsi="Times New Roman"/>
                <w:color w:val="000000"/>
                <w:sz w:val="24"/>
                <w:szCs w:val="24"/>
                <w:lang w:eastAsia="uk-UA"/>
              </w:rPr>
            </w:pPr>
            <w:bookmarkStart w:id="2" w:name="n25"/>
            <w:bookmarkEnd w:id="2"/>
            <w:r w:rsidRPr="001A46F4">
              <w:rPr>
                <w:rFonts w:ascii="Times New Roman" w:hAnsi="Times New Roman"/>
                <w:color w:val="000000"/>
                <w:sz w:val="24"/>
                <w:szCs w:val="24"/>
                <w:lang w:eastAsia="uk-UA"/>
              </w:rPr>
              <w:t>2) розвиток інфраструктури, оновлення та модернізацію матеріально-технічної бази наукової і науково-технічної діяльності у межах тих наукових напрямів закладів вищої освіти, які віднесені до кваліфікаційної групи А або Б.»</w:t>
            </w:r>
          </w:p>
          <w:p w:rsidR="00B07355" w:rsidRDefault="005C3779" w:rsidP="005C3779">
            <w:pPr>
              <w:shd w:val="clear" w:color="auto" w:fill="FFFFFF"/>
              <w:spacing w:after="150"/>
              <w:ind w:firstLine="450"/>
              <w:jc w:val="center"/>
              <w:rPr>
                <w:szCs w:val="28"/>
              </w:rPr>
            </w:pPr>
            <w:r>
              <w:rPr>
                <w:rFonts w:ascii="Times New Roman" w:hAnsi="Times New Roman"/>
                <w:color w:val="000000"/>
                <w:sz w:val="24"/>
                <w:szCs w:val="24"/>
                <w:lang w:eastAsia="uk-UA"/>
              </w:rPr>
              <w:t>…</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14. Розпорядники бюджетних коштів нижчого рівня щороку до 15 числа місяця, що настає за звітним, подають головному розпоряднику бюджетних коштів звіт про використання бюджетних коштів, виконання умов договору та досягнення результативних показників перспективного плану розвитку наукового напряму на п’ятирічний період.</w:t>
            </w:r>
            <w:r w:rsidRPr="006A5890">
              <w:rPr>
                <w:color w:val="000000"/>
                <w:sz w:val="28"/>
                <w:szCs w:val="28"/>
              </w:rPr>
              <w:t xml:space="preserve"> </w:t>
            </w:r>
            <w:r w:rsidRPr="005C3779">
              <w:rPr>
                <w:color w:val="000000"/>
              </w:rPr>
              <w:t>Щороку до 15 числа другого м</w:t>
            </w:r>
            <w:r w:rsidR="009319A1">
              <w:rPr>
                <w:color w:val="000000"/>
              </w:rPr>
              <w:t xml:space="preserve">ісяця, що настає за звітним, Міністерство освіти і науки </w:t>
            </w:r>
            <w:r w:rsidRPr="005C3779">
              <w:rPr>
                <w:color w:val="000000"/>
              </w:rPr>
              <w:t xml:space="preserve">розміщує надані звіти на  своєму </w:t>
            </w:r>
            <w:r w:rsidR="007944F5">
              <w:rPr>
                <w:color w:val="000000"/>
              </w:rPr>
              <w:t>офіційному веб</w:t>
            </w:r>
            <w:bookmarkStart w:id="3" w:name="_GoBack"/>
            <w:bookmarkEnd w:id="3"/>
            <w:r w:rsidRPr="005C3779">
              <w:rPr>
                <w:color w:val="000000"/>
              </w:rPr>
              <w:t>сайті</w:t>
            </w:r>
            <w:r>
              <w:rPr>
                <w:color w:val="000000"/>
              </w:rPr>
              <w:t>.</w:t>
            </w:r>
          </w:p>
          <w:p w:rsidR="005C3779" w:rsidRDefault="005C3779" w:rsidP="005C3779">
            <w:pPr>
              <w:pStyle w:val="rvps2"/>
              <w:shd w:val="clear" w:color="auto" w:fill="FFFFFF"/>
              <w:spacing w:before="0" w:beforeAutospacing="0" w:after="150" w:afterAutospacing="0"/>
              <w:ind w:firstLine="450"/>
              <w:jc w:val="both"/>
              <w:rPr>
                <w:color w:val="000000"/>
              </w:rPr>
            </w:pPr>
            <w:r>
              <w:rPr>
                <w:color w:val="000000"/>
              </w:rPr>
              <w:t xml:space="preserve">За </w:t>
            </w:r>
            <w:r w:rsidR="009319A1">
              <w:rPr>
                <w:color w:val="000000"/>
              </w:rPr>
              <w:t>результатами поданої звітності Міністерство освіти і науки</w:t>
            </w:r>
            <w:r>
              <w:rPr>
                <w:color w:val="000000"/>
              </w:rPr>
              <w:t xml:space="preserve"> приймає рішення щодо продовження фінансування, коригування його обсягів або припинення фінансування розпорядника бюджетних коштів.</w:t>
            </w:r>
          </w:p>
          <w:p w:rsidR="005C3779" w:rsidRPr="0000332B" w:rsidRDefault="005C3779" w:rsidP="001A46F4">
            <w:pPr>
              <w:shd w:val="clear" w:color="auto" w:fill="FFFFFF"/>
              <w:spacing w:after="150"/>
              <w:ind w:firstLine="450"/>
              <w:jc w:val="both"/>
              <w:rPr>
                <w:szCs w:val="28"/>
              </w:rPr>
            </w:pPr>
          </w:p>
        </w:tc>
      </w:tr>
    </w:tbl>
    <w:p w:rsidR="0034762A" w:rsidRDefault="0034762A" w:rsidP="0000332B">
      <w:pPr>
        <w:spacing w:after="40" w:line="240" w:lineRule="auto"/>
        <w:rPr>
          <w:rFonts w:ascii="Times New Roman" w:hAnsi="Times New Roman" w:cs="Times New Roman"/>
          <w:sz w:val="24"/>
          <w:szCs w:val="28"/>
        </w:rPr>
      </w:pPr>
    </w:p>
    <w:p w:rsidR="0000332B" w:rsidRDefault="003C47E0" w:rsidP="0000332B">
      <w:pPr>
        <w:spacing w:after="40" w:line="240" w:lineRule="auto"/>
        <w:rPr>
          <w:rFonts w:ascii="Times New Roman" w:hAnsi="Times New Roman" w:cs="Times New Roman"/>
          <w:sz w:val="24"/>
          <w:szCs w:val="28"/>
        </w:rPr>
      </w:pPr>
      <w:r>
        <w:rPr>
          <w:rFonts w:ascii="Times New Roman" w:hAnsi="Times New Roman" w:cs="Times New Roman"/>
          <w:sz w:val="24"/>
          <w:szCs w:val="28"/>
        </w:rPr>
        <w:t xml:space="preserve"> Генеральний директор</w:t>
      </w:r>
    </w:p>
    <w:p w:rsidR="0000332B" w:rsidRPr="0000332B" w:rsidRDefault="003C47E0" w:rsidP="0000332B">
      <w:pPr>
        <w:spacing w:after="40" w:line="240" w:lineRule="auto"/>
        <w:rPr>
          <w:rFonts w:ascii="Times New Roman" w:hAnsi="Times New Roman" w:cs="Times New Roman"/>
          <w:sz w:val="24"/>
          <w:szCs w:val="28"/>
        </w:rPr>
      </w:pPr>
      <w:r>
        <w:rPr>
          <w:rFonts w:ascii="Times New Roman" w:hAnsi="Times New Roman" w:cs="Times New Roman"/>
          <w:sz w:val="24"/>
          <w:szCs w:val="28"/>
        </w:rPr>
        <w:t xml:space="preserve">директорату науки                                                                                                   </w:t>
      </w:r>
      <w:r w:rsidR="0000332B">
        <w:rPr>
          <w:rFonts w:ascii="Times New Roman" w:hAnsi="Times New Roman" w:cs="Times New Roman"/>
          <w:sz w:val="24"/>
          <w:szCs w:val="28"/>
        </w:rPr>
        <w:tab/>
      </w:r>
      <w:r w:rsidR="0000332B">
        <w:rPr>
          <w:rFonts w:ascii="Times New Roman" w:hAnsi="Times New Roman" w:cs="Times New Roman"/>
          <w:sz w:val="24"/>
          <w:szCs w:val="28"/>
        </w:rPr>
        <w:tab/>
      </w:r>
      <w:r w:rsidR="0000332B">
        <w:rPr>
          <w:rFonts w:ascii="Times New Roman" w:hAnsi="Times New Roman" w:cs="Times New Roman"/>
          <w:sz w:val="24"/>
          <w:szCs w:val="28"/>
        </w:rPr>
        <w:tab/>
      </w:r>
      <w:r w:rsidR="0000332B">
        <w:rPr>
          <w:rFonts w:ascii="Times New Roman" w:hAnsi="Times New Roman" w:cs="Times New Roman"/>
          <w:sz w:val="24"/>
          <w:szCs w:val="28"/>
        </w:rPr>
        <w:tab/>
      </w:r>
      <w:r w:rsidR="0000332B">
        <w:rPr>
          <w:rFonts w:ascii="Times New Roman" w:hAnsi="Times New Roman" w:cs="Times New Roman"/>
          <w:sz w:val="24"/>
          <w:szCs w:val="28"/>
        </w:rPr>
        <w:tab/>
      </w:r>
      <w:r>
        <w:rPr>
          <w:rFonts w:ascii="Times New Roman" w:hAnsi="Times New Roman" w:cs="Times New Roman"/>
          <w:sz w:val="24"/>
          <w:szCs w:val="28"/>
        </w:rPr>
        <w:t xml:space="preserve">            </w:t>
      </w:r>
      <w:r w:rsidR="0000332B">
        <w:rPr>
          <w:rFonts w:ascii="Times New Roman" w:hAnsi="Times New Roman" w:cs="Times New Roman"/>
          <w:sz w:val="24"/>
          <w:szCs w:val="28"/>
        </w:rPr>
        <w:tab/>
      </w:r>
      <w:r>
        <w:rPr>
          <w:rFonts w:ascii="Times New Roman" w:hAnsi="Times New Roman" w:cs="Times New Roman"/>
          <w:sz w:val="24"/>
          <w:szCs w:val="28"/>
        </w:rPr>
        <w:t xml:space="preserve">Дмитро </w:t>
      </w:r>
      <w:proofErr w:type="spellStart"/>
      <w:r>
        <w:rPr>
          <w:rFonts w:ascii="Times New Roman" w:hAnsi="Times New Roman" w:cs="Times New Roman"/>
          <w:sz w:val="24"/>
          <w:szCs w:val="28"/>
        </w:rPr>
        <w:t>Чеберкус</w:t>
      </w:r>
      <w:proofErr w:type="spellEnd"/>
    </w:p>
    <w:sectPr w:rsidR="0000332B" w:rsidRPr="0000332B" w:rsidSect="009319A1">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92"/>
    <w:rsid w:val="0000332B"/>
    <w:rsid w:val="001A46F4"/>
    <w:rsid w:val="002704B6"/>
    <w:rsid w:val="0034762A"/>
    <w:rsid w:val="003C47E0"/>
    <w:rsid w:val="004A7F45"/>
    <w:rsid w:val="005C3779"/>
    <w:rsid w:val="00660FB5"/>
    <w:rsid w:val="006A0FFD"/>
    <w:rsid w:val="006B34F4"/>
    <w:rsid w:val="007944F5"/>
    <w:rsid w:val="009319A1"/>
    <w:rsid w:val="009F1B9F"/>
    <w:rsid w:val="00A77911"/>
    <w:rsid w:val="00B07355"/>
    <w:rsid w:val="00C227E8"/>
    <w:rsid w:val="00C87649"/>
    <w:rsid w:val="00D12692"/>
    <w:rsid w:val="00EE5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E4A9"/>
  <w15:chartTrackingRefBased/>
  <w15:docId w15:val="{CF895000-C870-479F-AE89-123D50F5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B073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B07355"/>
  </w:style>
  <w:style w:type="character" w:customStyle="1" w:styleId="rvts46">
    <w:name w:val="rvts46"/>
    <w:basedOn w:val="a0"/>
    <w:rsid w:val="0000332B"/>
  </w:style>
  <w:style w:type="character" w:styleId="a4">
    <w:name w:val="Hyperlink"/>
    <w:basedOn w:val="a0"/>
    <w:uiPriority w:val="99"/>
    <w:semiHidden/>
    <w:unhideWhenUsed/>
    <w:rsid w:val="0000332B"/>
    <w:rPr>
      <w:color w:val="0000FF"/>
      <w:u w:val="single"/>
    </w:rPr>
  </w:style>
  <w:style w:type="paragraph" w:styleId="a5">
    <w:name w:val="Balloon Text"/>
    <w:basedOn w:val="a"/>
    <w:link w:val="a6"/>
    <w:uiPriority w:val="99"/>
    <w:semiHidden/>
    <w:unhideWhenUsed/>
    <w:rsid w:val="004A7F4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A7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185">
      <w:bodyDiv w:val="1"/>
      <w:marLeft w:val="0"/>
      <w:marRight w:val="0"/>
      <w:marTop w:val="0"/>
      <w:marBottom w:val="0"/>
      <w:divBdr>
        <w:top w:val="none" w:sz="0" w:space="0" w:color="auto"/>
        <w:left w:val="none" w:sz="0" w:space="0" w:color="auto"/>
        <w:bottom w:val="none" w:sz="0" w:space="0" w:color="auto"/>
        <w:right w:val="none" w:sz="0" w:space="0" w:color="auto"/>
      </w:divBdr>
    </w:div>
    <w:div w:id="399905819">
      <w:bodyDiv w:val="1"/>
      <w:marLeft w:val="0"/>
      <w:marRight w:val="0"/>
      <w:marTop w:val="0"/>
      <w:marBottom w:val="0"/>
      <w:divBdr>
        <w:top w:val="none" w:sz="0" w:space="0" w:color="auto"/>
        <w:left w:val="none" w:sz="0" w:space="0" w:color="auto"/>
        <w:bottom w:val="none" w:sz="0" w:space="0" w:color="auto"/>
        <w:right w:val="none" w:sz="0" w:space="0" w:color="auto"/>
      </w:divBdr>
    </w:div>
    <w:div w:id="862012567">
      <w:bodyDiv w:val="1"/>
      <w:marLeft w:val="0"/>
      <w:marRight w:val="0"/>
      <w:marTop w:val="0"/>
      <w:marBottom w:val="0"/>
      <w:divBdr>
        <w:top w:val="none" w:sz="0" w:space="0" w:color="auto"/>
        <w:left w:val="none" w:sz="0" w:space="0" w:color="auto"/>
        <w:bottom w:val="none" w:sz="0" w:space="0" w:color="auto"/>
        <w:right w:val="none" w:sz="0" w:space="0" w:color="auto"/>
      </w:divBdr>
    </w:div>
    <w:div w:id="909730555">
      <w:bodyDiv w:val="1"/>
      <w:marLeft w:val="0"/>
      <w:marRight w:val="0"/>
      <w:marTop w:val="0"/>
      <w:marBottom w:val="0"/>
      <w:divBdr>
        <w:top w:val="none" w:sz="0" w:space="0" w:color="auto"/>
        <w:left w:val="none" w:sz="0" w:space="0" w:color="auto"/>
        <w:bottom w:val="none" w:sz="0" w:space="0" w:color="auto"/>
        <w:right w:val="none" w:sz="0" w:space="0" w:color="auto"/>
      </w:divBdr>
    </w:div>
    <w:div w:id="1494447497">
      <w:bodyDiv w:val="1"/>
      <w:marLeft w:val="0"/>
      <w:marRight w:val="0"/>
      <w:marTop w:val="0"/>
      <w:marBottom w:val="0"/>
      <w:divBdr>
        <w:top w:val="none" w:sz="0" w:space="0" w:color="auto"/>
        <w:left w:val="none" w:sz="0" w:space="0" w:color="auto"/>
        <w:bottom w:val="none" w:sz="0" w:space="0" w:color="auto"/>
        <w:right w:val="none" w:sz="0" w:space="0" w:color="auto"/>
      </w:divBdr>
    </w:div>
    <w:div w:id="1495680566">
      <w:bodyDiv w:val="1"/>
      <w:marLeft w:val="0"/>
      <w:marRight w:val="0"/>
      <w:marTop w:val="0"/>
      <w:marBottom w:val="0"/>
      <w:divBdr>
        <w:top w:val="none" w:sz="0" w:space="0" w:color="auto"/>
        <w:left w:val="none" w:sz="0" w:space="0" w:color="auto"/>
        <w:bottom w:val="none" w:sz="0" w:space="0" w:color="auto"/>
        <w:right w:val="none" w:sz="0" w:space="0" w:color="auto"/>
      </w:divBdr>
    </w:div>
    <w:div w:id="18635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file/imgs/73/p486402n19-3.bm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zakon.rada.gov.ua/laws/show/2629-19" TargetMode="External"/><Relationship Id="rId5" Type="http://schemas.openxmlformats.org/officeDocument/2006/relationships/hyperlink" Target="https://zakon.rada.gov.ua/laws/file/imgs/73/p486402n19-2.emf" TargetMode="External"/><Relationship Id="rId10" Type="http://schemas.openxmlformats.org/officeDocument/2006/relationships/image" Target="media/image3.gif"/><Relationship Id="rId4" Type="http://schemas.openxmlformats.org/officeDocument/2006/relationships/hyperlink" Target="https://zakon.rada.gov.ua/laws/show/2629-19" TargetMode="External"/><Relationship Id="rId9" Type="http://schemas.openxmlformats.org/officeDocument/2006/relationships/hyperlink" Target="https://zakon.rada.gov.ua/laws/file/imgs/73/p486402n19-4.bm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3196</Words>
  <Characters>1822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Movchan T.</dc:creator>
  <cp:keywords/>
  <dc:description/>
  <cp:lastModifiedBy>Goncharik N.L.</cp:lastModifiedBy>
  <cp:revision>3</cp:revision>
  <cp:lastPrinted>2020-01-20T13:59:00Z</cp:lastPrinted>
  <dcterms:created xsi:type="dcterms:W3CDTF">2020-01-17T10:43:00Z</dcterms:created>
  <dcterms:modified xsi:type="dcterms:W3CDTF">2020-01-21T16:39:00Z</dcterms:modified>
</cp:coreProperties>
</file>