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86" w:rsidRPr="008F7A86" w:rsidRDefault="008F7A86" w:rsidP="008F7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102B" w:rsidRPr="008415B3" w:rsidRDefault="000D102B" w:rsidP="000D102B">
      <w:pPr>
        <w:tabs>
          <w:tab w:val="left" w:pos="9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</w:p>
    <w:p w:rsidR="000D102B" w:rsidRPr="008415B3" w:rsidRDefault="000D102B" w:rsidP="000D102B">
      <w:pPr>
        <w:tabs>
          <w:tab w:val="left" w:pos="9630"/>
        </w:tabs>
        <w:spacing w:after="0" w:line="240" w:lineRule="auto"/>
        <w:jc w:val="center"/>
        <w:rPr>
          <w:rFonts w:ascii="BALTIKA" w:eastAsia="Times New Roman" w:hAnsi="BALTIKA" w:cs="Times New Roman"/>
          <w:b/>
          <w:sz w:val="24"/>
          <w:szCs w:val="24"/>
          <w:lang w:val="ru-RU" w:eastAsia="ru-RU"/>
        </w:rPr>
      </w:pPr>
      <w:r w:rsidRPr="008415B3">
        <w:rPr>
          <w:rFonts w:ascii="BALTIKA" w:eastAsia="Times New Roman" w:hAnsi="BALTIKA" w:cs="Times New Roman"/>
          <w:b/>
          <w:sz w:val="24"/>
          <w:szCs w:val="24"/>
          <w:lang w:eastAsia="ru-RU"/>
        </w:rPr>
        <w:object w:dxaOrig="97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63.85pt" o:ole="">
            <v:imagedata r:id="rId8" o:title=""/>
          </v:shape>
          <o:OLEObject Type="Embed" ProgID="Word.Picture.8" ShapeID="_x0000_i1025" DrawAspect="Content" ObjectID="_1636464179" r:id="rId9"/>
        </w:object>
      </w:r>
    </w:p>
    <w:p w:rsidR="000D102B" w:rsidRPr="008415B3" w:rsidRDefault="000D102B" w:rsidP="000D102B">
      <w:pPr>
        <w:tabs>
          <w:tab w:val="left" w:pos="9630"/>
        </w:tabs>
        <w:spacing w:after="0" w:line="240" w:lineRule="auto"/>
        <w:rPr>
          <w:rFonts w:ascii="BALTIKA" w:eastAsia="Times New Roman" w:hAnsi="BALTIKA" w:cs="Times New Roman"/>
          <w:sz w:val="24"/>
          <w:szCs w:val="24"/>
          <w:lang w:val="ru-RU" w:eastAsia="ru-RU"/>
        </w:rPr>
      </w:pPr>
    </w:p>
    <w:p w:rsidR="000D102B" w:rsidRPr="008415B3" w:rsidRDefault="000D102B" w:rsidP="000D102B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415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КАБІНЕТ  МІНІСТРІВ</w:t>
      </w:r>
      <w:proofErr w:type="gramEnd"/>
      <w:r w:rsidRPr="008415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УКРАЇНИ</w:t>
      </w:r>
    </w:p>
    <w:p w:rsidR="000D102B" w:rsidRPr="008415B3" w:rsidRDefault="000D102B" w:rsidP="000D102B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102B" w:rsidRPr="008415B3" w:rsidRDefault="000D102B" w:rsidP="000D102B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А</w:t>
      </w:r>
    </w:p>
    <w:p w:rsidR="000D102B" w:rsidRPr="008415B3" w:rsidRDefault="000D102B" w:rsidP="000D102B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2B" w:rsidRPr="008415B3" w:rsidRDefault="000D102B" w:rsidP="000D102B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    </w:t>
      </w:r>
      <w:r w:rsidRPr="003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</w:t>
      </w:r>
      <w:r w:rsidRPr="003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</w:p>
    <w:p w:rsidR="000D102B" w:rsidRPr="008415B3" w:rsidRDefault="000D102B" w:rsidP="000D102B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2B" w:rsidRPr="008415B3" w:rsidRDefault="000D102B" w:rsidP="000D102B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</w:p>
    <w:p w:rsidR="000D102B" w:rsidRPr="008415B3" w:rsidRDefault="000D102B" w:rsidP="000D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2B" w:rsidRPr="008415B3" w:rsidRDefault="000D102B" w:rsidP="000D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2B" w:rsidRDefault="000D102B" w:rsidP="000D1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B3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Порядку та критеріїв надання закладу професійної (професійно-технічної) освіти статусу центру професійної досконалості, підтвердження чи позбавлення цього статусу</w:t>
      </w:r>
    </w:p>
    <w:p w:rsidR="000D102B" w:rsidRPr="006224F8" w:rsidRDefault="000D102B" w:rsidP="000D102B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102B" w:rsidRPr="008415B3" w:rsidRDefault="000D102B" w:rsidP="000D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0D102B" w:rsidRPr="008415B3" w:rsidRDefault="000D102B" w:rsidP="000D102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 Міністрів України </w:t>
      </w:r>
      <w:r w:rsidRPr="008415B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>постановляє</w:t>
      </w:r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D102B" w:rsidRPr="00215476" w:rsidRDefault="000D102B" w:rsidP="000D10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54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</w:t>
      </w:r>
      <w:hyperlink r:id="rId10" w:anchor="n9" w:history="1">
        <w:r w:rsidRPr="0021547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такі</w:t>
        </w:r>
      </w:hyperlink>
      <w:r w:rsidRPr="002154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додаються:</w:t>
      </w:r>
    </w:p>
    <w:p w:rsidR="000D102B" w:rsidRDefault="000D102B" w:rsidP="000D102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надання закладу професійної (професійно-технічної) освіти статусу центру професійної досконалості, підтвердження чи позбавлення цього статусу;</w:t>
      </w:r>
    </w:p>
    <w:p w:rsidR="00224F98" w:rsidRPr="00224F98" w:rsidRDefault="00224F98" w:rsidP="00224F9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4F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224F9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24F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заявки</w:t>
      </w:r>
      <w:r w:rsidRPr="00224F9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24F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участь у відборі закладу професійної (професійно-технічної) освіти для надання (підтвердження) йому статусу центру професійної досконалості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D102B" w:rsidRPr="00215476" w:rsidRDefault="000D102B" w:rsidP="000D102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Критерії надання </w:t>
      </w:r>
      <w:r w:rsidR="00035E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підтвердження</w:t>
      </w:r>
      <w:r w:rsidR="00035E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статусу центру професійної досконалості закладу професійної (професійно-технічної) освіти.</w:t>
      </w:r>
    </w:p>
    <w:p w:rsidR="000D102B" w:rsidRPr="008415B3" w:rsidRDefault="000D102B" w:rsidP="000D102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Установити, що заклади професійної (професійно-технічної) освіти, яким надано статус центру професійної досконалості, проходять підтвердження </w:t>
      </w:r>
      <w:r w:rsidR="00B75C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статусу </w:t>
      </w:r>
      <w:r w:rsidRPr="00A444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кожні </w:t>
      </w:r>
      <w:r w:rsidR="00A44492" w:rsidRPr="00A444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років</w:t>
      </w:r>
      <w:r w:rsidRPr="00C754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D102B" w:rsidRDefault="000D102B" w:rsidP="000D102B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2B" w:rsidRPr="008415B3" w:rsidRDefault="000D102B" w:rsidP="000D102B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2B" w:rsidRPr="000D102B" w:rsidRDefault="000D102B" w:rsidP="000D102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</w:t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’єр-міністр України</w:t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О.ГОНЧАРУК</w:t>
      </w:r>
    </w:p>
    <w:p w:rsidR="000D102B" w:rsidRPr="008415B3" w:rsidRDefault="000D102B" w:rsidP="000D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86" w:rsidRDefault="008F7A86" w:rsidP="008F7A86">
      <w:pPr>
        <w:rPr>
          <w:color w:val="FFFFFF"/>
          <w:sz w:val="24"/>
          <w:szCs w:val="24"/>
          <w:lang w:eastAsia="ru-RU"/>
        </w:rPr>
      </w:pPr>
    </w:p>
    <w:p w:rsidR="008F7A86" w:rsidRDefault="008F7A86" w:rsidP="008F7A86">
      <w:pPr>
        <w:rPr>
          <w:color w:val="FFFFFF"/>
          <w:sz w:val="24"/>
          <w:szCs w:val="24"/>
        </w:rPr>
      </w:pPr>
    </w:p>
    <w:p w:rsidR="00215476" w:rsidRDefault="00215476" w:rsidP="00871B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sectPr w:rsidR="00215476" w:rsidSect="00AC69D1">
          <w:headerReference w:type="default" r:id="rId11"/>
          <w:footerReference w:type="default" r:id="rId12"/>
          <w:pgSz w:w="11906" w:h="16838"/>
          <w:pgMar w:top="851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0D102B" w:rsidRPr="009F4633" w:rsidRDefault="000D102B" w:rsidP="000D102B">
      <w:pPr>
        <w:spacing w:after="0" w:line="240" w:lineRule="auto"/>
        <w:ind w:left="5103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ЗАТВЕРДЖЕНО</w:t>
      </w:r>
      <w:r w:rsidRPr="009F463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9F46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F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постановою Кабінету Міністрів України</w:t>
      </w:r>
      <w:r w:rsidRPr="009F463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D102B" w:rsidRPr="009F4633" w:rsidRDefault="000D102B" w:rsidP="000D102B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від                  2019 </w:t>
      </w:r>
      <w:r w:rsidRPr="009F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р. №</w:t>
      </w:r>
    </w:p>
    <w:p w:rsidR="001D587A" w:rsidRDefault="001D587A" w:rsidP="00871B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476" w:rsidRPr="001D587A" w:rsidRDefault="00215476" w:rsidP="00871B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215476" w:rsidRPr="001D587A" w:rsidRDefault="00215476" w:rsidP="00871B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надання закладу професійної (професійно-технічної) освіти статусу центру професійної досконалості, підтвердження чи позбавлення цього статусу</w:t>
      </w:r>
    </w:p>
    <w:p w:rsidR="00215476" w:rsidRPr="00D30396" w:rsidRDefault="00215476" w:rsidP="00871B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76" w:rsidRDefault="00215476" w:rsidP="00871B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Загальна частина</w:t>
      </w:r>
    </w:p>
    <w:p w:rsidR="00841D66" w:rsidRPr="001D587A" w:rsidRDefault="00841D66" w:rsidP="00871B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2CC5" w:rsidRDefault="00822CC5" w:rsidP="00822C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порядок визначає процедуру надання закладу професійної (професійно-технічної) освіти</w:t>
      </w:r>
      <w:r w:rsidRPr="0082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незалежно від форми власності (далі – заклад освіти)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статусу центру професійної досконалості, підтвердження чи позбавлення цього статусу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CA3" w:rsidRPr="00822CC5" w:rsidRDefault="00B75CA3" w:rsidP="00B75CA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C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професійної досконалості – </w:t>
      </w:r>
      <w:r w:rsidRPr="00822C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статус, якого набуває багатофункціональний та (або) багатопрофільний заклад професійної (професійно-технічної) освіти, який забезпечує отримання якісної первинної та безперервної, формальної й неформальної професійної освіти та навчання для всіх вікових груп населення, здобуття професійних кваліфікацій, які відповідають третьому-п’ятому рівню Національної рамки кваліфікацій.</w:t>
      </w:r>
    </w:p>
    <w:p w:rsidR="00215476" w:rsidRDefault="0012613D" w:rsidP="00871BC0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закладу </w:t>
      </w:r>
      <w:r w:rsidR="003A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статусу центру професійної досконалості, підтвердження чи позбавлення його цього статусу здійснюється на основі </w:t>
      </w:r>
      <w:r w:rsidR="006535D5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6535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35D5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міністрів Автономної Республіки Крим, обласної, Київської та</w:t>
      </w:r>
      <w:r w:rsidR="00653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35D5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Севастопольської міської державної адміністрації на участь у відборі закладу освіти для надання </w:t>
      </w:r>
      <w:r w:rsidR="007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(підтвердження) </w:t>
      </w:r>
      <w:r w:rsidR="006535D5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 статусу центру професійної досконалості</w:t>
      </w:r>
      <w:r w:rsidR="0065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r w:rsidR="003A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критеріїв надання </w:t>
      </w:r>
      <w:r w:rsidR="007A7B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підтвердження</w:t>
      </w:r>
      <w:r w:rsidR="007A7B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статусу центру професійної досконалості закладу освіти</w:t>
      </w:r>
      <w:r w:rsidR="0021547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8C0" w:rsidRPr="001D587A" w:rsidRDefault="003A08C0" w:rsidP="00871BC0">
      <w:pPr>
        <w:tabs>
          <w:tab w:val="left" w:pos="562"/>
          <w:tab w:val="left" w:pos="113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B3B" w:rsidRPr="001D587A" w:rsidRDefault="003A08C0" w:rsidP="00871BC0">
      <w:pPr>
        <w:tabs>
          <w:tab w:val="left" w:pos="562"/>
          <w:tab w:val="left" w:pos="1134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Надання закладу професійної </w:t>
      </w:r>
      <w:r w:rsidR="00C67B3B" w:rsidRPr="001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(професійно-технічної) освіти </w:t>
      </w:r>
    </w:p>
    <w:p w:rsidR="003A08C0" w:rsidRDefault="003A08C0" w:rsidP="00871BC0">
      <w:pPr>
        <w:tabs>
          <w:tab w:val="left" w:pos="562"/>
          <w:tab w:val="left" w:pos="1134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статусу центру професійної досконалості</w:t>
      </w:r>
    </w:p>
    <w:p w:rsidR="00841D66" w:rsidRPr="001D587A" w:rsidRDefault="00841D66" w:rsidP="00871BC0">
      <w:pPr>
        <w:tabs>
          <w:tab w:val="left" w:pos="562"/>
          <w:tab w:val="left" w:pos="1134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EFF" w:rsidRDefault="003A08C0" w:rsidP="00871BC0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закладу освіти статусу центру професійної досконалості здійснюється </w:t>
      </w:r>
      <w:r w:rsidR="004B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основі </w:t>
      </w:r>
      <w:r w:rsidR="004B7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A44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відбору</w:t>
      </w:r>
      <w:r w:rsidR="004B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82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цього Порядку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</w:t>
      </w:r>
      <w:r w:rsidR="00A44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відбір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здобуття статусу центру професійної досконалості закладу освіти </w:t>
      </w:r>
      <w:r w:rsidR="004B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</w:t>
      </w:r>
      <w:r w:rsidR="00E04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конкурсний відбір</w:t>
      </w:r>
      <w:r w:rsidR="004B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оголошується </w:t>
      </w:r>
      <w:r w:rsidR="00573AAD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Міністерством освіти і науки України</w:t>
      </w:r>
      <w:r w:rsid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7EFF" w:rsidRDefault="00E04EEC" w:rsidP="00871BC0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Конкурсний відбір</w:t>
      </w:r>
      <w:r w:rsidR="004B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Міністерством освіти і науки України на засадах добровільності, відкритості, прозорості</w:t>
      </w:r>
      <w:r w:rsidR="00871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гласності</w:t>
      </w:r>
      <w:r w:rsidR="00871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рівності та об’єктивності</w:t>
      </w:r>
      <w:r w:rsidR="004B7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EFF" w:rsidRPr="004B7EFF" w:rsidRDefault="00B75CA3" w:rsidP="00871BC0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 подання заявок на участь закладу професійної (професійно-технічної) освіти у</w:t>
      </w:r>
      <w:r w:rsidR="004B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B7EFF" w:rsidRPr="004B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Рада міністрів Автономної Республіки Крим, обласні, Київська та Севастопольська міські державні адміністрації.</w:t>
      </w:r>
    </w:p>
    <w:p w:rsidR="000941AA" w:rsidRDefault="00C67B3B" w:rsidP="000941AA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Міністерством освіти і науки України утворюється комісія</w:t>
      </w:r>
      <w:r w:rsidR="004B7EFF" w:rsidRPr="004B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EFF"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34A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B7EFF"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відбору</w:t>
      </w:r>
      <w:r w:rsidR="004B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закладу освіти </w:t>
      </w:r>
      <w:r w:rsidR="004B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надання </w:t>
      </w:r>
      <w:r w:rsidR="00E0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йому </w:t>
      </w:r>
      <w:r w:rsidR="004B7EFF">
        <w:rPr>
          <w:rFonts w:ascii="Times New Roman" w:hAnsi="Times New Roman" w:cs="Times New Roman"/>
          <w:color w:val="000000" w:themeColor="text1"/>
          <w:sz w:val="28"/>
          <w:szCs w:val="28"/>
        </w:rPr>
        <w:t>статусу</w:t>
      </w:r>
      <w:r w:rsidR="0009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центру професійної досконалості</w:t>
      </w:r>
      <w:r w:rsidR="008B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конкурсна комісія)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9B1" w:rsidRDefault="004B7EFF" w:rsidP="000941AA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участі у </w:t>
      </w:r>
      <w:r w:rsidR="00E04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конкурсному відборі</w:t>
      </w: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міністрів Автономної Республіки Крим, обласні, Київська та Севастопольська міські державні адміністрації </w:t>
      </w:r>
      <w:r w:rsid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</w:t>
      </w:r>
      <w:r w:rsidR="006739B1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 справу, яка складається з: </w:t>
      </w:r>
    </w:p>
    <w:p w:rsidR="00871BC0" w:rsidRDefault="006739B1" w:rsidP="006739B1">
      <w:p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BC0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1BC0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міністрів Автономної Республіки Крим, обласної, Київської та</w:t>
      </w:r>
      <w:r w:rsid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1BC0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Севастопольської міської державної адміністрації на участь у від</w:t>
      </w:r>
      <w:r w:rsidR="007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борі закладу освіти для надання </w:t>
      </w:r>
      <w:r w:rsidR="00871BC0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 статусу центру професійної досконалості</w:t>
      </w:r>
      <w:r w:rsidR="004A221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2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оформлюється</w:t>
      </w:r>
      <w:r w:rsidR="004A2217" w:rsidRPr="008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рішення педагогічної ради закладу освіти</w:t>
      </w:r>
      <w:r w:rsidR="004A2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217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BC0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 додатком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BC0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217" w:rsidRPr="006739B1" w:rsidRDefault="004A2217" w:rsidP="004A2217">
      <w:pPr>
        <w:tabs>
          <w:tab w:val="left" w:pos="562"/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самоаналізу виконання закладом освіти критеріїв згідно з додатком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283" w:rsidRPr="00840283" w:rsidRDefault="00840283" w:rsidP="006739B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</w:t>
      </w:r>
      <w:r w:rsid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гічного плану розвитку закладу</w:t>
      </w:r>
      <w:r w:rsidRPr="0084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на період до підтвердження статусу центру професійної досконалості.</w:t>
      </w:r>
    </w:p>
    <w:p w:rsidR="00840283" w:rsidRPr="00B01FB3" w:rsidRDefault="00840283" w:rsidP="006739B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Конкурсні справи подаються до </w:t>
      </w:r>
      <w:r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</w:t>
      </w:r>
      <w:r w:rsidR="00D1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і науки України.</w:t>
      </w:r>
    </w:p>
    <w:p w:rsidR="006739B1" w:rsidRDefault="000A3AE5" w:rsidP="00AC69D1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 комісія </w:t>
      </w:r>
      <w:r w:rsidR="006739B1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розглядає всі конкурсні справи та на підставі </w:t>
      </w:r>
      <w:r w:rsidR="00F0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аналізу </w:t>
      </w:r>
      <w:r w:rsidR="004A2217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r w:rsidR="004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66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сумарний бал якої не може бути меншим за </w:t>
      </w:r>
      <w:r w:rsidR="00433B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06C0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балів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9B1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приймає </w:t>
      </w:r>
      <w:r w:rsidR="006739B1" w:rsidRPr="00433BB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6739B1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закладу освіти статусу </w:t>
      </w:r>
      <w:r w:rsid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 професійної досконалості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яке оформлюється у вигляді протоколу засідання конкурсної комісії</w:t>
      </w:r>
      <w:r w:rsid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9B1" w:rsidRPr="006739B1" w:rsidRDefault="006739B1" w:rsidP="006739B1">
      <w:p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виявлення недостовірної інформації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матеріалах конкурсної справи Міністерство</w:t>
      </w: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і науки України відмовляє в</w:t>
      </w:r>
      <w:r w:rsidR="000A3A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</w:t>
      </w:r>
      <w:r w:rsidR="000A3AE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освіти </w:t>
      </w: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статусу центру професійної досконалості. </w:t>
      </w:r>
    </w:p>
    <w:p w:rsidR="006739B1" w:rsidRDefault="006739B1" w:rsidP="000A3AE5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  <w:r w:rsidRPr="0028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основі протоколу конкурсної комісії упродовж </w:t>
      </w:r>
      <w:r w:rsidR="00B51522" w:rsidRPr="00B51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чотирнадцяти</w:t>
      </w:r>
      <w:r w:rsidR="000A3AE5" w:rsidRPr="00B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522" w:rsidRPr="00B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робочих </w:t>
      </w:r>
      <w:r w:rsidR="000A3AE5" w:rsidRPr="00B51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r w:rsidR="000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 наказ</w:t>
      </w:r>
      <w:r w:rsidRPr="0028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надання закладу освіти статусу цент</w:t>
      </w:r>
      <w:r w:rsid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83C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професійної досконалості.</w:t>
      </w:r>
    </w:p>
    <w:p w:rsidR="004E6CEE" w:rsidRDefault="004E6CEE" w:rsidP="004E6CEE">
      <w:pPr>
        <w:pStyle w:val="a3"/>
        <w:tabs>
          <w:tab w:val="left" w:pos="562"/>
          <w:tab w:val="left" w:pos="1134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EC" w:rsidRDefault="00E04EEC" w:rsidP="00E04EEC">
      <w:pPr>
        <w:pStyle w:val="a3"/>
        <w:tabs>
          <w:tab w:val="left" w:pos="562"/>
          <w:tab w:val="left" w:pos="1134"/>
        </w:tabs>
        <w:spacing w:after="0" w:line="240" w:lineRule="auto"/>
        <w:ind w:left="709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омісія з конкурсного відбору закладу освіти для надання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йому </w:t>
      </w:r>
      <w:r w:rsidRPr="00E0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статусу центру професійної досконалості</w:t>
      </w:r>
    </w:p>
    <w:p w:rsidR="00841D66" w:rsidRPr="00E04EEC" w:rsidRDefault="00841D66" w:rsidP="00E04EEC">
      <w:pPr>
        <w:pStyle w:val="a3"/>
        <w:tabs>
          <w:tab w:val="left" w:pos="562"/>
          <w:tab w:val="left" w:pos="1134"/>
        </w:tabs>
        <w:spacing w:after="0" w:line="240" w:lineRule="auto"/>
        <w:ind w:left="709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7D" w:rsidRDefault="00C36B7D" w:rsidP="0036466C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омісія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творюється у складі від </w:t>
      </w:r>
      <w:r w:rsidR="00D10B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10BF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</w:t>
      </w:r>
      <w:r w:rsidR="005C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складу </w:t>
      </w:r>
      <w:r w:rsidR="00E1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конкурсної </w:t>
      </w:r>
      <w:r w:rsidR="005C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входять представники Міністерства освіти і науки України, інших зацікавлених центральних органів виконавчої влади</w:t>
      </w:r>
      <w:r w:rsidR="00D10B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роботодавців, профспілок</w:t>
      </w:r>
      <w:r w:rsidR="005C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складу </w:t>
      </w:r>
      <w:r w:rsidR="00E1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конкурсної </w:t>
      </w:r>
      <w:r w:rsidR="005C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можуть залучатися представники громадських та</w:t>
      </w:r>
      <w:r w:rsidR="00E14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4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 організацій.</w:t>
      </w:r>
    </w:p>
    <w:p w:rsidR="000941AA" w:rsidRDefault="000941AA" w:rsidP="005C4236">
      <w:pPr>
        <w:tabs>
          <w:tab w:val="left" w:pos="562"/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Персональний склад к</w:t>
      </w:r>
      <w:r w:rsidR="0036466C" w:rsidRPr="005C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онкурсної комісії</w:t>
      </w:r>
      <w:r w:rsidR="005C4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її голова, заступник голови та секретар</w:t>
      </w:r>
      <w:r w:rsidRPr="005C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затверджу</w:t>
      </w:r>
      <w:r w:rsidR="005C42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наказом Міністерства освіти і науки України.</w:t>
      </w:r>
    </w:p>
    <w:p w:rsidR="00FA562D" w:rsidRDefault="00FA562D" w:rsidP="005C4236">
      <w:pPr>
        <w:tabs>
          <w:tab w:val="left" w:pos="562"/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конкурсної комісії не може бути особа, яка має особисту або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ділову зацікавленість щодо результатів діяльності конкурсної комісії.</w:t>
      </w:r>
    </w:p>
    <w:p w:rsidR="00C36B7D" w:rsidRDefault="004E4845" w:rsidP="00FA562D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36B7D">
        <w:rPr>
          <w:rFonts w:ascii="Times New Roman" w:hAnsi="Times New Roman" w:cs="Times New Roman"/>
          <w:sz w:val="28"/>
          <w:szCs w:val="28"/>
          <w:lang w:eastAsia="ru-RU"/>
        </w:rPr>
        <w:t>онкурсн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комісія </w:t>
      </w:r>
      <w:r w:rsidR="00B75CA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своїй діяльності керується такими принципами</w:t>
      </w:r>
      <w:r w:rsidR="00C36B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6B7D" w:rsidRDefault="00C36B7D" w:rsidP="00C36B7D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E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B7D" w:rsidRDefault="00C36B7D" w:rsidP="00C36B7D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колегіальність прийняття рішення;</w:t>
      </w:r>
    </w:p>
    <w:p w:rsidR="00C36B7D" w:rsidRDefault="00C36B7D" w:rsidP="00C36B7D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повнота та об’єктивність розгляду поданих відповідно до цього Порядку</w:t>
      </w:r>
      <w:r w:rsidRPr="00C3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документів;</w:t>
      </w:r>
    </w:p>
    <w:p w:rsidR="00C36B7D" w:rsidRDefault="00C36B7D" w:rsidP="00C36B7D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обґрунтованість прийнятих рішень;</w:t>
      </w:r>
    </w:p>
    <w:p w:rsidR="00C36B7D" w:rsidRDefault="00C36B7D" w:rsidP="00C36B7D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рівність усіх учасників конкурсу перед </w:t>
      </w:r>
      <w:r w:rsidR="007E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комісією;</w:t>
      </w:r>
    </w:p>
    <w:p w:rsidR="00C36B7D" w:rsidRDefault="004E4845" w:rsidP="00C36B7D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неупередженість та </w:t>
      </w:r>
      <w:r w:rsidR="00C36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 членів комісії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прийнятті рішень</w:t>
      </w:r>
      <w:r w:rsidR="00C36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90D" w:rsidRDefault="007E6D6B" w:rsidP="00E1490D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завданнями</w:t>
      </w:r>
      <w:r w:rsidR="00E1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конкурсної комісії є:</w:t>
      </w:r>
    </w:p>
    <w:p w:rsidR="00F93D1C" w:rsidRDefault="001F1909" w:rsidP="00F93D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r w:rsidR="00F9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документів, поданих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Міністерства освіти і науки України </w:t>
      </w:r>
      <w:r w:rsidR="00F93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3D1C" w:rsidRPr="00D30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закладу освіти статусу центру професійної досконалості, підтвердження чи позбавлення цього статусу</w:t>
      </w:r>
      <w:r w:rsidR="00F93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909" w:rsidRDefault="001F1909" w:rsidP="001F1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обґрунтованого рішення щодо </w:t>
      </w:r>
      <w:r w:rsidRPr="00D30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закладу освіти статусу центру професійної досконалості, підтвердження чи позбавлення цього статусу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909" w:rsidRDefault="001F1909" w:rsidP="001F1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="002A1F82" w:rsidRPr="002A1F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протоколів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засідань конкурсної комісії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CE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підготовка </w:t>
      </w:r>
      <w:proofErr w:type="spellStart"/>
      <w:r w:rsidR="00CE6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="00CE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</w:t>
      </w:r>
      <w:r w:rsidR="00CE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="00CE6061" w:rsidRPr="00D30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закладу освіти статусу центру професійної досконалості, підтвердження чи позбавлення цього статусу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909" w:rsidRDefault="00C606C0" w:rsidP="001F1909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роботи конкурсної комісії</w:t>
      </w:r>
      <w:r w:rsidR="00CE6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909" w:rsidRDefault="00C606C0" w:rsidP="001F1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 комісія розпочинає роботу з моменту підписання наказу про її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творення. Усі зміни до складу конкурсної комісії вносяться наказами Міністерства освіти і науки України.</w:t>
      </w:r>
    </w:p>
    <w:p w:rsidR="00C606C0" w:rsidRDefault="00C606C0" w:rsidP="001F1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 діяльністю конкурсної комісії та організовує її роботу голова конкурсної комісії.</w:t>
      </w:r>
      <w:r w:rsidR="00EB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156" w:rsidRDefault="00EB3156" w:rsidP="001F1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відсутності голови конкурсної комісії його обов’язки виконує заступник голови конкурсної комісії. </w:t>
      </w:r>
    </w:p>
    <w:p w:rsidR="00C606C0" w:rsidRDefault="00C606C0" w:rsidP="00C606C0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конкурсної комісії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покладених повноважень:</w:t>
      </w:r>
    </w:p>
    <w:p w:rsidR="00C606C0" w:rsidRDefault="00C606C0" w:rsidP="00535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засідання конкурсної комісії;</w:t>
      </w:r>
    </w:p>
    <w:p w:rsidR="00C606C0" w:rsidRDefault="00C606C0" w:rsidP="00535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головує на засіданнях конкурсної комісії;</w:t>
      </w:r>
    </w:p>
    <w:p w:rsidR="00C606C0" w:rsidRDefault="00C606C0" w:rsidP="00535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дає розпорядження та доручення, обов’язкові для виконання членами комісії;</w:t>
      </w:r>
    </w:p>
    <w:p w:rsidR="00C606C0" w:rsidRDefault="00C606C0" w:rsidP="00535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дає розпорядження та доручення спеціалістам, радникам, експертам, які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залучені до роботи конкурсної комісії;</w:t>
      </w:r>
    </w:p>
    <w:p w:rsidR="00C606C0" w:rsidRDefault="00C606C0" w:rsidP="00535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 підготовку матеріалів для подання на розгляд конкурсної комісії;</w:t>
      </w:r>
    </w:p>
    <w:p w:rsidR="00C606C0" w:rsidRDefault="00C606C0" w:rsidP="00535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 конкурсну комісію у відносинах з установами та</w:t>
      </w:r>
      <w:r w:rsidR="00535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r w:rsidR="00CE6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6C0" w:rsidRDefault="00C606C0" w:rsidP="00535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ведення протоколів засідан</w:t>
      </w:r>
      <w:r w:rsidR="00535B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конкурсної комісії.</w:t>
      </w:r>
    </w:p>
    <w:p w:rsidR="00535B26" w:rsidRDefault="00535B26" w:rsidP="00535B26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конкурсної комісії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покладених повноважень:</w:t>
      </w:r>
    </w:p>
    <w:p w:rsidR="00535B26" w:rsidRDefault="00535B26" w:rsidP="00535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всіх членів конкурсної комісії про заплановані засідання за три </w:t>
      </w:r>
      <w:r w:rsidR="0003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 до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їх проведення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надсила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поштою, електронною поштою, телефонограмою або факсом;</w:t>
      </w:r>
    </w:p>
    <w:p w:rsidR="00434ACC" w:rsidRDefault="00535B26" w:rsidP="00535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виконання доручень голови конкурсної комісії та несе відповідальність за підготовку матеріалів для розгляду конкурсною комісією та правильність ведення протоколів засідань конкурсної комісії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B26" w:rsidRDefault="00434ACC" w:rsidP="00535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 протоколи засідань конкурсної комісії</w:t>
      </w:r>
      <w:r w:rsidRP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відповідає за їх збереження</w:t>
      </w:r>
      <w:r w:rsidR="00535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B26" w:rsidRDefault="00535B26" w:rsidP="00535B26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конкурсної комісії зобов’язані брати участь у діяльності конкурсної комісії, виконувати розпорядження та доручення голови конкурсної комісії.</w:t>
      </w:r>
    </w:p>
    <w:p w:rsidR="00EB3156" w:rsidRDefault="00EB3156" w:rsidP="00EB3156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член конкурсної комісії двічі поспіль не бере участь у засіданні,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іністерство освіти і науки України може відповідним наказом припинити його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діяльність у складі конкурсної комісії та включити до </w:t>
      </w:r>
      <w:r w:rsidR="004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складу іншу кандидатуру. </w:t>
      </w:r>
    </w:p>
    <w:p w:rsidR="00535B26" w:rsidRDefault="00535B26" w:rsidP="00535B26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конкурсної комісії є правоможним, якщо участь у ньому взяли не менш як 2/3 усіх членів конкурсної комісії.</w:t>
      </w:r>
    </w:p>
    <w:p w:rsidR="00FA562D" w:rsidRDefault="00535B26" w:rsidP="00535B26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комісії мають рівне право голосу при прийняття рішень.</w:t>
      </w:r>
    </w:p>
    <w:p w:rsidR="00FA562D" w:rsidRPr="00D10BFD" w:rsidRDefault="00535B26" w:rsidP="00FA562D">
      <w:pPr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конкурсної комісії приймаються </w:t>
      </w:r>
      <w:r w:rsidRPr="00B9413F">
        <w:rPr>
          <w:rFonts w:ascii="Times New Roman" w:hAnsi="Times New Roman" w:cs="Times New Roman"/>
          <w:color w:val="000000" w:themeColor="text1"/>
          <w:sz w:val="28"/>
          <w:szCs w:val="28"/>
        </w:rPr>
        <w:t>шляхом відкритого голосування.</w:t>
      </w: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вважається прийнятим, якщо за нього проголосувал</w:t>
      </w:r>
      <w:r w:rsidR="00D10B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більш</w:t>
      </w:r>
      <w:r w:rsidR="00D10B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BFD">
        <w:rPr>
          <w:rFonts w:ascii="Times New Roman" w:hAnsi="Times New Roman" w:cs="Times New Roman"/>
          <w:color w:val="000000" w:themeColor="text1"/>
          <w:sz w:val="28"/>
          <w:szCs w:val="28"/>
        </w:rPr>
        <w:t>половини від загального числа членів конкурсної комісії.</w:t>
      </w:r>
      <w:r w:rsidRPr="00D10BFD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</w:p>
    <w:p w:rsidR="00535B26" w:rsidRPr="00FA562D" w:rsidRDefault="00535B26" w:rsidP="00FA562D">
      <w:pPr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>У разі рівного розподілу голосів вирішальним є голос головуючого на</w:t>
      </w:r>
      <w:r w:rsidR="00B941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засіданні.</w:t>
      </w:r>
    </w:p>
    <w:p w:rsidR="00FA562D" w:rsidRPr="007B27B6" w:rsidRDefault="00535B26" w:rsidP="00FA562D">
      <w:pPr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разі принципових розбіжностей в оцінках членів конкурсної комісії, проводиться їх додаткове обговорення на засіданні конкурсної комісії </w:t>
      </w:r>
      <w:r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>та за</w:t>
      </w:r>
      <w:r w:rsidR="00B9413F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такого обговорення може здійснюватися коригування оцінки.</w:t>
      </w:r>
      <w:r w:rsidR="00FA562D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4845" w:rsidRPr="007B27B6" w:rsidRDefault="004E4845" w:rsidP="00FA562D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 комісія приймає до розгляду конкурсну </w:t>
      </w:r>
      <w:r w:rsidR="00454419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 моніторингову </w:t>
      </w:r>
      <w:r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>справу відповідно до п. 8</w:t>
      </w:r>
      <w:r w:rsidR="00454419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>, п. 29</w:t>
      </w:r>
      <w:r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цього положення. У випадку, якщо перелік поданих документів</w:t>
      </w:r>
      <w:r w:rsidR="00454419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>, що входять до конкурсної</w:t>
      </w:r>
      <w:r w:rsidR="007B27B6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моніторингової</w:t>
      </w:r>
      <w:r w:rsidR="00454419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справи, не відповідає встановленим цим положенням вимогам, конкурсна</w:t>
      </w:r>
      <w:r w:rsidR="007B27B6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моніторингова</w:t>
      </w:r>
      <w:r w:rsidR="00454419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справа повертається учаснику конкурсного відбору, який </w:t>
      </w:r>
      <w:r w:rsidR="00FC74C1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r w:rsidR="00454419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4C1"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="00454419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робочих </w:t>
      </w:r>
      <w:r w:rsidR="00454419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днів має право повторно подати конкурсну </w:t>
      </w:r>
      <w:r w:rsidR="007B27B6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 моніторингову </w:t>
      </w:r>
      <w:r w:rsidR="00454419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>справу до розгляду конкурсній комісії.</w:t>
      </w:r>
    </w:p>
    <w:p w:rsidR="00FA562D" w:rsidRDefault="00FA562D" w:rsidP="00FA562D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 комісія проводит</w:t>
      </w:r>
      <w:r w:rsidR="004E484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поданих документів</w:t>
      </w:r>
      <w:r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Якщо виявлено недостовірність даних у документах, то такі документи повертаються </w:t>
      </w:r>
      <w:r w:rsidR="00454419"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>учаснику конкурсного відбору</w:t>
      </w:r>
      <w:r w:rsidRPr="007B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протягом</w:t>
      </w:r>
      <w:r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4C1">
        <w:rPr>
          <w:rFonts w:ascii="Times New Roman" w:hAnsi="Times New Roman" w:cs="Times New Roman"/>
          <w:color w:val="000000" w:themeColor="text1"/>
          <w:sz w:val="28"/>
          <w:szCs w:val="28"/>
        </w:rPr>
        <w:t>п’яти</w:t>
      </w:r>
      <w:r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робочих днів з письмовим повідомленням про причини повернення. </w:t>
      </w:r>
    </w:p>
    <w:p w:rsidR="00FA562D" w:rsidRDefault="00FA562D" w:rsidP="00FA562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>онкурсної комісії оформлюється протоколом, який підписують</w:t>
      </w:r>
      <w:r w:rsidR="0061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всі</w:t>
      </w:r>
      <w:r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12712">
        <w:rPr>
          <w:rFonts w:ascii="Times New Roman" w:hAnsi="Times New Roman" w:cs="Times New Roman"/>
          <w:color w:val="000000" w:themeColor="text1"/>
          <w:sz w:val="28"/>
          <w:szCs w:val="28"/>
        </w:rPr>
        <w:t>онкурсної комісії,</w:t>
      </w:r>
      <w:r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ерджує головуючий на засіданні</w:t>
      </w:r>
      <w:r w:rsidR="00AD02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2712" w:rsidRPr="0061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712"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434A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9257E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установлений строк подається для введення в дію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562D" w:rsidRDefault="00FA562D" w:rsidP="00FA56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6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підставі рішення </w:t>
      </w: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конкурсної комісії </w:t>
      </w:r>
      <w:r w:rsidR="00CE6061">
        <w:rPr>
          <w:rFonts w:ascii="Times New Roman" w:hAnsi="Times New Roman" w:cs="Times New Roman"/>
          <w:color w:val="000000" w:themeColor="text1"/>
          <w:sz w:val="28"/>
          <w:szCs w:val="28"/>
        </w:rPr>
        <w:t>видається наказ</w:t>
      </w: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Міністерства освіти і науки України</w:t>
      </w:r>
      <w:r w:rsidR="00CE6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CE6061" w:rsidRPr="00D30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закладу освіти статусу центру професійної досконалості, підтвердження чи позбавлення цього статусу</w:t>
      </w: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A562D" w:rsidRPr="00FA562D" w:rsidRDefault="00FA562D" w:rsidP="00FA56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Копія </w:t>
      </w:r>
      <w:r w:rsidR="00CE6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цього </w:t>
      </w:r>
      <w:r w:rsidRPr="00FA562D">
        <w:rPr>
          <w:rFonts w:ascii="Times New Roman" w:hAnsi="Times New Roman" w:cs="Times New Roman"/>
          <w:color w:val="000000" w:themeColor="text1"/>
          <w:sz w:val="28"/>
          <w:szCs w:val="28"/>
        </w:rPr>
        <w:t>наказу направляється до Ради міністрів Автономної Республіки Крим, обласних, Київської та Севастопольської міських державних адміністрацій.</w:t>
      </w:r>
    </w:p>
    <w:p w:rsidR="00FA562D" w:rsidRDefault="00FA562D" w:rsidP="00FA562D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 комісія має право утворювати у разі потреби для виконання покладених на неї завдань постійні </w:t>
      </w:r>
      <w:r w:rsidR="00CE6061">
        <w:rPr>
          <w:rFonts w:ascii="Times New Roman" w:hAnsi="Times New Roman" w:cs="Times New Roman"/>
          <w:color w:val="000000" w:themeColor="text1"/>
          <w:sz w:val="28"/>
          <w:szCs w:val="28"/>
        </w:rPr>
        <w:t>або тимчасові робочі, експертні групи</w:t>
      </w:r>
      <w:r w:rsidRPr="004E6C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562D" w:rsidRPr="003E73BB" w:rsidRDefault="00FA562D" w:rsidP="00FA562D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Інформаційно-аналітичне та організаційно-технічне забезпечення роботи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73BB">
        <w:rPr>
          <w:rFonts w:ascii="Times New Roman" w:hAnsi="Times New Roman" w:cs="Times New Roman"/>
          <w:color w:val="000000" w:themeColor="text1"/>
          <w:sz w:val="28"/>
          <w:szCs w:val="28"/>
        </w:rPr>
        <w:t>онкурсної комісії здійснюється структурними підрозділами Міністерства освіти і науки України відповідно до компетенції.</w:t>
      </w:r>
    </w:p>
    <w:p w:rsidR="00FA562D" w:rsidRDefault="00FA562D" w:rsidP="00FA562D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 комісія здійснює роботу у строки, визначені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 порядком</w:t>
      </w:r>
      <w:r w:rsidRPr="00E22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909" w:rsidRDefault="001F1909" w:rsidP="001F1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283CB5" w:rsidRDefault="00283CB5" w:rsidP="00B01FB3">
      <w:pPr>
        <w:pStyle w:val="a3"/>
        <w:tabs>
          <w:tab w:val="left" w:pos="562"/>
          <w:tab w:val="left" w:pos="113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Підтвердження чи позбавлення </w:t>
      </w:r>
      <w:r w:rsidR="00CE6061" w:rsidRPr="005B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закладу професійної (професійно-технічної) освіти </w:t>
      </w:r>
      <w:r w:rsidRPr="005B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статусу </w:t>
      </w:r>
      <w:r w:rsidR="0084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центру професійної досконалості</w:t>
      </w:r>
    </w:p>
    <w:p w:rsidR="00215476" w:rsidRPr="00B51522" w:rsidRDefault="00AA22C5" w:rsidP="00804254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Підтвердження статусу центру професійної досконалості закладу освіти здійснюється </w:t>
      </w:r>
      <w:r w:rsidR="0045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</w:t>
      </w:r>
      <w:r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E6061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>п’ять</w:t>
      </w:r>
      <w:r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років.</w:t>
      </w:r>
    </w:p>
    <w:p w:rsidR="00AA22C5" w:rsidRDefault="00B01FB3" w:rsidP="00804254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Рада міністрів Автономної Республіки Крим, обласні, Київська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Севастопольська міські державні адміністрації </w:t>
      </w:r>
      <w:r w:rsidR="00804254" w:rsidRPr="00871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рішення педагогічної ради закладу освіти</w:t>
      </w:r>
      <w:r w:rsidR="0080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підтвердження </w:t>
      </w:r>
      <w:r w:rsidR="00AA22C5"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22C5"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професійної досконалості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освіти </w:t>
      </w:r>
      <w:r w:rsidR="00AA22C5"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r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r w:rsidR="00AA22C5"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2C5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30 червня </w:t>
      </w:r>
      <w:r w:rsidR="00F726C3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>п’ятого</w:t>
      </w:r>
      <w:r w:rsidR="00AA22C5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після надання</w:t>
      </w:r>
      <w:r w:rsidR="00AA22C5"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(попереднього підтвердження)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AA22C5"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статусу </w:t>
      </w:r>
      <w:r w:rsidR="00AF2410" w:rsidRPr="00B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Міністерству освіти і науки України </w:t>
      </w:r>
      <w:r w:rsidR="005C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моніторингову справу.</w:t>
      </w:r>
      <w:r w:rsidR="009962DA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82F" w:rsidRDefault="005C782F" w:rsidP="00804254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Моніторингова справа складається </w:t>
      </w:r>
      <w:r w:rsidR="00B75CA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з:</w:t>
      </w:r>
    </w:p>
    <w:p w:rsidR="005C782F" w:rsidRPr="005C782F" w:rsidRDefault="005C782F" w:rsidP="00B75CA3">
      <w:pPr>
        <w:tabs>
          <w:tab w:val="left" w:pos="562"/>
          <w:tab w:val="left" w:pos="85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міністрів Автономної Республіки Крим, обласної, Київської та</w:t>
      </w:r>
      <w:r w:rsid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Севастопольської міської державної адміністрації </w:t>
      </w:r>
      <w:r w:rsidR="00AD02B5" w:rsidRPr="005C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D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підтвердження </w:t>
      </w:r>
      <w:r w:rsidR="00AD02B5" w:rsidRPr="005C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статусу центру професійної досконалості </w:t>
      </w:r>
      <w:r w:rsidR="00AD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освіти</w:t>
      </w:r>
      <w:r w:rsidR="00AD02B5"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 додатком </w:t>
      </w:r>
      <w:r w:rsidR="00AD02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82F" w:rsidRDefault="005C782F" w:rsidP="00804254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самоаналізу виконання закладом освіти, </w:t>
      </w:r>
      <w:r w:rsidR="005304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 надано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центру професійної досконалості, критеріїв згідно з додатком </w:t>
      </w:r>
      <w:r w:rsidR="00AD02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82F" w:rsidRPr="005C782F" w:rsidRDefault="005C782F" w:rsidP="0080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стратегічного плану розвитку закладу освіти на період до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наступного </w:t>
      </w:r>
      <w:r w:rsidRPr="005C7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підтвердження статусу центру професійної досконалості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освіти</w:t>
      </w:r>
      <w:r w:rsidRPr="005C7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A3D" w:rsidRDefault="00DA5E34" w:rsidP="00804254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 комісія </w:t>
      </w:r>
      <w:r w:rsidR="0081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розглядає всі моніторингові справи </w:t>
      </w:r>
      <w:r w:rsidR="0017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 підставі </w:t>
      </w:r>
      <w:r w:rsidR="00AD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та </w:t>
      </w:r>
      <w:r w:rsidR="0017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критеріїв приймає до </w:t>
      </w:r>
      <w:r w:rsidR="00175E4C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75CA3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75E4C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CA3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>вересня</w:t>
      </w:r>
      <w:r w:rsidR="00175E4C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поточного</w:t>
      </w:r>
      <w:r w:rsidR="0017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рішення про</w:t>
      </w:r>
      <w:r w:rsidR="00AD02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підтвердження </w:t>
      </w:r>
      <w:r w:rsidR="008B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освіти </w:t>
      </w:r>
      <w:r w:rsidR="0017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статусу центру професійної досконалості</w:t>
      </w:r>
      <w:r w:rsidR="000B7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571" w:rsidRDefault="000B7571" w:rsidP="00804254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виявлення недостовірної інформації </w:t>
      </w:r>
      <w:r w:rsidR="00AD02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DA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теріалах моніторингової справи конкурсна комісія приймає рішення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</w:t>
      </w:r>
      <w:r w:rsidR="00DA5E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 w:rsidR="00DA5E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статусу центру професійної досконалості незалежно від дати його надання чи</w:t>
      </w:r>
      <w:r w:rsid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підтвердження.</w:t>
      </w:r>
    </w:p>
    <w:p w:rsidR="00967271" w:rsidRPr="00B51522" w:rsidRDefault="00D04F91" w:rsidP="00B75CA3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 професійної освіти може бути позбавлений статусу центру професійної досконалості </w:t>
      </w:r>
      <w:r w:rsidR="00E3353C" w:rsidRPr="00B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достроково </w:t>
      </w:r>
      <w:r w:rsidRPr="00B5152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випадках</w:t>
      </w:r>
      <w:r w:rsidR="00967271" w:rsidRPr="00B51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5CA3" w:rsidRPr="00B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незадовільних результатів перевірок / інституційного аудиту.</w:t>
      </w:r>
    </w:p>
    <w:p w:rsidR="00B75CA3" w:rsidRDefault="00B75CA3" w:rsidP="00B75CA3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Заклади освіти, яким надано статус центру професійної досконалості, подають </w:t>
      </w:r>
      <w:r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>щороку до 30 квітня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Міністерству освіти і науки України та розміщують на власних офіційних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річний звіт про виконання критеріїв.</w:t>
      </w:r>
    </w:p>
    <w:p w:rsidR="00B75CA3" w:rsidRDefault="00B75CA3" w:rsidP="00B75CA3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неподання закладом освіти, якому надано статус центру професійної досконалості, річного звіту про дотримання відповідних критеріїв Міністерство освіти і науки України позбавляє заклад освіти статусу центру професійної досконалості незалежно від дати його надання чи підтвердження.</w:t>
      </w:r>
    </w:p>
    <w:p w:rsidR="000B7571" w:rsidRDefault="000B7571" w:rsidP="00804254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освіти і науки України </w:t>
      </w:r>
      <w:r w:rsidR="00DA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основі протоколу конкурсної комісії </w:t>
      </w:r>
      <w:r w:rsidR="00DA5E34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упродовж </w:t>
      </w:r>
      <w:r w:rsidR="00FC74C1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>чотирнадцяти</w:t>
      </w:r>
      <w:r w:rsidR="00DA5E34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4C1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робочих </w:t>
      </w:r>
      <w:r w:rsidR="00DA5E34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днів </w:t>
      </w:r>
      <w:r w:rsidR="00001DC8" w:rsidRPr="00B51522">
        <w:rPr>
          <w:rFonts w:ascii="Times New Roman" w:hAnsi="Times New Roman" w:cs="Times New Roman"/>
          <w:color w:val="000000" w:themeColor="text1"/>
          <w:sz w:val="28"/>
          <w:szCs w:val="28"/>
        </w:rPr>
        <w:t>видає</w:t>
      </w:r>
      <w:r w:rsidR="000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DA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підтвердження або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 закладу освіти статусу центру професійної досконалості.</w:t>
      </w:r>
    </w:p>
    <w:p w:rsidR="00FC74C1" w:rsidRDefault="000B7571" w:rsidP="008D3A44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трьох місяців з дня позбавлення закладу освіти статусу центру професійної досконалості засновником (засновниками) або</w:t>
      </w:r>
      <w:r w:rsidR="00596E21"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 ним (ними) органом (особою) виключаються</w:t>
      </w:r>
      <w:r w:rsidR="00596E21"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його найменування слова «центр професійної досконалості». </w:t>
      </w:r>
    </w:p>
    <w:p w:rsidR="000B7571" w:rsidRPr="00FC74C1" w:rsidRDefault="000B7571" w:rsidP="008D3A44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 справа про надання закладу освіти статусу центру професійної досконалості, який раніше був позбавлений цього статусу, приймається до розгляду не раніше ніж через два роки, а у разі позбавлення цього статусу відповідно до абзацу другого пункту </w:t>
      </w:r>
      <w:r w:rsidR="00AD02B5"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Порядку – </w:t>
      </w:r>
      <w:r w:rsidR="0076743F"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раніше ніж</w:t>
      </w:r>
      <w:r w:rsidR="00596E21"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743F"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8B7062"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76743F"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</w:t>
      </w:r>
      <w:r w:rsidR="008B7062"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4F91" w:rsidRPr="00FC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позбавлення статусу.</w:t>
      </w:r>
    </w:p>
    <w:p w:rsidR="0076743F" w:rsidRDefault="0076743F" w:rsidP="005B35D5">
      <w:pPr>
        <w:pStyle w:val="a3"/>
        <w:tabs>
          <w:tab w:val="left" w:pos="562"/>
          <w:tab w:val="left" w:pos="113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Реорганізація та ліквідація закладів професійної </w:t>
      </w:r>
      <w:r w:rsidR="00DA5E34" w:rsidRPr="005B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(професійно-технічної) </w:t>
      </w:r>
      <w:r w:rsidRPr="005B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освіти, </w:t>
      </w:r>
      <w:r w:rsidR="005304A4" w:rsidRPr="005B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яким надано</w:t>
      </w:r>
      <w:r w:rsidRPr="005B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статус </w:t>
      </w:r>
      <w:r w:rsidR="0084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центру професійної досконалості</w:t>
      </w:r>
    </w:p>
    <w:p w:rsidR="00841D66" w:rsidRPr="005B35D5" w:rsidRDefault="00841D66" w:rsidP="005B35D5">
      <w:pPr>
        <w:pStyle w:val="a3"/>
        <w:tabs>
          <w:tab w:val="left" w:pos="562"/>
          <w:tab w:val="left" w:pos="113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C5F" w:rsidRDefault="008E5C5F" w:rsidP="00804254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реорганізації закладу освіти, </w:t>
      </w:r>
      <w:r w:rsidR="00A55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 надано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центру професійної досконалості</w:t>
      </w:r>
      <w:r w:rsidR="008B70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його поділу або в разі ліквідації такого закладу освіти статус центру професійної досконалості втрачається. </w:t>
      </w:r>
    </w:p>
    <w:p w:rsidR="00007472" w:rsidRDefault="008E5C5F" w:rsidP="00804254">
      <w:pPr>
        <w:pStyle w:val="a3"/>
        <w:numPr>
          <w:ilvl w:val="0"/>
          <w:numId w:val="1"/>
        </w:numPr>
        <w:tabs>
          <w:tab w:val="left" w:pos="562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злиття за участю хоча б одного закладу освіти із</w:t>
      </w:r>
      <w:r w:rsidR="002811D1"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татусом центру професійної досконалості такий статус центру професійної досконалості зберігається за новоутвореним закладом освіти з</w:t>
      </w:r>
      <w:r w:rsid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 підтвердженням в</w:t>
      </w:r>
      <w:r w:rsidR="00007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 порядку</w:t>
      </w:r>
      <w:r w:rsidR="00B7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одного року з моменту реорганізації.</w:t>
      </w:r>
    </w:p>
    <w:p w:rsidR="00007472" w:rsidRDefault="00007472" w:rsidP="00007472">
      <w:p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62" w:rsidRDefault="008B7062" w:rsidP="00007472">
      <w:p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72" w:rsidRDefault="00007472" w:rsidP="00007472">
      <w:p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Генеральний директор </w:t>
      </w:r>
    </w:p>
    <w:p w:rsidR="00007472" w:rsidRDefault="00007472" w:rsidP="00007472">
      <w:p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директорату професійної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Ірина ШУМІК</w:t>
      </w:r>
    </w:p>
    <w:p w:rsidR="002811D1" w:rsidRPr="00007472" w:rsidRDefault="002811D1" w:rsidP="00007472">
      <w:pPr>
        <w:tabs>
          <w:tab w:val="left" w:pos="562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4A33" w:rsidRPr="00EE2AE5" w:rsidRDefault="00484A33" w:rsidP="00484A33">
      <w:pPr>
        <w:spacing w:after="0" w:line="240" w:lineRule="auto"/>
        <w:ind w:left="5103" w:firstLine="141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Додаток </w:t>
      </w:r>
      <w:r w:rsidR="00653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EE2AE5" w:rsidRDefault="002811D1" w:rsidP="00FB06E7">
      <w:pPr>
        <w:spacing w:after="0" w:line="240" w:lineRule="auto"/>
        <w:ind w:left="4395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 </w:t>
      </w:r>
      <w:r w:rsidR="00FB06E7"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Порядку надання закладу професійної (професійно-технічної) освіти статусу центру професійної досконалості, підтвердження чи позбавлення </w:t>
      </w:r>
    </w:p>
    <w:p w:rsidR="00484A33" w:rsidRPr="00EE2AE5" w:rsidRDefault="00FB06E7" w:rsidP="00FB06E7">
      <w:pPr>
        <w:spacing w:after="0" w:line="240" w:lineRule="auto"/>
        <w:ind w:left="4395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цього статусу</w:t>
      </w:r>
    </w:p>
    <w:p w:rsidR="00484A33" w:rsidRPr="00F455A1" w:rsidRDefault="00484A33" w:rsidP="00484A33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D1" w:rsidRPr="00F455A1" w:rsidRDefault="002811D1" w:rsidP="00AC69D1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33" w:rsidRPr="00F455A1" w:rsidRDefault="004E6CEE" w:rsidP="00AC69D1">
      <w:pPr>
        <w:pStyle w:val="rvps6"/>
        <w:shd w:val="clear" w:color="auto" w:fill="FFFFFF"/>
        <w:spacing w:before="0" w:beforeAutospacing="0" w:after="0" w:afterAutospacing="0"/>
        <w:contextualSpacing/>
        <w:jc w:val="center"/>
        <w:rPr>
          <w:rStyle w:val="rvts23"/>
          <w:rFonts w:eastAsiaTheme="majorEastAsia"/>
          <w:bCs/>
          <w:color w:val="000000"/>
          <w:sz w:val="28"/>
          <w:szCs w:val="28"/>
        </w:rPr>
      </w:pPr>
      <w:r w:rsidRPr="00F455A1">
        <w:rPr>
          <w:rStyle w:val="rvts23"/>
          <w:rFonts w:eastAsiaTheme="majorEastAsia"/>
          <w:bCs/>
          <w:color w:val="000000"/>
          <w:sz w:val="28"/>
          <w:szCs w:val="28"/>
        </w:rPr>
        <w:t xml:space="preserve">ФОРМА ЗАЯВКИ </w:t>
      </w:r>
    </w:p>
    <w:p w:rsidR="00484A33" w:rsidRDefault="004573B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eastAsiaTheme="majorEastAsia"/>
          <w:bCs/>
          <w:color w:val="000000"/>
          <w:sz w:val="28"/>
          <w:szCs w:val="28"/>
        </w:rPr>
      </w:pPr>
      <w:r w:rsidRPr="004573B3">
        <w:rPr>
          <w:rFonts w:eastAsiaTheme="majorEastAsia"/>
          <w:bCs/>
          <w:color w:val="000000"/>
          <w:sz w:val="28"/>
          <w:szCs w:val="28"/>
        </w:rPr>
        <w:t xml:space="preserve">на участь у відборі закладу </w:t>
      </w:r>
      <w:r>
        <w:rPr>
          <w:rFonts w:eastAsiaTheme="majorEastAsia"/>
          <w:bCs/>
          <w:color w:val="000000"/>
          <w:sz w:val="28"/>
          <w:szCs w:val="28"/>
        </w:rPr>
        <w:t xml:space="preserve">професійної (професійно-технічної) </w:t>
      </w:r>
      <w:r w:rsidRPr="004573B3">
        <w:rPr>
          <w:rFonts w:eastAsiaTheme="majorEastAsia"/>
          <w:bCs/>
          <w:color w:val="000000"/>
          <w:sz w:val="28"/>
          <w:szCs w:val="28"/>
        </w:rPr>
        <w:t>освіти для</w:t>
      </w:r>
      <w:r>
        <w:rPr>
          <w:rFonts w:eastAsiaTheme="majorEastAsia"/>
          <w:bCs/>
          <w:color w:val="000000"/>
          <w:sz w:val="28"/>
          <w:szCs w:val="28"/>
        </w:rPr>
        <w:t> </w:t>
      </w:r>
      <w:r w:rsidRPr="004573B3">
        <w:rPr>
          <w:rFonts w:eastAsiaTheme="majorEastAsia"/>
          <w:bCs/>
          <w:color w:val="000000"/>
          <w:sz w:val="28"/>
          <w:szCs w:val="28"/>
        </w:rPr>
        <w:t xml:space="preserve">надання </w:t>
      </w:r>
      <w:r>
        <w:rPr>
          <w:rFonts w:eastAsiaTheme="majorEastAsia"/>
          <w:bCs/>
          <w:color w:val="000000"/>
          <w:sz w:val="28"/>
          <w:szCs w:val="28"/>
        </w:rPr>
        <w:t xml:space="preserve">(підтвердження) </w:t>
      </w:r>
      <w:r w:rsidRPr="004573B3">
        <w:rPr>
          <w:rFonts w:eastAsiaTheme="majorEastAsia"/>
          <w:bCs/>
          <w:color w:val="000000"/>
          <w:sz w:val="28"/>
          <w:szCs w:val="28"/>
        </w:rPr>
        <w:t>йому статусу центру професійної досконалості</w:t>
      </w:r>
    </w:p>
    <w:p w:rsidR="004573B3" w:rsidRPr="00F455A1" w:rsidRDefault="004573B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rvts23"/>
          <w:rFonts w:eastAsiaTheme="majorEastAsia"/>
          <w:bCs/>
          <w:color w:val="000000"/>
          <w:sz w:val="28"/>
          <w:szCs w:val="28"/>
        </w:rPr>
      </w:pPr>
    </w:p>
    <w:p w:rsidR="00484A33" w:rsidRPr="00AC69D1" w:rsidRDefault="00484A3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>1. Резюме</w:t>
      </w:r>
    </w:p>
    <w:p w:rsidR="00484A33" w:rsidRPr="00AC69D1" w:rsidRDefault="00484A3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>1.1. Найменування області</w:t>
      </w:r>
      <w:r w:rsidR="004573B3">
        <w:rPr>
          <w:color w:val="000000"/>
          <w:sz w:val="28"/>
          <w:szCs w:val="28"/>
        </w:rPr>
        <w:t xml:space="preserve"> (</w:t>
      </w:r>
      <w:r w:rsidR="003F0B26">
        <w:rPr>
          <w:color w:val="000000"/>
          <w:sz w:val="28"/>
          <w:szCs w:val="28"/>
        </w:rPr>
        <w:t xml:space="preserve">Автономна Республіка Крим, </w:t>
      </w:r>
      <w:r w:rsidR="004573B3">
        <w:rPr>
          <w:color w:val="000000"/>
          <w:sz w:val="28"/>
          <w:szCs w:val="28"/>
        </w:rPr>
        <w:t>м. Київ, м.</w:t>
      </w:r>
      <w:r w:rsidR="003F0B26">
        <w:rPr>
          <w:color w:val="000000"/>
          <w:sz w:val="28"/>
          <w:szCs w:val="28"/>
        </w:rPr>
        <w:t> </w:t>
      </w:r>
      <w:r w:rsidR="004573B3">
        <w:rPr>
          <w:color w:val="000000"/>
          <w:sz w:val="28"/>
          <w:szCs w:val="28"/>
        </w:rPr>
        <w:t>Севастополь)</w:t>
      </w:r>
    </w:p>
    <w:p w:rsidR="00484A33" w:rsidRDefault="00484A3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 xml:space="preserve">1.2. Коротка характеристика </w:t>
      </w:r>
      <w:r w:rsidR="00051382">
        <w:rPr>
          <w:color w:val="000000"/>
          <w:sz w:val="28"/>
          <w:szCs w:val="28"/>
        </w:rPr>
        <w:t>закладу освіти, якому надається (підтверджується) статус</w:t>
      </w:r>
      <w:r w:rsidR="00591C71">
        <w:rPr>
          <w:color w:val="000000"/>
          <w:sz w:val="28"/>
          <w:szCs w:val="28"/>
        </w:rPr>
        <w:t xml:space="preserve"> </w:t>
      </w:r>
      <w:r w:rsidR="00051382">
        <w:rPr>
          <w:color w:val="000000"/>
          <w:sz w:val="28"/>
          <w:szCs w:val="28"/>
        </w:rPr>
        <w:t>ц</w:t>
      </w:r>
      <w:r w:rsidRPr="00AC69D1">
        <w:rPr>
          <w:color w:val="000000"/>
          <w:sz w:val="28"/>
          <w:szCs w:val="28"/>
        </w:rPr>
        <w:t>ентр</w:t>
      </w:r>
      <w:r w:rsidR="00051382">
        <w:rPr>
          <w:color w:val="000000"/>
          <w:sz w:val="28"/>
          <w:szCs w:val="28"/>
        </w:rPr>
        <w:t>у</w:t>
      </w:r>
      <w:r w:rsidRPr="00AC69D1">
        <w:rPr>
          <w:color w:val="000000"/>
          <w:sz w:val="28"/>
          <w:szCs w:val="28"/>
        </w:rPr>
        <w:t xml:space="preserve"> професійної досконалості:</w:t>
      </w:r>
    </w:p>
    <w:p w:rsidR="004573B3" w:rsidRPr="00AC69D1" w:rsidRDefault="004573B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641"/>
        <w:gridCol w:w="1983"/>
        <w:gridCol w:w="2046"/>
        <w:gridCol w:w="1696"/>
      </w:tblGrid>
      <w:tr w:rsidR="00484A33" w:rsidRPr="0081595E" w:rsidTr="007B3372">
        <w:trPr>
          <w:jc w:val="center"/>
        </w:trPr>
        <w:tc>
          <w:tcPr>
            <w:tcW w:w="2263" w:type="dxa"/>
            <w:vMerge w:val="restart"/>
            <w:vAlign w:val="center"/>
          </w:tcPr>
          <w:p w:rsidR="00484A33" w:rsidRPr="0081595E" w:rsidRDefault="00484A33" w:rsidP="00BC552A">
            <w:pPr>
              <w:pStyle w:val="rvps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1595E">
              <w:rPr>
                <w:color w:val="000000"/>
                <w:sz w:val="28"/>
                <w:szCs w:val="28"/>
                <w:lang w:val="uk-UA"/>
              </w:rPr>
              <w:t xml:space="preserve">Назва закладу </w:t>
            </w:r>
            <w:r w:rsidR="00591C71" w:rsidRPr="0081595E">
              <w:rPr>
                <w:color w:val="000000"/>
                <w:sz w:val="28"/>
                <w:szCs w:val="28"/>
                <w:lang w:val="uk-UA"/>
              </w:rPr>
              <w:t xml:space="preserve">освіти </w:t>
            </w:r>
          </w:p>
        </w:tc>
        <w:tc>
          <w:tcPr>
            <w:tcW w:w="1641" w:type="dxa"/>
            <w:vMerge w:val="restart"/>
            <w:vAlign w:val="center"/>
          </w:tcPr>
          <w:p w:rsidR="00484A33" w:rsidRPr="0081595E" w:rsidRDefault="00D04C42" w:rsidP="00C011B6">
            <w:pPr>
              <w:pStyle w:val="rvps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1595E">
              <w:rPr>
                <w:color w:val="000000"/>
                <w:sz w:val="28"/>
                <w:szCs w:val="28"/>
                <w:lang w:val="uk-UA"/>
              </w:rPr>
              <w:t>Юридична адреса</w:t>
            </w:r>
            <w:r w:rsidR="00EB7E03">
              <w:rPr>
                <w:color w:val="000000"/>
                <w:sz w:val="28"/>
                <w:szCs w:val="28"/>
                <w:lang w:val="uk-UA"/>
              </w:rPr>
              <w:t xml:space="preserve"> закладу </w:t>
            </w:r>
            <w:r w:rsidR="00EB7E03" w:rsidRPr="0081595E">
              <w:rPr>
                <w:color w:val="000000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983" w:type="dxa"/>
            <w:vMerge w:val="restart"/>
            <w:vAlign w:val="center"/>
          </w:tcPr>
          <w:p w:rsidR="00484A33" w:rsidRPr="0081595E" w:rsidRDefault="00484A33" w:rsidP="00EB7E03">
            <w:pPr>
              <w:pStyle w:val="rvps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1595E">
              <w:rPr>
                <w:color w:val="000000"/>
                <w:sz w:val="28"/>
                <w:szCs w:val="28"/>
                <w:lang w:val="uk-UA"/>
              </w:rPr>
              <w:t xml:space="preserve">Галузеве спрямування </w:t>
            </w:r>
            <w:r w:rsidR="00EB7E03">
              <w:rPr>
                <w:color w:val="000000"/>
                <w:sz w:val="28"/>
                <w:szCs w:val="28"/>
                <w:lang w:val="uk-UA"/>
              </w:rPr>
              <w:t xml:space="preserve">закладу </w:t>
            </w:r>
            <w:r w:rsidR="00EB7E03" w:rsidRPr="0081595E">
              <w:rPr>
                <w:color w:val="000000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3742" w:type="dxa"/>
            <w:gridSpan w:val="2"/>
            <w:vAlign w:val="center"/>
          </w:tcPr>
          <w:p w:rsidR="00484A33" w:rsidRPr="0081595E" w:rsidRDefault="00484A33" w:rsidP="007B3372">
            <w:pPr>
              <w:pStyle w:val="rvps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1595E">
              <w:rPr>
                <w:color w:val="000000"/>
                <w:sz w:val="28"/>
                <w:szCs w:val="28"/>
                <w:lang w:val="uk-UA"/>
              </w:rPr>
              <w:t>Потр</w:t>
            </w:r>
            <w:r w:rsidR="00EB7E03">
              <w:rPr>
                <w:color w:val="000000"/>
                <w:sz w:val="28"/>
                <w:szCs w:val="28"/>
                <w:lang w:val="uk-UA"/>
              </w:rPr>
              <w:t>еба у фінансовій підтримці (тис грн</w:t>
            </w:r>
            <w:r w:rsidRPr="0081595E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484A33" w:rsidRPr="0081595E" w:rsidTr="00EB7E03">
        <w:trPr>
          <w:jc w:val="center"/>
        </w:trPr>
        <w:tc>
          <w:tcPr>
            <w:tcW w:w="2263" w:type="dxa"/>
            <w:vMerge/>
            <w:vAlign w:val="center"/>
          </w:tcPr>
          <w:p w:rsidR="00484A33" w:rsidRPr="0081595E" w:rsidRDefault="00484A33" w:rsidP="007B3372">
            <w:pPr>
              <w:pStyle w:val="rvps6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vMerge/>
            <w:vAlign w:val="center"/>
          </w:tcPr>
          <w:p w:rsidR="00484A33" w:rsidRPr="0081595E" w:rsidRDefault="00484A33" w:rsidP="007B3372">
            <w:pPr>
              <w:pStyle w:val="rvps6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vMerge/>
            <w:vAlign w:val="center"/>
          </w:tcPr>
          <w:p w:rsidR="00484A33" w:rsidRPr="0081595E" w:rsidRDefault="00484A33" w:rsidP="007B3372">
            <w:pPr>
              <w:pStyle w:val="rvps6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  <w:vAlign w:val="center"/>
          </w:tcPr>
          <w:p w:rsidR="00484A33" w:rsidRPr="0081595E" w:rsidRDefault="00EB7E03" w:rsidP="007B3372">
            <w:pPr>
              <w:pStyle w:val="rvps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1595E">
              <w:rPr>
                <w:color w:val="000000"/>
                <w:sz w:val="28"/>
                <w:szCs w:val="28"/>
                <w:lang w:val="uk-UA"/>
              </w:rPr>
              <w:t>Будівництво / реконструкція</w:t>
            </w:r>
          </w:p>
        </w:tc>
        <w:tc>
          <w:tcPr>
            <w:tcW w:w="1696" w:type="dxa"/>
            <w:vAlign w:val="center"/>
          </w:tcPr>
          <w:p w:rsidR="00484A33" w:rsidRPr="0081595E" w:rsidRDefault="00EB7E03" w:rsidP="007B3372">
            <w:pPr>
              <w:pStyle w:val="rvps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1595E">
              <w:rPr>
                <w:color w:val="000000"/>
                <w:sz w:val="28"/>
                <w:szCs w:val="28"/>
                <w:lang w:val="uk-UA"/>
              </w:rPr>
              <w:t>Обладнання</w:t>
            </w:r>
          </w:p>
        </w:tc>
      </w:tr>
      <w:tr w:rsidR="00484A33" w:rsidRPr="0081595E" w:rsidTr="00EB7E03">
        <w:trPr>
          <w:jc w:val="center"/>
        </w:trPr>
        <w:tc>
          <w:tcPr>
            <w:tcW w:w="2263" w:type="dxa"/>
          </w:tcPr>
          <w:p w:rsidR="00484A33" w:rsidRPr="0081595E" w:rsidRDefault="00484A33" w:rsidP="007B3372">
            <w:pPr>
              <w:pStyle w:val="rvps6"/>
              <w:spacing w:before="0" w:beforeAutospacing="0" w:after="0" w:afterAutospacing="0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</w:tcPr>
          <w:p w:rsidR="00484A33" w:rsidRPr="0081595E" w:rsidRDefault="00484A33" w:rsidP="007B3372">
            <w:pPr>
              <w:pStyle w:val="rvps6"/>
              <w:spacing w:before="0" w:beforeAutospacing="0" w:after="0" w:afterAutospacing="0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484A33" w:rsidRPr="0081595E" w:rsidRDefault="00484A33" w:rsidP="007B3372">
            <w:pPr>
              <w:pStyle w:val="rvps6"/>
              <w:spacing w:before="0" w:beforeAutospacing="0" w:after="0" w:afterAutospacing="0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484A33" w:rsidRPr="0081595E" w:rsidRDefault="00484A33" w:rsidP="007B3372">
            <w:pPr>
              <w:pStyle w:val="rvps6"/>
              <w:spacing w:before="0" w:beforeAutospacing="0" w:after="0" w:afterAutospacing="0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</w:tcPr>
          <w:p w:rsidR="00484A33" w:rsidRPr="0081595E" w:rsidRDefault="00484A33" w:rsidP="007B3372">
            <w:pPr>
              <w:pStyle w:val="rvps6"/>
              <w:spacing w:before="0" w:beforeAutospacing="0" w:after="0" w:afterAutospacing="0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573B3" w:rsidRDefault="004573B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04C42" w:rsidRPr="00AC69D1" w:rsidRDefault="00484A33" w:rsidP="00D04C4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>2. Характеристика області</w:t>
      </w:r>
      <w:r w:rsidR="00D04C42">
        <w:rPr>
          <w:color w:val="000000"/>
          <w:sz w:val="28"/>
          <w:szCs w:val="28"/>
        </w:rPr>
        <w:t xml:space="preserve"> (</w:t>
      </w:r>
      <w:r w:rsidR="003F0B26" w:rsidRPr="003F0B26">
        <w:rPr>
          <w:color w:val="000000"/>
          <w:sz w:val="28"/>
          <w:szCs w:val="28"/>
        </w:rPr>
        <w:t>Автономн</w:t>
      </w:r>
      <w:r w:rsidR="003F0B26">
        <w:rPr>
          <w:color w:val="000000"/>
          <w:sz w:val="28"/>
          <w:szCs w:val="28"/>
        </w:rPr>
        <w:t>ої</w:t>
      </w:r>
      <w:r w:rsidR="003F0B26" w:rsidRPr="003F0B26">
        <w:rPr>
          <w:color w:val="000000"/>
          <w:sz w:val="28"/>
          <w:szCs w:val="28"/>
        </w:rPr>
        <w:t xml:space="preserve"> Республік</w:t>
      </w:r>
      <w:r w:rsidR="003F0B26">
        <w:rPr>
          <w:color w:val="000000"/>
          <w:sz w:val="28"/>
          <w:szCs w:val="28"/>
        </w:rPr>
        <w:t>и</w:t>
      </w:r>
      <w:r w:rsidR="003F0B26" w:rsidRPr="003F0B26">
        <w:rPr>
          <w:color w:val="000000"/>
          <w:sz w:val="28"/>
          <w:szCs w:val="28"/>
        </w:rPr>
        <w:t xml:space="preserve"> Крим, </w:t>
      </w:r>
      <w:r w:rsidR="00D04C42">
        <w:rPr>
          <w:color w:val="000000"/>
          <w:sz w:val="28"/>
          <w:szCs w:val="28"/>
        </w:rPr>
        <w:t>м. Києва, м.</w:t>
      </w:r>
      <w:r w:rsidR="003F0B26">
        <w:rPr>
          <w:color w:val="000000"/>
          <w:sz w:val="28"/>
          <w:szCs w:val="28"/>
        </w:rPr>
        <w:t> </w:t>
      </w:r>
      <w:r w:rsidR="00D04C42">
        <w:rPr>
          <w:color w:val="000000"/>
          <w:sz w:val="28"/>
          <w:szCs w:val="28"/>
        </w:rPr>
        <w:t>Севастополя)</w:t>
      </w:r>
    </w:p>
    <w:p w:rsidR="00484A33" w:rsidRPr="00AC69D1" w:rsidRDefault="00484A3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>2.1. </w:t>
      </w:r>
      <w:r w:rsidR="00BC552A">
        <w:rPr>
          <w:color w:val="000000"/>
          <w:sz w:val="28"/>
          <w:szCs w:val="28"/>
        </w:rPr>
        <w:t>Стан і перспективи</w:t>
      </w:r>
      <w:r w:rsidRPr="00AC69D1">
        <w:rPr>
          <w:color w:val="000000"/>
          <w:sz w:val="28"/>
          <w:szCs w:val="28"/>
        </w:rPr>
        <w:t xml:space="preserve"> економічного розвитку області</w:t>
      </w:r>
      <w:r w:rsidR="00D04C42">
        <w:rPr>
          <w:color w:val="000000"/>
          <w:sz w:val="28"/>
          <w:szCs w:val="28"/>
        </w:rPr>
        <w:t xml:space="preserve"> (</w:t>
      </w:r>
      <w:r w:rsidR="003F0B26" w:rsidRPr="003F0B26">
        <w:rPr>
          <w:color w:val="000000"/>
          <w:sz w:val="28"/>
          <w:szCs w:val="28"/>
        </w:rPr>
        <w:t>Автономн</w:t>
      </w:r>
      <w:r w:rsidR="003F0B26">
        <w:rPr>
          <w:color w:val="000000"/>
          <w:sz w:val="28"/>
          <w:szCs w:val="28"/>
        </w:rPr>
        <w:t>ої</w:t>
      </w:r>
      <w:r w:rsidR="003F0B26" w:rsidRPr="003F0B26">
        <w:rPr>
          <w:color w:val="000000"/>
          <w:sz w:val="28"/>
          <w:szCs w:val="28"/>
        </w:rPr>
        <w:t xml:space="preserve"> Республік</w:t>
      </w:r>
      <w:r w:rsidR="003F0B26">
        <w:rPr>
          <w:color w:val="000000"/>
          <w:sz w:val="28"/>
          <w:szCs w:val="28"/>
        </w:rPr>
        <w:t>и</w:t>
      </w:r>
      <w:r w:rsidR="003F0B26" w:rsidRPr="003F0B26">
        <w:rPr>
          <w:color w:val="000000"/>
          <w:sz w:val="28"/>
          <w:szCs w:val="28"/>
        </w:rPr>
        <w:t xml:space="preserve"> Крим, </w:t>
      </w:r>
      <w:r w:rsidR="00D04C42">
        <w:rPr>
          <w:color w:val="000000"/>
          <w:sz w:val="28"/>
          <w:szCs w:val="28"/>
        </w:rPr>
        <w:t xml:space="preserve">м. </w:t>
      </w:r>
      <w:r w:rsidR="00BC552A">
        <w:rPr>
          <w:color w:val="000000"/>
          <w:sz w:val="28"/>
          <w:szCs w:val="28"/>
        </w:rPr>
        <w:t xml:space="preserve">Києва, </w:t>
      </w:r>
      <w:r w:rsidR="00D04C42">
        <w:rPr>
          <w:color w:val="000000"/>
          <w:sz w:val="28"/>
          <w:szCs w:val="28"/>
        </w:rPr>
        <w:t>м. </w:t>
      </w:r>
      <w:r w:rsidR="00BC552A">
        <w:rPr>
          <w:color w:val="000000"/>
          <w:sz w:val="28"/>
          <w:szCs w:val="28"/>
        </w:rPr>
        <w:t>Севастополя)</w:t>
      </w:r>
    </w:p>
    <w:p w:rsidR="00484A33" w:rsidRPr="00AC69D1" w:rsidRDefault="00484A3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 xml:space="preserve">(обсяг – 1 сторінка, </w:t>
      </w:r>
      <w:r w:rsidR="00F248CA">
        <w:rPr>
          <w:color w:val="000000"/>
          <w:sz w:val="28"/>
          <w:szCs w:val="28"/>
        </w:rPr>
        <w:t xml:space="preserve">до </w:t>
      </w:r>
      <w:r w:rsidRPr="00AC69D1">
        <w:rPr>
          <w:color w:val="000000"/>
          <w:sz w:val="28"/>
          <w:szCs w:val="28"/>
        </w:rPr>
        <w:t>8 балів)</w:t>
      </w:r>
    </w:p>
    <w:p w:rsidR="00484A33" w:rsidRPr="00AC69D1" w:rsidRDefault="00484A3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 xml:space="preserve">(Коротка інформація про ключові показники та економічні тенденції, характеристика пріоритетних секторів економіки, перспективи їх розвитку. </w:t>
      </w:r>
      <w:r w:rsidR="00D04C42">
        <w:rPr>
          <w:color w:val="000000"/>
          <w:sz w:val="28"/>
          <w:szCs w:val="28"/>
        </w:rPr>
        <w:t>Соціально-е</w:t>
      </w:r>
      <w:r w:rsidR="00BC552A">
        <w:rPr>
          <w:color w:val="000000"/>
          <w:sz w:val="28"/>
          <w:szCs w:val="28"/>
        </w:rPr>
        <w:t>кономічні зв’язки</w:t>
      </w:r>
      <w:r w:rsidRPr="00AC69D1">
        <w:rPr>
          <w:color w:val="000000"/>
          <w:sz w:val="28"/>
          <w:szCs w:val="28"/>
        </w:rPr>
        <w:t xml:space="preserve"> із сусідніми областями).</w:t>
      </w:r>
    </w:p>
    <w:p w:rsidR="00484A33" w:rsidRPr="00AC69D1" w:rsidRDefault="00484A3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 xml:space="preserve">2.2. Демографічна ситуація та регіональний ринок праці </w:t>
      </w:r>
    </w:p>
    <w:p w:rsidR="00B87AEA" w:rsidRDefault="00484A33" w:rsidP="00B87AEA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 xml:space="preserve">(обсяг – 1,5 сторінки, </w:t>
      </w:r>
      <w:r w:rsidR="00F248CA">
        <w:rPr>
          <w:color w:val="000000"/>
          <w:sz w:val="28"/>
          <w:szCs w:val="28"/>
        </w:rPr>
        <w:t xml:space="preserve">до </w:t>
      </w:r>
      <w:r w:rsidR="000B719C">
        <w:rPr>
          <w:color w:val="000000"/>
          <w:sz w:val="28"/>
          <w:szCs w:val="28"/>
        </w:rPr>
        <w:t>5 балів)</w:t>
      </w:r>
    </w:p>
    <w:p w:rsidR="00B87AEA" w:rsidRPr="00B87AEA" w:rsidRDefault="00B87AEA" w:rsidP="00B87AEA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87AEA">
        <w:rPr>
          <w:color w:val="000000"/>
          <w:sz w:val="28"/>
          <w:szCs w:val="28"/>
        </w:rPr>
        <w:t xml:space="preserve">(Коротка інформація про ключові показники та тенденції демографічної ситуації в регіоні, попит на робочу силу у розрізі відповідних секторів економіки). </w:t>
      </w:r>
    </w:p>
    <w:p w:rsidR="00484A33" w:rsidRPr="00AC69D1" w:rsidRDefault="00484A33" w:rsidP="007B3372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>2.3. </w:t>
      </w:r>
      <w:r w:rsidR="003F0B26" w:rsidRPr="003F0B26">
        <w:rPr>
          <w:color w:val="000000"/>
          <w:sz w:val="28"/>
          <w:szCs w:val="28"/>
        </w:rPr>
        <w:t>С</w:t>
      </w:r>
      <w:r w:rsidRPr="00AC69D1">
        <w:rPr>
          <w:color w:val="000000"/>
          <w:sz w:val="28"/>
          <w:szCs w:val="28"/>
        </w:rPr>
        <w:t xml:space="preserve">истема </w:t>
      </w:r>
      <w:r w:rsidR="00EE2AE5" w:rsidRPr="00EE2AE5">
        <w:rPr>
          <w:bCs/>
          <w:color w:val="000000"/>
          <w:sz w:val="28"/>
          <w:szCs w:val="28"/>
        </w:rPr>
        <w:t>професійної (професійно-технічної) освіти</w:t>
      </w:r>
      <w:r w:rsidR="003F0B26">
        <w:rPr>
          <w:bCs/>
          <w:color w:val="000000"/>
          <w:sz w:val="28"/>
          <w:szCs w:val="28"/>
        </w:rPr>
        <w:t xml:space="preserve"> в області </w:t>
      </w:r>
      <w:r w:rsidR="003F0B26">
        <w:rPr>
          <w:color w:val="000000"/>
          <w:sz w:val="28"/>
          <w:szCs w:val="28"/>
        </w:rPr>
        <w:t>(</w:t>
      </w:r>
      <w:r w:rsidR="003F0B26" w:rsidRPr="003F0B26">
        <w:rPr>
          <w:color w:val="000000"/>
          <w:sz w:val="28"/>
          <w:szCs w:val="28"/>
        </w:rPr>
        <w:t>Автономній Республіці Крим,</w:t>
      </w:r>
      <w:r w:rsidR="003F0B26">
        <w:rPr>
          <w:b/>
          <w:color w:val="000000"/>
          <w:sz w:val="28"/>
          <w:szCs w:val="28"/>
        </w:rPr>
        <w:t xml:space="preserve"> </w:t>
      </w:r>
      <w:r w:rsidR="003F0B26">
        <w:rPr>
          <w:color w:val="000000"/>
          <w:sz w:val="28"/>
          <w:szCs w:val="28"/>
        </w:rPr>
        <w:t>м. Києві, м. Севастополі)</w:t>
      </w:r>
    </w:p>
    <w:p w:rsidR="00484A33" w:rsidRPr="00AC69D1" w:rsidRDefault="00484A33" w:rsidP="007B3372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 xml:space="preserve">(обсяг – 1 сторінка, </w:t>
      </w:r>
      <w:r w:rsidR="00F248CA">
        <w:rPr>
          <w:color w:val="000000"/>
          <w:sz w:val="28"/>
          <w:szCs w:val="28"/>
        </w:rPr>
        <w:t xml:space="preserve">до </w:t>
      </w:r>
      <w:r w:rsidRPr="00AC69D1">
        <w:rPr>
          <w:color w:val="000000"/>
          <w:sz w:val="28"/>
          <w:szCs w:val="28"/>
        </w:rPr>
        <w:t>4 бал</w:t>
      </w:r>
      <w:r w:rsidR="00F248CA">
        <w:rPr>
          <w:color w:val="000000"/>
          <w:sz w:val="28"/>
          <w:szCs w:val="28"/>
        </w:rPr>
        <w:t>ів</w:t>
      </w:r>
      <w:r w:rsidRPr="00AC69D1">
        <w:rPr>
          <w:color w:val="000000"/>
          <w:sz w:val="28"/>
          <w:szCs w:val="28"/>
        </w:rPr>
        <w:t>)</w:t>
      </w:r>
    </w:p>
    <w:p w:rsidR="00484A33" w:rsidRDefault="00484A33" w:rsidP="007B3372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 xml:space="preserve">(Загальний </w:t>
      </w:r>
      <w:r w:rsidR="00D04C42" w:rsidRPr="003F0B26">
        <w:rPr>
          <w:color w:val="000000"/>
          <w:sz w:val="28"/>
          <w:szCs w:val="28"/>
        </w:rPr>
        <w:t>опис</w:t>
      </w:r>
      <w:r w:rsidR="00D04C42">
        <w:rPr>
          <w:color w:val="000000"/>
          <w:sz w:val="28"/>
          <w:szCs w:val="28"/>
        </w:rPr>
        <w:t xml:space="preserve"> </w:t>
      </w:r>
      <w:r w:rsidRPr="00AC69D1">
        <w:rPr>
          <w:color w:val="000000"/>
          <w:sz w:val="28"/>
          <w:szCs w:val="28"/>
        </w:rPr>
        <w:t xml:space="preserve">системи </w:t>
      </w:r>
      <w:r w:rsidR="00EE2AE5" w:rsidRPr="00EE2AE5">
        <w:rPr>
          <w:bCs/>
          <w:color w:val="000000"/>
          <w:sz w:val="28"/>
          <w:szCs w:val="28"/>
        </w:rPr>
        <w:t>професійної (професійно-технічної) освіти</w:t>
      </w:r>
      <w:r w:rsidRPr="00AC69D1">
        <w:rPr>
          <w:color w:val="000000"/>
          <w:sz w:val="28"/>
          <w:szCs w:val="28"/>
        </w:rPr>
        <w:t>, її</w:t>
      </w:r>
      <w:r w:rsidR="00D04C42">
        <w:rPr>
          <w:color w:val="000000"/>
          <w:sz w:val="28"/>
          <w:szCs w:val="28"/>
        </w:rPr>
        <w:t> </w:t>
      </w:r>
      <w:r w:rsidRPr="00AC69D1">
        <w:rPr>
          <w:color w:val="000000"/>
          <w:sz w:val="28"/>
          <w:szCs w:val="28"/>
        </w:rPr>
        <w:t>пріор</w:t>
      </w:r>
      <w:r w:rsidR="00B87AEA">
        <w:rPr>
          <w:color w:val="000000"/>
          <w:sz w:val="28"/>
          <w:szCs w:val="28"/>
        </w:rPr>
        <w:t xml:space="preserve">итети, сильні і слабкі сторони, її </w:t>
      </w:r>
      <w:r w:rsidRPr="00AC69D1">
        <w:rPr>
          <w:color w:val="000000"/>
          <w:sz w:val="28"/>
          <w:szCs w:val="28"/>
        </w:rPr>
        <w:t>відповід</w:t>
      </w:r>
      <w:r w:rsidR="00B87AEA">
        <w:rPr>
          <w:color w:val="000000"/>
          <w:sz w:val="28"/>
          <w:szCs w:val="28"/>
        </w:rPr>
        <w:t>ність</w:t>
      </w:r>
      <w:r w:rsidRPr="00AC69D1">
        <w:rPr>
          <w:color w:val="000000"/>
          <w:sz w:val="28"/>
          <w:szCs w:val="28"/>
        </w:rPr>
        <w:t xml:space="preserve"> регіональним потребам </w:t>
      </w:r>
      <w:r w:rsidR="00B87AEA">
        <w:rPr>
          <w:color w:val="000000"/>
          <w:sz w:val="28"/>
          <w:szCs w:val="28"/>
        </w:rPr>
        <w:t>соціально-</w:t>
      </w:r>
      <w:r w:rsidR="00B87AEA" w:rsidRPr="00AC69D1">
        <w:rPr>
          <w:color w:val="000000"/>
          <w:sz w:val="28"/>
          <w:szCs w:val="28"/>
        </w:rPr>
        <w:t xml:space="preserve">економічного </w:t>
      </w:r>
      <w:r w:rsidR="00B87AEA">
        <w:rPr>
          <w:color w:val="000000"/>
          <w:sz w:val="28"/>
          <w:szCs w:val="28"/>
        </w:rPr>
        <w:t>розвитку).</w:t>
      </w:r>
    </w:p>
    <w:p w:rsidR="00B87AEA" w:rsidRPr="00AC69D1" w:rsidRDefault="00B87AEA" w:rsidP="007B3372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84A33" w:rsidRPr="00AC69D1" w:rsidRDefault="003F0B26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2.4. </w:t>
      </w:r>
      <w:r w:rsidR="00D04C42">
        <w:rPr>
          <w:color w:val="000000"/>
          <w:sz w:val="28"/>
          <w:szCs w:val="28"/>
        </w:rPr>
        <w:t>С</w:t>
      </w:r>
      <w:r w:rsidR="00484A33" w:rsidRPr="00AC69D1">
        <w:rPr>
          <w:color w:val="000000"/>
          <w:sz w:val="28"/>
          <w:szCs w:val="28"/>
        </w:rPr>
        <w:t xml:space="preserve">півпраця заінтересованих сторін </w:t>
      </w:r>
    </w:p>
    <w:p w:rsidR="00484A33" w:rsidRPr="00FB102A" w:rsidRDefault="00484A33" w:rsidP="007B3372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C69D1">
        <w:rPr>
          <w:color w:val="000000"/>
          <w:sz w:val="28"/>
          <w:szCs w:val="28"/>
          <w:lang w:eastAsia="en-US"/>
        </w:rPr>
        <w:t>(</w:t>
      </w:r>
      <w:r w:rsidRPr="00FB102A">
        <w:rPr>
          <w:color w:val="000000"/>
          <w:sz w:val="28"/>
          <w:szCs w:val="28"/>
          <w:lang w:eastAsia="en-US"/>
        </w:rPr>
        <w:t xml:space="preserve">обсяг – 1 сторінка, </w:t>
      </w:r>
      <w:r w:rsidR="00F248CA">
        <w:rPr>
          <w:color w:val="000000"/>
          <w:sz w:val="28"/>
          <w:szCs w:val="28"/>
          <w:lang w:eastAsia="en-US"/>
        </w:rPr>
        <w:t xml:space="preserve">до </w:t>
      </w:r>
      <w:r w:rsidRPr="00FB102A">
        <w:rPr>
          <w:color w:val="000000"/>
          <w:sz w:val="28"/>
          <w:szCs w:val="28"/>
          <w:lang w:eastAsia="en-US"/>
        </w:rPr>
        <w:t>5 балів)</w:t>
      </w:r>
    </w:p>
    <w:p w:rsidR="00484A33" w:rsidRPr="00AC69D1" w:rsidRDefault="00484A33" w:rsidP="007B3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(Наводяться відомості про форми співпраці всіх заінтересованих </w:t>
      </w:r>
      <w:r w:rsidR="00FB102A" w:rsidRPr="00FB102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</w:t>
      </w: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591C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сфері </w:t>
      </w:r>
      <w:r w:rsidR="00EE2AE5" w:rsidRPr="00FB102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професійної (професійно-технічної) освіти</w:t>
      </w:r>
      <w:r w:rsidR="00B87AE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A33" w:rsidRPr="00AC69D1" w:rsidRDefault="00484A33" w:rsidP="007B3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>2.5. </w:t>
      </w:r>
      <w:r w:rsidR="00B87AEA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Майбутня</w:t>
      </w: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підтримк</w:t>
      </w:r>
      <w:r w:rsidR="00B87AE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закладу</w:t>
      </w:r>
      <w:r w:rsidR="00B87AEA"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освіти</w:t>
      </w:r>
      <w:r w:rsidR="00B87AEA"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</w:t>
      </w:r>
      <w:r w:rsidR="00BC552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</w:t>
      </w:r>
      <w:r w:rsidR="00BC552A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="00B87A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AE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роботодавцями</w:t>
      </w:r>
      <w:r w:rsidR="00B87AEA" w:rsidRPr="00B87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AEA"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B87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соціальними партнерами</w:t>
      </w:r>
      <w:r w:rsid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484A33" w:rsidRPr="00AC69D1" w:rsidRDefault="00484A33" w:rsidP="007B3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C69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de-DE"/>
        </w:rPr>
        <w:t xml:space="preserve">обсяг – 1 сторінка, </w:t>
      </w:r>
      <w:r w:rsidR="00F248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de-DE"/>
        </w:rPr>
        <w:t xml:space="preserve">до </w:t>
      </w:r>
      <w:r w:rsidRPr="00AC69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de-DE"/>
        </w:rPr>
        <w:t>10 балів)</w:t>
      </w:r>
    </w:p>
    <w:p w:rsidR="00484A33" w:rsidRPr="00AC69D1" w:rsidRDefault="00484A33" w:rsidP="007B3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(Які ресурси (в натуральній чи грошовій формі) будуть надані </w:t>
      </w:r>
      <w:r w:rsidR="00B87AEA" w:rsidRPr="00FB10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</w:t>
      </w:r>
      <w:r w:rsidR="00B87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освіти</w:t>
      </w:r>
      <w:r w:rsidR="00B87AEA"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місцевою владою</w:t>
      </w:r>
      <w:r w:rsidR="00B87A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AE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роботодавцями та соціальними</w:t>
      </w: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партнерами).</w:t>
      </w:r>
    </w:p>
    <w:p w:rsidR="00484A33" w:rsidRPr="00AC69D1" w:rsidRDefault="00484A33" w:rsidP="007B3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2.7. Заходи щодо врахування гендерних аспектів, потреб осіб з</w:t>
      </w:r>
      <w:r w:rsidR="00FB1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 </w:t>
      </w: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інвалідністю та потреб внутрішньо переміщених осіб </w:t>
      </w:r>
    </w:p>
    <w:p w:rsidR="00484A33" w:rsidRPr="00AC69D1" w:rsidRDefault="00484A33" w:rsidP="007B3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D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C69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de-DE"/>
        </w:rPr>
        <w:t xml:space="preserve">обсяг – 1 сторінка, </w:t>
      </w:r>
      <w:r w:rsidR="00F248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de-DE"/>
        </w:rPr>
        <w:t xml:space="preserve">до </w:t>
      </w:r>
      <w:r w:rsidRPr="00AC69D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de-DE"/>
        </w:rPr>
        <w:t>5 балів)</w:t>
      </w:r>
      <w:r w:rsidR="000B71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de-DE"/>
        </w:rPr>
        <w:t>.</w:t>
      </w:r>
    </w:p>
    <w:p w:rsidR="00484A33" w:rsidRPr="00AC69D1" w:rsidRDefault="00484A33" w:rsidP="007B3372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612197" w:rsidRDefault="00484A33" w:rsidP="00591C7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>3. Характеристика заклад</w:t>
      </w:r>
      <w:r w:rsidR="00591C71">
        <w:rPr>
          <w:color w:val="000000"/>
          <w:sz w:val="28"/>
          <w:szCs w:val="28"/>
        </w:rPr>
        <w:t>у</w:t>
      </w:r>
      <w:r w:rsidRPr="00AC69D1">
        <w:rPr>
          <w:color w:val="000000"/>
          <w:sz w:val="28"/>
          <w:szCs w:val="28"/>
        </w:rPr>
        <w:t xml:space="preserve"> </w:t>
      </w:r>
      <w:r w:rsidR="00EE2AE5" w:rsidRPr="00EE2AE5">
        <w:rPr>
          <w:bCs/>
          <w:color w:val="000000"/>
          <w:sz w:val="28"/>
          <w:szCs w:val="28"/>
        </w:rPr>
        <w:t xml:space="preserve">освіти </w:t>
      </w:r>
    </w:p>
    <w:p w:rsidR="00C11850" w:rsidRDefault="00484A33" w:rsidP="00591C7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C69D1">
        <w:rPr>
          <w:color w:val="000000"/>
          <w:sz w:val="28"/>
          <w:szCs w:val="28"/>
        </w:rPr>
        <w:t>(Пода</w:t>
      </w:r>
      <w:r w:rsidR="00591C71">
        <w:rPr>
          <w:color w:val="000000"/>
          <w:sz w:val="28"/>
          <w:szCs w:val="28"/>
        </w:rPr>
        <w:t>є</w:t>
      </w:r>
      <w:r w:rsidRPr="00AC69D1">
        <w:rPr>
          <w:color w:val="000000"/>
          <w:sz w:val="28"/>
          <w:szCs w:val="28"/>
        </w:rPr>
        <w:t>ться пропозиці</w:t>
      </w:r>
      <w:r w:rsidR="00591C71">
        <w:rPr>
          <w:color w:val="000000"/>
          <w:sz w:val="28"/>
          <w:szCs w:val="28"/>
        </w:rPr>
        <w:t>я</w:t>
      </w:r>
      <w:r w:rsidRPr="00AC69D1">
        <w:rPr>
          <w:color w:val="000000"/>
          <w:sz w:val="28"/>
          <w:szCs w:val="28"/>
        </w:rPr>
        <w:t xml:space="preserve"> </w:t>
      </w:r>
      <w:r w:rsidR="00591C71">
        <w:rPr>
          <w:color w:val="000000"/>
          <w:sz w:val="28"/>
          <w:szCs w:val="28"/>
        </w:rPr>
        <w:t>стосовно</w:t>
      </w:r>
      <w:r w:rsidRPr="00AC69D1">
        <w:rPr>
          <w:color w:val="000000"/>
          <w:sz w:val="28"/>
          <w:szCs w:val="28"/>
        </w:rPr>
        <w:t xml:space="preserve"> </w:t>
      </w:r>
      <w:r w:rsidR="00591C71">
        <w:rPr>
          <w:color w:val="000000"/>
          <w:sz w:val="28"/>
          <w:szCs w:val="28"/>
        </w:rPr>
        <w:t xml:space="preserve">надання </w:t>
      </w:r>
      <w:r w:rsidR="00F13ED8">
        <w:rPr>
          <w:color w:val="000000"/>
          <w:sz w:val="28"/>
          <w:szCs w:val="28"/>
        </w:rPr>
        <w:t xml:space="preserve">(підтвердження) </w:t>
      </w:r>
      <w:r w:rsidR="00591C71">
        <w:rPr>
          <w:color w:val="000000"/>
          <w:sz w:val="28"/>
          <w:szCs w:val="28"/>
        </w:rPr>
        <w:t>статусу</w:t>
      </w:r>
      <w:r w:rsidR="00591C71" w:rsidRPr="00AC69D1">
        <w:rPr>
          <w:color w:val="000000"/>
          <w:sz w:val="28"/>
          <w:szCs w:val="28"/>
        </w:rPr>
        <w:t xml:space="preserve"> </w:t>
      </w:r>
      <w:r w:rsidR="00F13ED8">
        <w:rPr>
          <w:color w:val="000000"/>
          <w:sz w:val="28"/>
          <w:szCs w:val="28"/>
        </w:rPr>
        <w:t>ц</w:t>
      </w:r>
      <w:r w:rsidR="00591C71" w:rsidRPr="00AC69D1">
        <w:rPr>
          <w:color w:val="000000"/>
          <w:sz w:val="28"/>
          <w:szCs w:val="28"/>
        </w:rPr>
        <w:t>ентр</w:t>
      </w:r>
      <w:r w:rsidR="00591C71">
        <w:rPr>
          <w:color w:val="000000"/>
          <w:sz w:val="28"/>
          <w:szCs w:val="28"/>
        </w:rPr>
        <w:t>у</w:t>
      </w:r>
      <w:r w:rsidR="00591C71" w:rsidRPr="00AC69D1">
        <w:rPr>
          <w:color w:val="000000"/>
          <w:sz w:val="28"/>
          <w:szCs w:val="28"/>
        </w:rPr>
        <w:t xml:space="preserve"> професійної досконалості </w:t>
      </w:r>
      <w:r w:rsidRPr="00AC69D1">
        <w:rPr>
          <w:color w:val="000000"/>
          <w:sz w:val="28"/>
          <w:szCs w:val="28"/>
        </w:rPr>
        <w:t>заклад</w:t>
      </w:r>
      <w:r w:rsidR="00591C71">
        <w:rPr>
          <w:color w:val="000000"/>
          <w:sz w:val="28"/>
          <w:szCs w:val="28"/>
        </w:rPr>
        <w:t>у</w:t>
      </w:r>
      <w:r w:rsidRPr="00AC69D1">
        <w:rPr>
          <w:color w:val="000000"/>
          <w:sz w:val="28"/>
          <w:szCs w:val="28"/>
        </w:rPr>
        <w:t xml:space="preserve"> </w:t>
      </w:r>
      <w:r w:rsidR="00EE2AE5" w:rsidRPr="00EE2AE5">
        <w:rPr>
          <w:bCs/>
          <w:color w:val="000000"/>
          <w:sz w:val="28"/>
          <w:szCs w:val="28"/>
        </w:rPr>
        <w:t>освіти</w:t>
      </w:r>
      <w:r w:rsidR="00C83A8F">
        <w:rPr>
          <w:bCs/>
          <w:color w:val="000000"/>
          <w:sz w:val="28"/>
          <w:szCs w:val="28"/>
        </w:rPr>
        <w:t>)</w:t>
      </w:r>
      <w:r w:rsidR="00591C71">
        <w:rPr>
          <w:color w:val="000000"/>
          <w:sz w:val="28"/>
          <w:szCs w:val="28"/>
        </w:rPr>
        <w:t>.</w:t>
      </w:r>
      <w:r w:rsidRPr="00AC69D1">
        <w:rPr>
          <w:color w:val="000000"/>
          <w:sz w:val="28"/>
          <w:szCs w:val="28"/>
        </w:rPr>
        <w:t xml:space="preserve"> </w:t>
      </w:r>
    </w:p>
    <w:p w:rsidR="00484A33" w:rsidRPr="00AC69D1" w:rsidRDefault="00591C71" w:rsidP="00591C7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  <w:lang w:eastAsia="de-DE"/>
        </w:rPr>
      </w:pPr>
      <w:r>
        <w:rPr>
          <w:bCs/>
          <w:color w:val="000000"/>
          <w:sz w:val="28"/>
          <w:szCs w:val="28"/>
          <w:lang w:eastAsia="de-DE"/>
        </w:rPr>
        <w:t>3</w:t>
      </w:r>
      <w:r w:rsidR="00484A33" w:rsidRPr="00AC69D1">
        <w:rPr>
          <w:bCs/>
          <w:color w:val="000000"/>
          <w:sz w:val="28"/>
          <w:szCs w:val="28"/>
          <w:lang w:eastAsia="de-DE"/>
        </w:rPr>
        <w:t xml:space="preserve">.1. Характеристика та потенціал закладу </w:t>
      </w:r>
      <w:r w:rsidR="00EE2AE5" w:rsidRPr="00EE2AE5">
        <w:rPr>
          <w:bCs/>
          <w:color w:val="000000"/>
          <w:sz w:val="28"/>
          <w:szCs w:val="28"/>
        </w:rPr>
        <w:t>освіти</w:t>
      </w:r>
    </w:p>
    <w:p w:rsidR="00B87AEA" w:rsidRDefault="00484A33" w:rsidP="007B3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(</w:t>
      </w:r>
      <w:r w:rsidR="00591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обсяг – 5 сторінок, </w:t>
      </w:r>
      <w:r w:rsidR="00F24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до </w:t>
      </w: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10 балів):</w:t>
      </w:r>
    </w:p>
    <w:p w:rsidR="00B87AEA" w:rsidRPr="00B87AEA" w:rsidRDefault="00B87AEA" w:rsidP="00B87A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найменування закладу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освіти</w:t>
      </w:r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та його засновника, код</w:t>
      </w:r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 згідно з ЄДРПОУ;</w:t>
      </w:r>
    </w:p>
    <w:p w:rsidR="00B87AEA" w:rsidRPr="00B87AEA" w:rsidRDefault="00B87AEA" w:rsidP="00B87A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кількість учнів, слухачів (станом на дату подання заявки);</w:t>
      </w:r>
    </w:p>
    <w:p w:rsidR="00B87AEA" w:rsidRPr="00B87AEA" w:rsidRDefault="00B87AEA" w:rsidP="00B87A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якісний склад педагогічних працівників;</w:t>
      </w:r>
    </w:p>
    <w:p w:rsidR="00B87AEA" w:rsidRPr="00B87AEA" w:rsidRDefault="00B87AEA" w:rsidP="00B87A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зв’язок з ринком праці; </w:t>
      </w:r>
    </w:p>
    <w:p w:rsidR="00B87AEA" w:rsidRPr="00B87AEA" w:rsidRDefault="00B87AEA" w:rsidP="00B87A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працевлаштування випускників;</w:t>
      </w:r>
    </w:p>
    <w:p w:rsidR="00B87AEA" w:rsidRPr="00B87AEA" w:rsidRDefault="00B87AEA" w:rsidP="00B87A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досвід застосування сучасних підходів та методів розробки та впровадження освітніх програм та навчальних планів (</w:t>
      </w:r>
      <w:proofErr w:type="spellStart"/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компетентнісний</w:t>
      </w:r>
      <w:proofErr w:type="spellEnd"/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 підхід);</w:t>
      </w:r>
    </w:p>
    <w:p w:rsidR="00B87AEA" w:rsidRPr="00B87AEA" w:rsidRDefault="00B87AEA" w:rsidP="00B87A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якість інфраструктури та обладнання, включаючи навчальні, рекреаційні та інші приміщення;</w:t>
      </w:r>
    </w:p>
    <w:p w:rsidR="00B87AEA" w:rsidRPr="00AC69D1" w:rsidRDefault="00B87AEA" w:rsidP="00B87A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доступність (</w:t>
      </w:r>
      <w:r w:rsidRPr="003F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інфраструктурна, а також пристосованість приміщень для осіб з особливими освітніми потребами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)</w:t>
      </w: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;</w:t>
      </w:r>
    </w:p>
    <w:p w:rsidR="00B87AEA" w:rsidRPr="00B87AEA" w:rsidRDefault="00B87AEA" w:rsidP="00B87A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досвід та потенціал викладання для різних груп здобувачів </w:t>
      </w:r>
      <w:r w:rsidR="000B7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освіти</w:t>
      </w:r>
      <w:r w:rsidRPr="00B87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 (молодь, дорослі, особи з особливими освітніми потребами, використовуючи різні програми). </w:t>
      </w:r>
    </w:p>
    <w:p w:rsidR="00484A33" w:rsidRPr="00AC69D1" w:rsidRDefault="00484A33" w:rsidP="007B3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досвід участі у інвестиційних та інших </w:t>
      </w:r>
      <w:proofErr w:type="spellStart"/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проєктах</w:t>
      </w:r>
      <w:proofErr w:type="spellEnd"/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 розвитку;</w:t>
      </w:r>
    </w:p>
    <w:p w:rsidR="00484A33" w:rsidRPr="00AC69D1" w:rsidRDefault="00484A33" w:rsidP="007B3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досвід розроблення та впровадження </w:t>
      </w:r>
      <w:proofErr w:type="spellStart"/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проєктів</w:t>
      </w:r>
      <w:proofErr w:type="spellEnd"/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 щодо </w:t>
      </w:r>
      <w:r w:rsidRPr="003F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просування</w:t>
      </w: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 закладу </w:t>
      </w:r>
      <w:r w:rsidR="00C8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освіти </w:t>
      </w: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та</w:t>
      </w:r>
      <w:r w:rsidR="00C8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 </w:t>
      </w: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розвитку кар’єри</w:t>
      </w:r>
      <w:r w:rsidR="00C8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 здобувачів освіти</w:t>
      </w:r>
      <w:r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;</w:t>
      </w:r>
    </w:p>
    <w:p w:rsidR="00484A33" w:rsidRPr="00B87AEA" w:rsidRDefault="00EE2AE5" w:rsidP="007B3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місце та роль закладу </w:t>
      </w:r>
      <w:r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освіти </w:t>
      </w:r>
      <w:r w:rsidR="00484A33" w:rsidRPr="00AC6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у системі </w:t>
      </w:r>
      <w:r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професійної (професійно-технічної) освіти</w:t>
      </w:r>
      <w:r w:rsidR="003F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 xml:space="preserve"> області (Автономної Республіки Крим, м. Києва, м. Севастополя).</w:t>
      </w:r>
    </w:p>
    <w:p w:rsidR="00F33F56" w:rsidRPr="00F33F56" w:rsidRDefault="00484A33" w:rsidP="00F33F56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  <w:lang w:eastAsia="de-DE"/>
        </w:rPr>
      </w:pPr>
      <w:r w:rsidRPr="00F33F56">
        <w:rPr>
          <w:bCs/>
          <w:color w:val="000000"/>
          <w:sz w:val="28"/>
          <w:szCs w:val="28"/>
          <w:lang w:eastAsia="de-DE"/>
        </w:rPr>
        <w:t>3.2. </w:t>
      </w:r>
      <w:r w:rsidR="003F0B26">
        <w:rPr>
          <w:rFonts w:eastAsia="Calibri"/>
          <w:color w:val="000000"/>
          <w:sz w:val="28"/>
          <w:szCs w:val="28"/>
        </w:rPr>
        <w:t>Стратегічне бачення</w:t>
      </w:r>
      <w:r w:rsidR="003F0B26" w:rsidRPr="00AC69D1">
        <w:rPr>
          <w:rFonts w:eastAsia="Calibri"/>
          <w:color w:val="000000"/>
          <w:sz w:val="28"/>
          <w:szCs w:val="28"/>
        </w:rPr>
        <w:t xml:space="preserve"> </w:t>
      </w:r>
      <w:r w:rsidR="003F0B26" w:rsidRPr="00F33F56">
        <w:rPr>
          <w:bCs/>
          <w:color w:val="000000"/>
          <w:sz w:val="28"/>
          <w:szCs w:val="28"/>
          <w:lang w:eastAsia="de-DE"/>
        </w:rPr>
        <w:t>закладу освіти</w:t>
      </w:r>
      <w:r w:rsidR="00F33F56" w:rsidRPr="00F33F56">
        <w:rPr>
          <w:bCs/>
          <w:color w:val="000000"/>
          <w:sz w:val="28"/>
          <w:szCs w:val="28"/>
          <w:lang w:eastAsia="de-DE"/>
        </w:rPr>
        <w:t>, що подається на участь у відборі для надання (підтвердження) йому статусу центру професійної досконалості</w:t>
      </w:r>
    </w:p>
    <w:p w:rsidR="00484A33" w:rsidRPr="00AC69D1" w:rsidRDefault="00591C71" w:rsidP="007B33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(обсяг – 2 сторінки, </w:t>
      </w:r>
      <w:r w:rsidR="00F248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</w:t>
      </w:r>
      <w:r w:rsidR="00484A33" w:rsidRPr="00AC69D1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F33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балів</w:t>
      </w:r>
      <w:r w:rsidR="000B719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876B94" w:rsidRDefault="00484A33" w:rsidP="00F455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69D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F33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  <w:t>галузева спрямованість, професії, освітні та інші послуги, зв’язок з ринком праці та іншими</w:t>
      </w:r>
      <w:r w:rsidRPr="00AC6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закладами освіти</w:t>
      </w:r>
      <w:r w:rsidR="0025242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AC6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62072" w:rsidRDefault="00862072" w:rsidP="00F455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35D5" w:rsidRDefault="006535D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6535D5" w:rsidRPr="00EE2AE5" w:rsidRDefault="006535D5" w:rsidP="00B778B7">
      <w:pPr>
        <w:spacing w:after="0" w:line="240" w:lineRule="auto"/>
        <w:ind w:left="5103" w:firstLine="141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6535D5" w:rsidRDefault="006535D5" w:rsidP="00B778B7">
      <w:pPr>
        <w:spacing w:after="0" w:line="240" w:lineRule="auto"/>
        <w:ind w:left="4395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 Порядку надання закладу професійної (професійно-технічної) освіти статусу центру професійної досконалості, підтвердження чи позбавлення </w:t>
      </w:r>
    </w:p>
    <w:p w:rsidR="006535D5" w:rsidRPr="00EE2AE5" w:rsidRDefault="006535D5" w:rsidP="00B778B7">
      <w:pPr>
        <w:spacing w:after="0" w:line="240" w:lineRule="auto"/>
        <w:ind w:left="4395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цього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</w:t>
      </w:r>
      <w:r w:rsidRPr="00EE2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татусу</w:t>
      </w:r>
    </w:p>
    <w:p w:rsidR="006535D5" w:rsidRPr="001633E9" w:rsidRDefault="006535D5" w:rsidP="006535D5">
      <w:pPr>
        <w:pStyle w:val="a3"/>
        <w:tabs>
          <w:tab w:val="left" w:pos="562"/>
          <w:tab w:val="left" w:pos="1134"/>
        </w:tabs>
        <w:spacing w:after="0" w:line="240" w:lineRule="auto"/>
        <w:ind w:left="0" w:right="2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D5" w:rsidRPr="001633E9" w:rsidRDefault="006535D5" w:rsidP="006535D5">
      <w:pPr>
        <w:pStyle w:val="a3"/>
        <w:tabs>
          <w:tab w:val="left" w:pos="562"/>
          <w:tab w:val="left" w:pos="1134"/>
        </w:tabs>
        <w:spacing w:after="0" w:line="240" w:lineRule="auto"/>
        <w:ind w:left="851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E9">
        <w:rPr>
          <w:rFonts w:ascii="Times New Roman" w:hAnsi="Times New Roman" w:cs="Times New Roman"/>
          <w:b/>
          <w:sz w:val="28"/>
          <w:szCs w:val="28"/>
        </w:rPr>
        <w:t>КРИТЕРІЇ</w:t>
      </w:r>
    </w:p>
    <w:p w:rsidR="006535D5" w:rsidRPr="001633E9" w:rsidRDefault="006535D5" w:rsidP="006535D5">
      <w:pPr>
        <w:pStyle w:val="a3"/>
        <w:tabs>
          <w:tab w:val="left" w:pos="562"/>
          <w:tab w:val="left" w:pos="1134"/>
        </w:tabs>
        <w:spacing w:after="0" w:line="240" w:lineRule="auto"/>
        <w:ind w:left="851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633E9">
        <w:rPr>
          <w:rFonts w:ascii="Times New Roman" w:hAnsi="Times New Roman" w:cs="Times New Roman"/>
          <w:b/>
          <w:sz w:val="28"/>
          <w:szCs w:val="28"/>
        </w:rPr>
        <w:t xml:space="preserve">адання </w:t>
      </w:r>
      <w:r w:rsidR="007A7B2C">
        <w:rPr>
          <w:rFonts w:ascii="Times New Roman" w:hAnsi="Times New Roman" w:cs="Times New Roman"/>
          <w:b/>
          <w:sz w:val="28"/>
          <w:szCs w:val="28"/>
        </w:rPr>
        <w:t>(</w:t>
      </w:r>
      <w:r w:rsidRPr="001633E9">
        <w:rPr>
          <w:rFonts w:ascii="Times New Roman" w:hAnsi="Times New Roman" w:cs="Times New Roman"/>
          <w:b/>
          <w:sz w:val="28"/>
          <w:szCs w:val="28"/>
        </w:rPr>
        <w:t>підтвердження</w:t>
      </w:r>
      <w:r w:rsidR="007A7B2C">
        <w:rPr>
          <w:rFonts w:ascii="Times New Roman" w:hAnsi="Times New Roman" w:cs="Times New Roman"/>
          <w:b/>
          <w:sz w:val="28"/>
          <w:szCs w:val="28"/>
        </w:rPr>
        <w:t>)</w:t>
      </w:r>
      <w:r w:rsidRPr="001633E9">
        <w:rPr>
          <w:rFonts w:ascii="Times New Roman" w:hAnsi="Times New Roman" w:cs="Times New Roman"/>
          <w:b/>
          <w:sz w:val="28"/>
          <w:szCs w:val="28"/>
        </w:rPr>
        <w:t xml:space="preserve"> статусу центру професійної досконалості</w:t>
      </w:r>
    </w:p>
    <w:p w:rsidR="006535D5" w:rsidRPr="001633E9" w:rsidRDefault="006535D5" w:rsidP="006535D5">
      <w:pPr>
        <w:pStyle w:val="a3"/>
        <w:tabs>
          <w:tab w:val="left" w:pos="562"/>
          <w:tab w:val="left" w:pos="1134"/>
        </w:tabs>
        <w:spacing w:after="0" w:line="240" w:lineRule="auto"/>
        <w:ind w:left="851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633E9">
        <w:rPr>
          <w:rFonts w:ascii="Times New Roman" w:hAnsi="Times New Roman" w:cs="Times New Roman"/>
          <w:b/>
          <w:sz w:val="28"/>
          <w:szCs w:val="28"/>
        </w:rPr>
        <w:t xml:space="preserve">акладу професійної </w:t>
      </w:r>
      <w:r w:rsidR="005B35D5" w:rsidRPr="00D04C42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5B35D5">
        <w:rPr>
          <w:rFonts w:ascii="Times New Roman" w:hAnsi="Times New Roman" w:cs="Times New Roman"/>
          <w:b/>
          <w:sz w:val="28"/>
          <w:szCs w:val="28"/>
        </w:rPr>
        <w:t xml:space="preserve">професійно-технічної) </w:t>
      </w:r>
      <w:r w:rsidRPr="001633E9">
        <w:rPr>
          <w:rFonts w:ascii="Times New Roman" w:hAnsi="Times New Roman" w:cs="Times New Roman"/>
          <w:b/>
          <w:sz w:val="28"/>
          <w:szCs w:val="28"/>
        </w:rPr>
        <w:t>освіти</w:t>
      </w:r>
    </w:p>
    <w:p w:rsidR="006535D5" w:rsidRPr="001633E9" w:rsidRDefault="006535D5" w:rsidP="006535D5">
      <w:pPr>
        <w:tabs>
          <w:tab w:val="left" w:pos="562"/>
          <w:tab w:val="left" w:pos="1134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5D5" w:rsidRDefault="006535D5" w:rsidP="006535D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Критерії надання </w:t>
      </w:r>
      <w:r w:rsidR="006665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підтвердження</w:t>
      </w:r>
      <w:r w:rsidR="006665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статусу центру професійної досконалості закладу </w:t>
      </w:r>
      <w:r w:rsidR="005C54E2" w:rsidRPr="005C54E2">
        <w:rPr>
          <w:rFonts w:ascii="Times New Roman" w:hAnsi="Times New Roman" w:cs="Times New Roman"/>
          <w:sz w:val="28"/>
          <w:szCs w:val="28"/>
        </w:rPr>
        <w:t>професійної (професійно-технічної) освіти (далі – закладу освіти)</w:t>
      </w:r>
      <w:r>
        <w:rPr>
          <w:rFonts w:ascii="Times New Roman" w:hAnsi="Times New Roman" w:cs="Times New Roman"/>
          <w:sz w:val="28"/>
          <w:szCs w:val="28"/>
        </w:rPr>
        <w:t xml:space="preserve"> поділяються на обов’язкові, порівняльні та</w:t>
      </w:r>
      <w:r w:rsidR="006665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преміальні.</w:t>
      </w:r>
    </w:p>
    <w:p w:rsidR="006535D5" w:rsidRDefault="006535D5" w:rsidP="006535D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Обов’язковими критеріями надання </w:t>
      </w:r>
      <w:r w:rsidR="00D66C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підтвердження</w:t>
      </w:r>
      <w:r w:rsidR="00D66C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статусу центру професійної досконалості закладу освіти є:</w:t>
      </w:r>
    </w:p>
    <w:p w:rsidR="006535D5" w:rsidRPr="00B51522" w:rsidRDefault="006535D5" w:rsidP="006535D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1522">
        <w:rPr>
          <w:rFonts w:ascii="Times New Roman" w:hAnsi="Times New Roman" w:cs="Times New Roman"/>
          <w:sz w:val="28"/>
          <w:szCs w:val="28"/>
        </w:rPr>
        <w:t>виконання Законів України «Про освіту» та «Про професійну (професійно-технічну) освіту</w:t>
      </w:r>
      <w:r w:rsidR="00666555" w:rsidRPr="00B51522">
        <w:rPr>
          <w:rFonts w:ascii="Times New Roman" w:hAnsi="Times New Roman" w:cs="Times New Roman"/>
          <w:sz w:val="28"/>
          <w:szCs w:val="28"/>
        </w:rPr>
        <w:t>»</w:t>
      </w:r>
      <w:r w:rsidRPr="00B51522">
        <w:rPr>
          <w:rFonts w:ascii="Times New Roman" w:hAnsi="Times New Roman" w:cs="Times New Roman"/>
          <w:sz w:val="28"/>
          <w:szCs w:val="28"/>
        </w:rPr>
        <w:t xml:space="preserve">, Ліцензійних умов провадження освітньої діяльності, затверджених постановою Кабінету </w:t>
      </w:r>
      <w:r w:rsidR="00666555" w:rsidRPr="00B51522">
        <w:rPr>
          <w:rFonts w:ascii="Times New Roman" w:hAnsi="Times New Roman" w:cs="Times New Roman"/>
          <w:sz w:val="28"/>
          <w:szCs w:val="28"/>
        </w:rPr>
        <w:t>М</w:t>
      </w:r>
      <w:r w:rsidRPr="00B51522">
        <w:rPr>
          <w:rFonts w:ascii="Times New Roman" w:hAnsi="Times New Roman" w:cs="Times New Roman"/>
          <w:sz w:val="28"/>
          <w:szCs w:val="28"/>
        </w:rPr>
        <w:t xml:space="preserve">іністрів України від 30 грудня 2015 р. № 1187; </w:t>
      </w:r>
    </w:p>
    <w:bookmarkEnd w:id="0"/>
    <w:p w:rsidR="006535D5" w:rsidRDefault="006535D5" w:rsidP="006535D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відсутність виявлених раніше порушень </w:t>
      </w:r>
      <w:r w:rsidRPr="001633E9">
        <w:rPr>
          <w:rFonts w:ascii="Times New Roman" w:hAnsi="Times New Roman" w:cs="Times New Roman"/>
          <w:sz w:val="28"/>
          <w:szCs w:val="28"/>
        </w:rPr>
        <w:t>Ліцензійних умов провадження освітньої діяльності</w:t>
      </w:r>
      <w:r w:rsidR="00666555">
        <w:rPr>
          <w:rFonts w:ascii="Times New Roman" w:hAnsi="Times New Roman" w:cs="Times New Roman"/>
          <w:sz w:val="28"/>
          <w:szCs w:val="28"/>
        </w:rPr>
        <w:t>, затверджених постановою Кабінету Міністрів України від 30 грудня 2015 р. № 1187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5D5" w:rsidRDefault="006535D5" w:rsidP="006535D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єдиного інформаційного середовища закладу освіти, в</w:t>
      </w:r>
      <w:r w:rsidR="006665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якому забезпечується автоматизація основних процесів діяльності</w:t>
      </w:r>
      <w:r w:rsidR="007557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57E8">
        <w:rPr>
          <w:rFonts w:ascii="Times New Roman" w:hAnsi="Times New Roman" w:cs="Times New Roman"/>
          <w:sz w:val="28"/>
          <w:szCs w:val="28"/>
        </w:rPr>
        <w:t>веб</w:t>
      </w:r>
      <w:r w:rsidR="009F21C3">
        <w:rPr>
          <w:rFonts w:ascii="Times New Roman" w:hAnsi="Times New Roman" w:cs="Times New Roman"/>
          <w:sz w:val="28"/>
          <w:szCs w:val="28"/>
        </w:rPr>
        <w:t>сайту</w:t>
      </w:r>
      <w:proofErr w:type="spellEnd"/>
      <w:r w:rsidR="009F21C3"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5D5" w:rsidRDefault="007557E8" w:rsidP="006535D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розміщення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r w:rsidR="006535D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6535D5">
        <w:rPr>
          <w:rFonts w:ascii="Times New Roman" w:hAnsi="Times New Roman" w:cs="Times New Roman"/>
          <w:sz w:val="28"/>
          <w:szCs w:val="28"/>
        </w:rPr>
        <w:t xml:space="preserve"> закладу освіти обов’язкової інформації, передбаченої законодавством. </w:t>
      </w:r>
    </w:p>
    <w:p w:rsidR="006535D5" w:rsidRDefault="006535D5" w:rsidP="006535D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Порівняльними критеріями надання </w:t>
      </w:r>
      <w:r w:rsidR="006665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підтвердження</w:t>
      </w:r>
      <w:r w:rsidR="006665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статусу центру професійної досконалості закладу освіти є:</w:t>
      </w:r>
    </w:p>
    <w:p w:rsidR="00BE1738" w:rsidRDefault="00C6663F" w:rsidP="006535D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кількість учнів</w:t>
      </w:r>
      <w:r w:rsidR="00BE1738">
        <w:rPr>
          <w:rFonts w:ascii="Times New Roman" w:hAnsi="Times New Roman" w:cs="Times New Roman"/>
          <w:sz w:val="28"/>
          <w:szCs w:val="28"/>
        </w:rPr>
        <w:t xml:space="preserve"> – не менш як 800 осіб;</w:t>
      </w:r>
    </w:p>
    <w:p w:rsidR="00876B94" w:rsidRDefault="00BE1738" w:rsidP="006535D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кількість </w:t>
      </w:r>
      <w:r w:rsidR="00C6663F">
        <w:rPr>
          <w:rFonts w:ascii="Times New Roman" w:hAnsi="Times New Roman" w:cs="Times New Roman"/>
          <w:sz w:val="28"/>
          <w:szCs w:val="28"/>
        </w:rPr>
        <w:t>слухачів, які проходять перепідготовку та підвищують кваліфікацію</w:t>
      </w:r>
      <w:r w:rsidR="000867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 менш як 500 осіб</w:t>
      </w:r>
      <w:r w:rsidR="00C6663F">
        <w:rPr>
          <w:rFonts w:ascii="Times New Roman" w:hAnsi="Times New Roman" w:cs="Times New Roman"/>
          <w:sz w:val="28"/>
          <w:szCs w:val="28"/>
        </w:rPr>
        <w:t>;</w:t>
      </w:r>
    </w:p>
    <w:p w:rsidR="000676A6" w:rsidRDefault="00C6663F" w:rsidP="00202DA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6A6">
        <w:rPr>
          <w:rFonts w:ascii="Times New Roman" w:hAnsi="Times New Roman" w:cs="Times New Roman"/>
          <w:sz w:val="28"/>
          <w:szCs w:val="28"/>
        </w:rPr>
        <w:t xml:space="preserve">кількість випускників, </w:t>
      </w:r>
      <w:r w:rsidR="00BE1738">
        <w:rPr>
          <w:rFonts w:ascii="Times New Roman" w:hAnsi="Times New Roman" w:cs="Times New Roman"/>
          <w:sz w:val="28"/>
          <w:szCs w:val="28"/>
        </w:rPr>
        <w:t xml:space="preserve">які працюють понад </w:t>
      </w:r>
      <w:r w:rsidR="00BE1738" w:rsidRPr="00BE1738">
        <w:rPr>
          <w:rFonts w:ascii="Times New Roman" w:hAnsi="Times New Roman" w:cs="Times New Roman"/>
          <w:sz w:val="28"/>
          <w:szCs w:val="28"/>
        </w:rPr>
        <w:t xml:space="preserve">1 рік </w:t>
      </w:r>
      <w:r w:rsidR="00BE1738">
        <w:rPr>
          <w:rFonts w:ascii="Times New Roman" w:hAnsi="Times New Roman" w:cs="Times New Roman"/>
          <w:sz w:val="28"/>
          <w:szCs w:val="28"/>
        </w:rPr>
        <w:t xml:space="preserve">після закінчення навчання </w:t>
      </w:r>
      <w:r w:rsidR="00BE1738" w:rsidRPr="00BE1738">
        <w:rPr>
          <w:rFonts w:ascii="Times New Roman" w:hAnsi="Times New Roman" w:cs="Times New Roman"/>
          <w:sz w:val="28"/>
          <w:szCs w:val="28"/>
        </w:rPr>
        <w:t>за професією (спеціальністю)</w:t>
      </w:r>
      <w:r w:rsidRPr="000676A6">
        <w:rPr>
          <w:rFonts w:ascii="Times New Roman" w:hAnsi="Times New Roman" w:cs="Times New Roman"/>
          <w:sz w:val="28"/>
          <w:szCs w:val="28"/>
        </w:rPr>
        <w:t>, у</w:t>
      </w:r>
      <w:r w:rsidR="008D615B" w:rsidRPr="000676A6">
        <w:rPr>
          <w:rFonts w:ascii="Times New Roman" w:hAnsi="Times New Roman" w:cs="Times New Roman"/>
          <w:sz w:val="28"/>
          <w:szCs w:val="28"/>
        </w:rPr>
        <w:t> </w:t>
      </w:r>
      <w:r w:rsidRPr="000676A6">
        <w:rPr>
          <w:rFonts w:ascii="Times New Roman" w:hAnsi="Times New Roman" w:cs="Times New Roman"/>
          <w:sz w:val="28"/>
          <w:szCs w:val="28"/>
        </w:rPr>
        <w:t>% до загальної кількості випускників</w:t>
      </w:r>
      <w:r w:rsidR="000867F8">
        <w:rPr>
          <w:rFonts w:ascii="Times New Roman" w:hAnsi="Times New Roman" w:cs="Times New Roman"/>
          <w:sz w:val="28"/>
          <w:szCs w:val="28"/>
        </w:rPr>
        <w:t>,</w:t>
      </w:r>
      <w:r w:rsidR="00BE1738">
        <w:rPr>
          <w:rFonts w:ascii="Times New Roman" w:hAnsi="Times New Roman" w:cs="Times New Roman"/>
          <w:sz w:val="28"/>
          <w:szCs w:val="28"/>
        </w:rPr>
        <w:t xml:space="preserve"> – не менш як </w:t>
      </w:r>
      <w:r w:rsidR="0093347C">
        <w:rPr>
          <w:rFonts w:ascii="Times New Roman" w:hAnsi="Times New Roman" w:cs="Times New Roman"/>
          <w:sz w:val="28"/>
          <w:szCs w:val="28"/>
        </w:rPr>
        <w:t>7</w:t>
      </w:r>
      <w:r w:rsidR="00BE1738">
        <w:rPr>
          <w:rFonts w:ascii="Times New Roman" w:hAnsi="Times New Roman" w:cs="Times New Roman"/>
          <w:sz w:val="28"/>
          <w:szCs w:val="28"/>
        </w:rPr>
        <w:t>0 %</w:t>
      </w:r>
      <w:r w:rsidRPr="000676A6">
        <w:rPr>
          <w:rFonts w:ascii="Times New Roman" w:hAnsi="Times New Roman" w:cs="Times New Roman"/>
          <w:sz w:val="28"/>
          <w:szCs w:val="28"/>
        </w:rPr>
        <w:t>;</w:t>
      </w:r>
    </w:p>
    <w:p w:rsidR="00C6663F" w:rsidRDefault="00C6663F" w:rsidP="00202DA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6A6">
        <w:rPr>
          <w:rFonts w:ascii="Times New Roman" w:hAnsi="Times New Roman" w:cs="Times New Roman"/>
          <w:sz w:val="28"/>
          <w:szCs w:val="28"/>
        </w:rPr>
        <w:t xml:space="preserve">загальна кількість освітніх </w:t>
      </w:r>
      <w:r w:rsidR="008211DA">
        <w:rPr>
          <w:rFonts w:ascii="Times New Roman" w:hAnsi="Times New Roman" w:cs="Times New Roman"/>
          <w:sz w:val="28"/>
          <w:szCs w:val="28"/>
        </w:rPr>
        <w:t>програм – не менш як 20</w:t>
      </w:r>
      <w:r w:rsidRPr="000676A6">
        <w:rPr>
          <w:rFonts w:ascii="Times New Roman" w:hAnsi="Times New Roman" w:cs="Times New Roman"/>
          <w:sz w:val="28"/>
          <w:szCs w:val="28"/>
        </w:rPr>
        <w:t>;</w:t>
      </w:r>
    </w:p>
    <w:p w:rsidR="003D0781" w:rsidRPr="000676A6" w:rsidRDefault="003D0781" w:rsidP="00202DA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частка випускників закладу освіти, які отримали за результатами зовнішнього незалежного оцінювання 1</w:t>
      </w:r>
      <w:r w:rsidR="009334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і вище балів, – не менш як </w:t>
      </w:r>
      <w:r w:rsidR="00933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0 %;</w:t>
      </w:r>
    </w:p>
    <w:p w:rsidR="009064C1" w:rsidRDefault="009064C1" w:rsidP="009064C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педагогічні працівники, які пройшли сертифікацію</w:t>
      </w:r>
      <w:r w:rsidR="003D0781">
        <w:rPr>
          <w:rFonts w:ascii="Times New Roman" w:hAnsi="Times New Roman" w:cs="Times New Roman"/>
          <w:sz w:val="28"/>
          <w:szCs w:val="28"/>
        </w:rPr>
        <w:t xml:space="preserve"> упродовж останніх двох років, </w:t>
      </w:r>
      <w:r>
        <w:rPr>
          <w:rFonts w:ascii="Times New Roman" w:hAnsi="Times New Roman" w:cs="Times New Roman"/>
          <w:sz w:val="28"/>
          <w:szCs w:val="28"/>
        </w:rPr>
        <w:t>у % до загальної кількості педагогічних працівників</w:t>
      </w:r>
      <w:r w:rsidR="003D0781">
        <w:rPr>
          <w:rFonts w:ascii="Times New Roman" w:hAnsi="Times New Roman" w:cs="Times New Roman"/>
          <w:sz w:val="28"/>
          <w:szCs w:val="28"/>
        </w:rPr>
        <w:t xml:space="preserve"> –</w:t>
      </w:r>
      <w:r w:rsidR="000867F8">
        <w:rPr>
          <w:rFonts w:ascii="Times New Roman" w:hAnsi="Times New Roman" w:cs="Times New Roman"/>
          <w:sz w:val="28"/>
          <w:szCs w:val="28"/>
        </w:rPr>
        <w:t xml:space="preserve"> </w:t>
      </w:r>
      <w:r w:rsidR="003D0781">
        <w:rPr>
          <w:rFonts w:ascii="Times New Roman" w:hAnsi="Times New Roman" w:cs="Times New Roman"/>
          <w:sz w:val="28"/>
          <w:szCs w:val="28"/>
        </w:rPr>
        <w:t xml:space="preserve">не менш як </w:t>
      </w:r>
      <w:r w:rsidR="0093347C">
        <w:rPr>
          <w:rFonts w:ascii="Times New Roman" w:hAnsi="Times New Roman" w:cs="Times New Roman"/>
          <w:sz w:val="28"/>
          <w:szCs w:val="28"/>
        </w:rPr>
        <w:t>1</w:t>
      </w:r>
      <w:r w:rsidR="003D0781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F45" w:rsidRDefault="003D0781" w:rsidP="006535D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</w:t>
      </w:r>
      <w:r w:rsidR="00656F45">
        <w:rPr>
          <w:rFonts w:ascii="Times New Roman" w:hAnsi="Times New Roman" w:cs="Times New Roman"/>
          <w:sz w:val="28"/>
          <w:szCs w:val="28"/>
        </w:rPr>
        <w:t xml:space="preserve"> навчально-практичних центрів, утворених на базі закладу освіти;</w:t>
      </w:r>
    </w:p>
    <w:p w:rsidR="00616712" w:rsidRDefault="00616712" w:rsidP="006535D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кількість педагогічних працівників, які проходять підвищення кваліфікації (стажування) на базі навчально-практичних центрів упродовж року</w:t>
      </w:r>
      <w:r w:rsidR="000867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 менш як 100 осіб;</w:t>
      </w:r>
    </w:p>
    <w:p w:rsidR="00026440" w:rsidRDefault="00026440" w:rsidP="006535D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цент</w:t>
      </w:r>
      <w:r w:rsidR="00616712">
        <w:rPr>
          <w:rFonts w:ascii="Times New Roman" w:hAnsi="Times New Roman" w:cs="Times New Roman"/>
          <w:sz w:val="28"/>
          <w:szCs w:val="28"/>
        </w:rPr>
        <w:t>ру розвитку професійної кар’єри.</w:t>
      </w:r>
    </w:p>
    <w:p w:rsidR="006535D5" w:rsidRDefault="006535D5" w:rsidP="006535D5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Преміальними критеріями надання </w:t>
      </w:r>
      <w:r w:rsidR="006665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підтвердження</w:t>
      </w:r>
      <w:r w:rsidR="006665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статусу центру професійної досконалості закладу освіти є:</w:t>
      </w:r>
    </w:p>
    <w:p w:rsidR="006535D5" w:rsidRDefault="006535D5" w:rsidP="006535D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педагогічних працівників, яким протягом останніх 10 років було присвоєно почесні звання України;</w:t>
      </w:r>
    </w:p>
    <w:p w:rsidR="000676A6" w:rsidRDefault="000676A6" w:rsidP="006535D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педагогічних працівників, яким присуджено науковий ступіть, вчене звання;</w:t>
      </w:r>
    </w:p>
    <w:p w:rsidR="006535D5" w:rsidRDefault="006535D5" w:rsidP="006535D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826">
        <w:rPr>
          <w:rFonts w:ascii="Times New Roman" w:hAnsi="Times New Roman" w:cs="Times New Roman"/>
          <w:sz w:val="28"/>
          <w:szCs w:val="28"/>
        </w:rPr>
        <w:t xml:space="preserve">кількість </w:t>
      </w:r>
      <w:r>
        <w:rPr>
          <w:rFonts w:ascii="Times New Roman" w:hAnsi="Times New Roman" w:cs="Times New Roman"/>
          <w:sz w:val="28"/>
          <w:szCs w:val="28"/>
        </w:rPr>
        <w:t>випускників закладу професійної (професійно-технічної) освіти</w:t>
      </w:r>
      <w:r w:rsidRPr="005C7826">
        <w:rPr>
          <w:rFonts w:ascii="Times New Roman" w:hAnsi="Times New Roman" w:cs="Times New Roman"/>
          <w:sz w:val="28"/>
          <w:szCs w:val="28"/>
        </w:rPr>
        <w:t>, яким протягом останніх 10 років було присвоєно почесні звання України;</w:t>
      </w:r>
    </w:p>
    <w:p w:rsidR="000676A6" w:rsidRPr="000676A6" w:rsidRDefault="006535D5" w:rsidP="006535D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6A6">
        <w:rPr>
          <w:rFonts w:ascii="Times New Roman" w:hAnsi="Times New Roman" w:cs="Times New Roman"/>
          <w:sz w:val="28"/>
          <w:szCs w:val="28"/>
        </w:rPr>
        <w:t xml:space="preserve">кількість випускників закладу професійної (професійно-технічної) освіти, які </w:t>
      </w:r>
      <w:r w:rsidR="000676A6" w:rsidRPr="000676A6">
        <w:rPr>
          <w:rFonts w:ascii="Times New Roman" w:hAnsi="Times New Roman" w:cs="Times New Roman"/>
          <w:sz w:val="28"/>
          <w:szCs w:val="28"/>
        </w:rPr>
        <w:t>працюють за здобутою професією</w:t>
      </w:r>
      <w:r w:rsidRPr="000676A6">
        <w:rPr>
          <w:rFonts w:ascii="Times New Roman" w:hAnsi="Times New Roman" w:cs="Times New Roman"/>
          <w:sz w:val="28"/>
          <w:szCs w:val="28"/>
        </w:rPr>
        <w:t xml:space="preserve"> протягом трьох років</w:t>
      </w:r>
      <w:r w:rsidR="000676A6" w:rsidRPr="000676A6">
        <w:rPr>
          <w:rFonts w:ascii="Times New Roman" w:hAnsi="Times New Roman" w:cs="Times New Roman"/>
          <w:sz w:val="28"/>
          <w:szCs w:val="28"/>
        </w:rPr>
        <w:t xml:space="preserve">, </w:t>
      </w:r>
      <w:r w:rsidR="009F21C3">
        <w:rPr>
          <w:rFonts w:ascii="Times New Roman" w:hAnsi="Times New Roman" w:cs="Times New Roman"/>
          <w:sz w:val="28"/>
          <w:szCs w:val="28"/>
        </w:rPr>
        <w:br/>
      </w:r>
      <w:r w:rsidR="000676A6" w:rsidRPr="000676A6">
        <w:rPr>
          <w:rFonts w:ascii="Times New Roman" w:hAnsi="Times New Roman" w:cs="Times New Roman"/>
          <w:sz w:val="28"/>
          <w:szCs w:val="28"/>
        </w:rPr>
        <w:t>у % до загальної кількості випускників;</w:t>
      </w:r>
    </w:p>
    <w:p w:rsidR="00D66C9B" w:rsidRDefault="000676A6" w:rsidP="000676A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6A6">
        <w:rPr>
          <w:rFonts w:ascii="Times New Roman" w:hAnsi="Times New Roman" w:cs="Times New Roman"/>
          <w:sz w:val="28"/>
          <w:szCs w:val="28"/>
        </w:rPr>
        <w:t>кількість випускників закладу професійної (професійно-технічної) освіти, які продовжили навчання у закладах вищої освіти, у % до загальної кількості випускників</w:t>
      </w:r>
      <w:r w:rsidR="00D66C9B">
        <w:rPr>
          <w:rFonts w:ascii="Times New Roman" w:hAnsi="Times New Roman" w:cs="Times New Roman"/>
          <w:sz w:val="28"/>
          <w:szCs w:val="28"/>
        </w:rPr>
        <w:t>;</w:t>
      </w:r>
    </w:p>
    <w:p w:rsidR="007E1642" w:rsidRDefault="00D66C9B" w:rsidP="00D66C9B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84F">
        <w:rPr>
          <w:rFonts w:ascii="Times New Roman" w:hAnsi="Times New Roman" w:cs="Times New Roman"/>
          <w:sz w:val="28"/>
          <w:szCs w:val="28"/>
        </w:rPr>
        <w:t xml:space="preserve">кількість </w:t>
      </w:r>
      <w:r>
        <w:rPr>
          <w:rFonts w:ascii="Times New Roman" w:hAnsi="Times New Roman" w:cs="Times New Roman"/>
          <w:sz w:val="28"/>
          <w:szCs w:val="28"/>
        </w:rPr>
        <w:t>здобувачів професійної (професійно-технічної) освіти, які</w:t>
      </w:r>
      <w:r w:rsidR="009F21C3">
        <w:rPr>
          <w:rFonts w:ascii="Times New Roman" w:hAnsi="Times New Roman" w:cs="Times New Roman"/>
          <w:sz w:val="28"/>
          <w:szCs w:val="28"/>
        </w:rPr>
        <w:t> </w:t>
      </w:r>
      <w:r w:rsidR="000867F8">
        <w:rPr>
          <w:rFonts w:ascii="Times New Roman" w:hAnsi="Times New Roman" w:cs="Times New Roman"/>
          <w:sz w:val="28"/>
          <w:szCs w:val="28"/>
        </w:rPr>
        <w:t>навчалися (стажувалися) за кордоном,</w:t>
      </w:r>
      <w:r w:rsidRPr="00D66C9B">
        <w:rPr>
          <w:rFonts w:ascii="Times New Roman" w:hAnsi="Times New Roman" w:cs="Times New Roman"/>
          <w:sz w:val="28"/>
          <w:szCs w:val="28"/>
        </w:rPr>
        <w:t xml:space="preserve"> </w:t>
      </w:r>
      <w:r w:rsidRPr="000676A6">
        <w:rPr>
          <w:rFonts w:ascii="Times New Roman" w:hAnsi="Times New Roman" w:cs="Times New Roman"/>
          <w:sz w:val="28"/>
          <w:szCs w:val="28"/>
        </w:rPr>
        <w:t xml:space="preserve">у % до загальної кількості </w:t>
      </w:r>
      <w:r>
        <w:rPr>
          <w:rFonts w:ascii="Times New Roman" w:hAnsi="Times New Roman" w:cs="Times New Roman"/>
          <w:sz w:val="28"/>
          <w:szCs w:val="28"/>
        </w:rPr>
        <w:t>здобувачів професійної (професійно-технічної) освіти</w:t>
      </w:r>
      <w:r w:rsidR="007E1642">
        <w:rPr>
          <w:rFonts w:ascii="Times New Roman" w:hAnsi="Times New Roman" w:cs="Times New Roman"/>
          <w:sz w:val="28"/>
          <w:szCs w:val="28"/>
        </w:rPr>
        <w:t>;</w:t>
      </w:r>
    </w:p>
    <w:p w:rsidR="00D66C9B" w:rsidRDefault="007E1642" w:rsidP="00D66C9B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закладі професійної (професійно-технічної) освіти утворена і діє наглядова рада</w:t>
      </w:r>
      <w:r w:rsidR="00D66C9B">
        <w:rPr>
          <w:rFonts w:ascii="Times New Roman" w:hAnsi="Times New Roman" w:cs="Times New Roman"/>
          <w:sz w:val="28"/>
          <w:szCs w:val="28"/>
        </w:rPr>
        <w:t>.</w:t>
      </w:r>
    </w:p>
    <w:p w:rsidR="000676A6" w:rsidRPr="00D66C9B" w:rsidRDefault="000676A6" w:rsidP="00D66C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6A6" w:rsidRPr="00D66C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12" w:rsidRDefault="008C1912">
      <w:pPr>
        <w:spacing w:after="0" w:line="240" w:lineRule="auto"/>
      </w:pPr>
      <w:r>
        <w:separator/>
      </w:r>
    </w:p>
  </w:endnote>
  <w:endnote w:type="continuationSeparator" w:id="0">
    <w:p w:rsidR="008C1912" w:rsidRDefault="008C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D1" w:rsidRDefault="00AC69D1">
    <w:pPr>
      <w:pStyle w:val="a6"/>
      <w:jc w:val="right"/>
    </w:pPr>
  </w:p>
  <w:p w:rsidR="00AC69D1" w:rsidRDefault="00AC69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12" w:rsidRDefault="008C1912">
      <w:pPr>
        <w:spacing w:after="0" w:line="240" w:lineRule="auto"/>
      </w:pPr>
      <w:r>
        <w:separator/>
      </w:r>
    </w:p>
  </w:footnote>
  <w:footnote w:type="continuationSeparator" w:id="0">
    <w:p w:rsidR="008C1912" w:rsidRDefault="008C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D1" w:rsidRDefault="00AC69D1">
    <w:pPr>
      <w:pStyle w:val="a4"/>
      <w:jc w:val="center"/>
    </w:pPr>
  </w:p>
  <w:p w:rsidR="00AC69D1" w:rsidRDefault="00AC69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6F9"/>
    <w:multiLevelType w:val="hybridMultilevel"/>
    <w:tmpl w:val="612A064C"/>
    <w:lvl w:ilvl="0" w:tplc="267A7F70">
      <w:start w:val="1"/>
      <w:numFmt w:val="decimal"/>
      <w:lvlText w:val="%1)"/>
      <w:lvlJc w:val="left"/>
      <w:pPr>
        <w:ind w:left="915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75F1110"/>
    <w:multiLevelType w:val="hybridMultilevel"/>
    <w:tmpl w:val="E7867C22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381F29"/>
    <w:multiLevelType w:val="hybridMultilevel"/>
    <w:tmpl w:val="25189450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43645A"/>
    <w:multiLevelType w:val="hybridMultilevel"/>
    <w:tmpl w:val="0708F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2F98"/>
    <w:multiLevelType w:val="hybridMultilevel"/>
    <w:tmpl w:val="803CE7F2"/>
    <w:lvl w:ilvl="0" w:tplc="CF548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540DD0"/>
    <w:multiLevelType w:val="hybridMultilevel"/>
    <w:tmpl w:val="8BA82A80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763A22"/>
    <w:multiLevelType w:val="hybridMultilevel"/>
    <w:tmpl w:val="75E09800"/>
    <w:lvl w:ilvl="0" w:tplc="A9B62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CB5382"/>
    <w:multiLevelType w:val="hybridMultilevel"/>
    <w:tmpl w:val="B45CBD58"/>
    <w:lvl w:ilvl="0" w:tplc="02BA10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0381E70"/>
    <w:multiLevelType w:val="hybridMultilevel"/>
    <w:tmpl w:val="AE78A468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6D7443"/>
    <w:multiLevelType w:val="hybridMultilevel"/>
    <w:tmpl w:val="5E7E98AC"/>
    <w:lvl w:ilvl="0" w:tplc="02BA10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6B922A2"/>
    <w:multiLevelType w:val="hybridMultilevel"/>
    <w:tmpl w:val="E2A441CA"/>
    <w:lvl w:ilvl="0" w:tplc="A42C9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763961"/>
    <w:multiLevelType w:val="hybridMultilevel"/>
    <w:tmpl w:val="350A102A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CA0615"/>
    <w:multiLevelType w:val="hybridMultilevel"/>
    <w:tmpl w:val="273A5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F0FC4"/>
    <w:multiLevelType w:val="hybridMultilevel"/>
    <w:tmpl w:val="32B0EE40"/>
    <w:lvl w:ilvl="0" w:tplc="02BA10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B6"/>
    <w:rsid w:val="00001DC8"/>
    <w:rsid w:val="00007472"/>
    <w:rsid w:val="00026440"/>
    <w:rsid w:val="000270BE"/>
    <w:rsid w:val="000315B5"/>
    <w:rsid w:val="00035EBC"/>
    <w:rsid w:val="00051382"/>
    <w:rsid w:val="00055C84"/>
    <w:rsid w:val="000676A6"/>
    <w:rsid w:val="000867F8"/>
    <w:rsid w:val="000941AA"/>
    <w:rsid w:val="000A3AE5"/>
    <w:rsid w:val="000B719C"/>
    <w:rsid w:val="000B7571"/>
    <w:rsid w:val="000B77D3"/>
    <w:rsid w:val="000D102B"/>
    <w:rsid w:val="0012613D"/>
    <w:rsid w:val="00143E41"/>
    <w:rsid w:val="001633E9"/>
    <w:rsid w:val="00166B54"/>
    <w:rsid w:val="00175E4C"/>
    <w:rsid w:val="001A05D5"/>
    <w:rsid w:val="001D241D"/>
    <w:rsid w:val="001D533B"/>
    <w:rsid w:val="001D587A"/>
    <w:rsid w:val="001F1909"/>
    <w:rsid w:val="001F3C9E"/>
    <w:rsid w:val="002153B8"/>
    <w:rsid w:val="00215476"/>
    <w:rsid w:val="00215D2F"/>
    <w:rsid w:val="00224F98"/>
    <w:rsid w:val="00231A0C"/>
    <w:rsid w:val="00247D75"/>
    <w:rsid w:val="0025242D"/>
    <w:rsid w:val="002811D1"/>
    <w:rsid w:val="00283CB5"/>
    <w:rsid w:val="002A1D9C"/>
    <w:rsid w:val="002A1F82"/>
    <w:rsid w:val="002B160C"/>
    <w:rsid w:val="00300CA2"/>
    <w:rsid w:val="00322CA8"/>
    <w:rsid w:val="00354D95"/>
    <w:rsid w:val="0036466C"/>
    <w:rsid w:val="003A08C0"/>
    <w:rsid w:val="003A5A12"/>
    <w:rsid w:val="003B0046"/>
    <w:rsid w:val="003C6408"/>
    <w:rsid w:val="003D0781"/>
    <w:rsid w:val="003F0B26"/>
    <w:rsid w:val="00423BB1"/>
    <w:rsid w:val="00433BB9"/>
    <w:rsid w:val="00434ACC"/>
    <w:rsid w:val="00454419"/>
    <w:rsid w:val="004573B3"/>
    <w:rsid w:val="004672E3"/>
    <w:rsid w:val="00476EAC"/>
    <w:rsid w:val="004837A3"/>
    <w:rsid w:val="00484A33"/>
    <w:rsid w:val="004A2217"/>
    <w:rsid w:val="004A5676"/>
    <w:rsid w:val="004B04D3"/>
    <w:rsid w:val="004B7EFF"/>
    <w:rsid w:val="004E03F8"/>
    <w:rsid w:val="004E4845"/>
    <w:rsid w:val="004E67C7"/>
    <w:rsid w:val="004E6CEE"/>
    <w:rsid w:val="00527B6B"/>
    <w:rsid w:val="005304A4"/>
    <w:rsid w:val="00535B26"/>
    <w:rsid w:val="005464A0"/>
    <w:rsid w:val="00573AAD"/>
    <w:rsid w:val="00591C71"/>
    <w:rsid w:val="00592C4B"/>
    <w:rsid w:val="00596E21"/>
    <w:rsid w:val="005973E6"/>
    <w:rsid w:val="005A3A63"/>
    <w:rsid w:val="005B35D5"/>
    <w:rsid w:val="005B3A5E"/>
    <w:rsid w:val="005C4236"/>
    <w:rsid w:val="005C54E2"/>
    <w:rsid w:val="005C7826"/>
    <w:rsid w:val="005C782F"/>
    <w:rsid w:val="00612025"/>
    <w:rsid w:val="00612197"/>
    <w:rsid w:val="00612712"/>
    <w:rsid w:val="00616712"/>
    <w:rsid w:val="006300F4"/>
    <w:rsid w:val="006535D5"/>
    <w:rsid w:val="00656F45"/>
    <w:rsid w:val="0065725C"/>
    <w:rsid w:val="00666555"/>
    <w:rsid w:val="006739B1"/>
    <w:rsid w:val="00680178"/>
    <w:rsid w:val="0069355D"/>
    <w:rsid w:val="007117BC"/>
    <w:rsid w:val="007557E8"/>
    <w:rsid w:val="007600D5"/>
    <w:rsid w:val="00764DDB"/>
    <w:rsid w:val="0076743F"/>
    <w:rsid w:val="00773D9C"/>
    <w:rsid w:val="00785E11"/>
    <w:rsid w:val="00787FEA"/>
    <w:rsid w:val="007A7B2C"/>
    <w:rsid w:val="007B27B6"/>
    <w:rsid w:val="007B3372"/>
    <w:rsid w:val="007D7B37"/>
    <w:rsid w:val="007E1642"/>
    <w:rsid w:val="007E6D6B"/>
    <w:rsid w:val="007F0D08"/>
    <w:rsid w:val="00800586"/>
    <w:rsid w:val="00804254"/>
    <w:rsid w:val="00814A3D"/>
    <w:rsid w:val="0081595E"/>
    <w:rsid w:val="008177D3"/>
    <w:rsid w:val="008211DA"/>
    <w:rsid w:val="00822CC5"/>
    <w:rsid w:val="00830E45"/>
    <w:rsid w:val="00840283"/>
    <w:rsid w:val="00841D66"/>
    <w:rsid w:val="008430A1"/>
    <w:rsid w:val="00846345"/>
    <w:rsid w:val="00850059"/>
    <w:rsid w:val="00862072"/>
    <w:rsid w:val="008704E3"/>
    <w:rsid w:val="00871BC0"/>
    <w:rsid w:val="00876861"/>
    <w:rsid w:val="00876B94"/>
    <w:rsid w:val="008A0843"/>
    <w:rsid w:val="008B3040"/>
    <w:rsid w:val="008B7062"/>
    <w:rsid w:val="008C1912"/>
    <w:rsid w:val="008D3AF8"/>
    <w:rsid w:val="008D615B"/>
    <w:rsid w:val="008E2D76"/>
    <w:rsid w:val="008E5C5F"/>
    <w:rsid w:val="008F160E"/>
    <w:rsid w:val="008F5763"/>
    <w:rsid w:val="008F7A86"/>
    <w:rsid w:val="009064C1"/>
    <w:rsid w:val="00915E29"/>
    <w:rsid w:val="00924948"/>
    <w:rsid w:val="0093347C"/>
    <w:rsid w:val="00942178"/>
    <w:rsid w:val="00967271"/>
    <w:rsid w:val="0098145E"/>
    <w:rsid w:val="009948D8"/>
    <w:rsid w:val="009962DA"/>
    <w:rsid w:val="009A0F57"/>
    <w:rsid w:val="009F21C3"/>
    <w:rsid w:val="009F57CA"/>
    <w:rsid w:val="00A249B9"/>
    <w:rsid w:val="00A24B9F"/>
    <w:rsid w:val="00A35B92"/>
    <w:rsid w:val="00A44492"/>
    <w:rsid w:val="00A553C4"/>
    <w:rsid w:val="00A577DB"/>
    <w:rsid w:val="00A60B65"/>
    <w:rsid w:val="00A9257E"/>
    <w:rsid w:val="00AA22C5"/>
    <w:rsid w:val="00AA6A68"/>
    <w:rsid w:val="00AC184F"/>
    <w:rsid w:val="00AC69D1"/>
    <w:rsid w:val="00AC7EA8"/>
    <w:rsid w:val="00AD02B5"/>
    <w:rsid w:val="00AF131C"/>
    <w:rsid w:val="00AF2410"/>
    <w:rsid w:val="00AF785B"/>
    <w:rsid w:val="00B01CFA"/>
    <w:rsid w:val="00B01FB3"/>
    <w:rsid w:val="00B12EF3"/>
    <w:rsid w:val="00B41A5C"/>
    <w:rsid w:val="00B51522"/>
    <w:rsid w:val="00B75CA3"/>
    <w:rsid w:val="00B778B7"/>
    <w:rsid w:val="00B87AEA"/>
    <w:rsid w:val="00B9413F"/>
    <w:rsid w:val="00BA2E73"/>
    <w:rsid w:val="00BC09EE"/>
    <w:rsid w:val="00BC15C9"/>
    <w:rsid w:val="00BC552A"/>
    <w:rsid w:val="00BE1738"/>
    <w:rsid w:val="00C011B6"/>
    <w:rsid w:val="00C11850"/>
    <w:rsid w:val="00C23544"/>
    <w:rsid w:val="00C36B7D"/>
    <w:rsid w:val="00C606C0"/>
    <w:rsid w:val="00C62C08"/>
    <w:rsid w:val="00C6663F"/>
    <w:rsid w:val="00C67B3B"/>
    <w:rsid w:val="00C83A8F"/>
    <w:rsid w:val="00C84091"/>
    <w:rsid w:val="00CE6061"/>
    <w:rsid w:val="00D04C42"/>
    <w:rsid w:val="00D04F91"/>
    <w:rsid w:val="00D10BFD"/>
    <w:rsid w:val="00D1287D"/>
    <w:rsid w:val="00D179BD"/>
    <w:rsid w:val="00D208B0"/>
    <w:rsid w:val="00D30396"/>
    <w:rsid w:val="00D62815"/>
    <w:rsid w:val="00D66C9B"/>
    <w:rsid w:val="00D73742"/>
    <w:rsid w:val="00D73B30"/>
    <w:rsid w:val="00D91FAB"/>
    <w:rsid w:val="00DA5E34"/>
    <w:rsid w:val="00DD1C4A"/>
    <w:rsid w:val="00E04EEC"/>
    <w:rsid w:val="00E1490D"/>
    <w:rsid w:val="00E16C58"/>
    <w:rsid w:val="00E22C82"/>
    <w:rsid w:val="00E3353C"/>
    <w:rsid w:val="00E44A53"/>
    <w:rsid w:val="00E55C9D"/>
    <w:rsid w:val="00E579B6"/>
    <w:rsid w:val="00E72501"/>
    <w:rsid w:val="00E82A06"/>
    <w:rsid w:val="00E82B9F"/>
    <w:rsid w:val="00E91F33"/>
    <w:rsid w:val="00EB3156"/>
    <w:rsid w:val="00EB7E03"/>
    <w:rsid w:val="00EC7830"/>
    <w:rsid w:val="00EE2AE5"/>
    <w:rsid w:val="00F0243E"/>
    <w:rsid w:val="00F13ED8"/>
    <w:rsid w:val="00F23639"/>
    <w:rsid w:val="00F248CA"/>
    <w:rsid w:val="00F33F56"/>
    <w:rsid w:val="00F455A1"/>
    <w:rsid w:val="00F5407B"/>
    <w:rsid w:val="00F726C3"/>
    <w:rsid w:val="00F93D1C"/>
    <w:rsid w:val="00FA562D"/>
    <w:rsid w:val="00FA6CCA"/>
    <w:rsid w:val="00FB06E7"/>
    <w:rsid w:val="00FB102A"/>
    <w:rsid w:val="00FC74C1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805B"/>
  <w15:chartTrackingRefBased/>
  <w15:docId w15:val="{68D9E813-6936-415E-B558-E647252D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76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4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15476"/>
  </w:style>
  <w:style w:type="paragraph" w:styleId="a6">
    <w:name w:val="footer"/>
    <w:basedOn w:val="a"/>
    <w:link w:val="a7"/>
    <w:uiPriority w:val="99"/>
    <w:unhideWhenUsed/>
    <w:rsid w:val="002154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15476"/>
  </w:style>
  <w:style w:type="character" w:styleId="a8">
    <w:name w:val="Hyperlink"/>
    <w:basedOn w:val="a0"/>
    <w:uiPriority w:val="99"/>
    <w:semiHidden/>
    <w:unhideWhenUsed/>
    <w:rsid w:val="00AC184F"/>
    <w:rPr>
      <w:color w:val="0000FF"/>
      <w:u w:val="single"/>
    </w:rPr>
  </w:style>
  <w:style w:type="paragraph" w:customStyle="1" w:styleId="xfmc1">
    <w:name w:val="xfmc1"/>
    <w:basedOn w:val="a"/>
    <w:rsid w:val="0012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8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9">
    <w:name w:val="Table Grid"/>
    <w:basedOn w:val="a1"/>
    <w:uiPriority w:val="59"/>
    <w:rsid w:val="00484A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48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84A33"/>
  </w:style>
  <w:style w:type="paragraph" w:styleId="HTML">
    <w:name w:val="HTML Preformatted"/>
    <w:basedOn w:val="a"/>
    <w:link w:val="HTML0"/>
    <w:uiPriority w:val="99"/>
    <w:unhideWhenUsed/>
    <w:rsid w:val="00C36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36B7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03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3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5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822-2016-%D0%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254-4B50-4A30-B8A3-0C1CA989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13796</Words>
  <Characters>7865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Gorbatyuk S.Y.</cp:lastModifiedBy>
  <cp:revision>37</cp:revision>
  <cp:lastPrinted>2019-11-28T14:17:00Z</cp:lastPrinted>
  <dcterms:created xsi:type="dcterms:W3CDTF">2019-09-11T06:11:00Z</dcterms:created>
  <dcterms:modified xsi:type="dcterms:W3CDTF">2019-11-28T14:37:00Z</dcterms:modified>
</cp:coreProperties>
</file>