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D38" w:rsidRPr="0072270F" w:rsidRDefault="0072270F" w:rsidP="007C5605">
      <w:pPr>
        <w:spacing w:after="0" w:line="240" w:lineRule="auto"/>
        <w:jc w:val="center"/>
        <w:rPr>
          <w:rFonts w:ascii="Times New Roman" w:hAnsi="Times New Roman" w:cs="Times New Roman"/>
          <w:b/>
          <w:sz w:val="24"/>
          <w:szCs w:val="24"/>
          <w:lang w:val="uk-UA"/>
        </w:rPr>
      </w:pPr>
      <w:r w:rsidRPr="0072270F">
        <w:rPr>
          <w:rFonts w:ascii="Times New Roman" w:hAnsi="Times New Roman" w:cs="Times New Roman"/>
          <w:b/>
          <w:sz w:val="24"/>
          <w:szCs w:val="24"/>
          <w:lang w:val="uk-UA"/>
        </w:rPr>
        <w:t>Звіт про р</w:t>
      </w:r>
      <w:r w:rsidR="004E0C25" w:rsidRPr="0072270F">
        <w:rPr>
          <w:rFonts w:ascii="Times New Roman" w:hAnsi="Times New Roman" w:cs="Times New Roman"/>
          <w:b/>
          <w:sz w:val="24"/>
          <w:szCs w:val="24"/>
          <w:lang w:val="uk-UA"/>
        </w:rPr>
        <w:t xml:space="preserve">езультати громадського обговорення </w:t>
      </w:r>
      <w:r w:rsidRPr="0072270F">
        <w:rPr>
          <w:rFonts w:ascii="Times New Roman" w:hAnsi="Times New Roman" w:cs="Times New Roman"/>
          <w:b/>
          <w:sz w:val="24"/>
          <w:szCs w:val="24"/>
          <w:lang w:val="uk-UA"/>
        </w:rPr>
        <w:t>проекту Правил оцінювання закладів вищої освіти з метою надання та підтвердження статусу національного закладу вищої освіти</w:t>
      </w:r>
      <w:bookmarkStart w:id="0" w:name="_GoBack"/>
      <w:bookmarkEnd w:id="0"/>
    </w:p>
    <w:p w:rsidR="004E0C25" w:rsidRPr="004E0C25" w:rsidRDefault="004E0C25" w:rsidP="007C5605">
      <w:pPr>
        <w:spacing w:after="0" w:line="240" w:lineRule="auto"/>
        <w:jc w:val="both"/>
        <w:rPr>
          <w:rFonts w:ascii="Times New Roman" w:hAnsi="Times New Roman" w:cs="Times New Roman"/>
          <w:sz w:val="24"/>
          <w:szCs w:val="24"/>
          <w:lang w:val="uk-UA"/>
        </w:rPr>
      </w:pPr>
    </w:p>
    <w:p w:rsidR="004E0C25" w:rsidRPr="004E0C25" w:rsidRDefault="004E0C25" w:rsidP="007C5605">
      <w:pPr>
        <w:spacing w:after="0" w:line="240" w:lineRule="auto"/>
        <w:jc w:val="both"/>
        <w:rPr>
          <w:rFonts w:ascii="Times New Roman" w:hAnsi="Times New Roman" w:cs="Times New Roman"/>
          <w:sz w:val="24"/>
          <w:szCs w:val="24"/>
          <w:lang w:val="uk-UA"/>
        </w:rPr>
      </w:pPr>
    </w:p>
    <w:tbl>
      <w:tblPr>
        <w:tblStyle w:val="a3"/>
        <w:tblW w:w="14302" w:type="dxa"/>
        <w:tblLook w:val="04A0" w:firstRow="1" w:lastRow="0" w:firstColumn="1" w:lastColumn="0" w:noHBand="0" w:noVBand="1"/>
      </w:tblPr>
      <w:tblGrid>
        <w:gridCol w:w="3256"/>
        <w:gridCol w:w="5103"/>
        <w:gridCol w:w="2552"/>
        <w:gridCol w:w="3391"/>
      </w:tblGrid>
      <w:tr w:rsidR="004E0C25" w:rsidRPr="00E00DD1" w:rsidTr="007C5605">
        <w:tc>
          <w:tcPr>
            <w:tcW w:w="3256" w:type="dxa"/>
          </w:tcPr>
          <w:p w:rsidR="004E0C25" w:rsidRPr="00E00DD1" w:rsidRDefault="004E0C25" w:rsidP="007C5605">
            <w:pPr>
              <w:jc w:val="center"/>
              <w:rPr>
                <w:rFonts w:ascii="Times New Roman" w:hAnsi="Times New Roman" w:cs="Times New Roman"/>
                <w:b/>
                <w:sz w:val="20"/>
                <w:szCs w:val="20"/>
                <w:lang w:val="uk-UA"/>
              </w:rPr>
            </w:pPr>
            <w:r w:rsidRPr="00E00DD1">
              <w:rPr>
                <w:rFonts w:ascii="Times New Roman" w:hAnsi="Times New Roman" w:cs="Times New Roman"/>
                <w:b/>
                <w:sz w:val="20"/>
                <w:szCs w:val="20"/>
                <w:lang w:val="uk-UA"/>
              </w:rPr>
              <w:t>Первинна редакція</w:t>
            </w:r>
          </w:p>
        </w:tc>
        <w:tc>
          <w:tcPr>
            <w:tcW w:w="5103" w:type="dxa"/>
          </w:tcPr>
          <w:p w:rsidR="004E0C25" w:rsidRPr="00E00DD1" w:rsidRDefault="004E0C25" w:rsidP="007C5605">
            <w:pPr>
              <w:jc w:val="center"/>
              <w:rPr>
                <w:rFonts w:ascii="Times New Roman" w:hAnsi="Times New Roman" w:cs="Times New Roman"/>
                <w:b/>
                <w:sz w:val="20"/>
                <w:szCs w:val="20"/>
                <w:lang w:val="uk-UA"/>
              </w:rPr>
            </w:pPr>
            <w:r w:rsidRPr="00E00DD1">
              <w:rPr>
                <w:rFonts w:ascii="Times New Roman" w:hAnsi="Times New Roman" w:cs="Times New Roman"/>
                <w:b/>
                <w:sz w:val="20"/>
                <w:szCs w:val="20"/>
                <w:lang w:val="uk-UA"/>
              </w:rPr>
              <w:t>Пропозиції</w:t>
            </w:r>
          </w:p>
        </w:tc>
        <w:tc>
          <w:tcPr>
            <w:tcW w:w="2552" w:type="dxa"/>
          </w:tcPr>
          <w:p w:rsidR="004E0C25" w:rsidRPr="00E00DD1" w:rsidRDefault="004E0C25" w:rsidP="007C5605">
            <w:pPr>
              <w:jc w:val="center"/>
              <w:rPr>
                <w:rFonts w:ascii="Times New Roman" w:hAnsi="Times New Roman" w:cs="Times New Roman"/>
                <w:b/>
                <w:sz w:val="20"/>
                <w:szCs w:val="20"/>
                <w:lang w:val="uk-UA"/>
              </w:rPr>
            </w:pPr>
            <w:r w:rsidRPr="00E00DD1">
              <w:rPr>
                <w:rFonts w:ascii="Times New Roman" w:hAnsi="Times New Roman" w:cs="Times New Roman"/>
                <w:b/>
                <w:sz w:val="20"/>
                <w:szCs w:val="20"/>
                <w:lang w:val="uk-UA"/>
              </w:rPr>
              <w:t>Рішення щодо пропозиції</w:t>
            </w:r>
          </w:p>
        </w:tc>
        <w:tc>
          <w:tcPr>
            <w:tcW w:w="3391" w:type="dxa"/>
          </w:tcPr>
          <w:p w:rsidR="004E0C25" w:rsidRPr="00E00DD1" w:rsidRDefault="004E0C25" w:rsidP="007C5605">
            <w:pPr>
              <w:jc w:val="center"/>
              <w:rPr>
                <w:rFonts w:ascii="Times New Roman" w:hAnsi="Times New Roman" w:cs="Times New Roman"/>
                <w:b/>
                <w:sz w:val="20"/>
                <w:szCs w:val="20"/>
                <w:lang w:val="uk-UA"/>
              </w:rPr>
            </w:pPr>
            <w:r w:rsidRPr="00E00DD1">
              <w:rPr>
                <w:rFonts w:ascii="Times New Roman" w:hAnsi="Times New Roman" w:cs="Times New Roman"/>
                <w:b/>
                <w:sz w:val="20"/>
                <w:szCs w:val="20"/>
                <w:lang w:val="uk-UA"/>
              </w:rPr>
              <w:t>Остаточна редакція</w:t>
            </w:r>
          </w:p>
        </w:tc>
      </w:tr>
      <w:tr w:rsidR="004E0C25" w:rsidRPr="0072270F" w:rsidTr="007C5605">
        <w:tc>
          <w:tcPr>
            <w:tcW w:w="3256" w:type="dxa"/>
          </w:tcPr>
          <w:p w:rsidR="004E0C25" w:rsidRPr="00E00DD1" w:rsidRDefault="004E0C25"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1) індикатор виконання порівняльного критерію, визначеного підпунктом 2 пункту 4 Критеріїв, застосовується лише для закладів вищої освіти, які здійснюють підготовку фахівців на другому (магістерському) рівні вищої освіти за спеціальностями, для яких передбачено атестацію у формі єдиного державного кваліфікаційного іспиту. Для інших закладів вищої освіти індикатор виконання цього критерію становить 0 одиниць;</w:t>
            </w:r>
          </w:p>
          <w:p w:rsidR="004E0C25" w:rsidRPr="00E00DD1" w:rsidRDefault="004E0C25" w:rsidP="007C5605">
            <w:pPr>
              <w:ind w:firstLine="306"/>
              <w:jc w:val="both"/>
              <w:rPr>
                <w:rFonts w:ascii="Times New Roman" w:hAnsi="Times New Roman" w:cs="Times New Roman"/>
                <w:sz w:val="20"/>
                <w:szCs w:val="20"/>
                <w:lang w:val="uk-UA"/>
              </w:rPr>
            </w:pPr>
          </w:p>
        </w:tc>
        <w:tc>
          <w:tcPr>
            <w:tcW w:w="5103" w:type="dxa"/>
          </w:tcPr>
          <w:p w:rsidR="004E0C25" w:rsidRPr="00E00DD1" w:rsidRDefault="004E0C25" w:rsidP="007C5605">
            <w:pPr>
              <w:ind w:firstLine="306"/>
              <w:jc w:val="both"/>
              <w:rPr>
                <w:rFonts w:ascii="Times New Roman" w:hAnsi="Times New Roman" w:cs="Times New Roman"/>
                <w:b/>
                <w:sz w:val="20"/>
                <w:szCs w:val="20"/>
                <w:lang w:val="uk-UA"/>
              </w:rPr>
            </w:pPr>
            <w:r w:rsidRPr="00E00DD1">
              <w:rPr>
                <w:rFonts w:ascii="Times New Roman" w:hAnsi="Times New Roman" w:cs="Times New Roman"/>
                <w:b/>
                <w:sz w:val="20"/>
                <w:szCs w:val="20"/>
                <w:lang w:val="uk-UA"/>
              </w:rPr>
              <w:t>ЛП</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підпункт 1 пункту 7 Правил ставить заклади вищої освіти в нерівні умови, адже ті з них, які здійснюють підготовку фахівців на другому (магістерському) рівні вищої освіти за спеціальностями, для яких передбачено атестацію у формі єдиного державного кваліфікаційного іспиту, мають можливість отримати певний обсяг одиниць за цим індикатором, а інщі - не мають такої можливості. Тому такий критерій не повинен використовуватись для порівняння результатів оцінювання всіх закладів вищої освіти, а лише тих, для яких він релевантний</w:t>
            </w:r>
          </w:p>
        </w:tc>
        <w:tc>
          <w:tcPr>
            <w:tcW w:w="2552" w:type="dxa"/>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xml:space="preserve">Відхилено. Оскільки усім інших закладам нараховується 0 балів, фактично порівняння здійснюється лише серед тих закладів, студенти яких складають ЄДКІ. </w:t>
            </w:r>
          </w:p>
        </w:tc>
        <w:tc>
          <w:tcPr>
            <w:tcW w:w="3391" w:type="dxa"/>
          </w:tcPr>
          <w:p w:rsidR="004E0C25" w:rsidRPr="00E00DD1" w:rsidRDefault="004E0C25"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1) індикатор виконання порівняльного критерію, визначеного підпунктом 2 пункту 4 Критеріїв, застосовується лише для закладів вищої освіти, які здійснюють підготовку фахівців на другому (магістерському) рівні вищої освіти за спеціальностями, для яких передбачено атестацію у формі єдиного державного кваліфікаційного іспиту. Для інших закладів вищої освіти індикатор виконання цього критерію становить 0 одиниць;</w:t>
            </w:r>
          </w:p>
          <w:p w:rsidR="004E0C25" w:rsidRPr="00E00DD1" w:rsidRDefault="004E0C25" w:rsidP="007C5605">
            <w:pPr>
              <w:ind w:firstLine="306"/>
              <w:jc w:val="both"/>
              <w:rPr>
                <w:rFonts w:ascii="Times New Roman" w:hAnsi="Times New Roman" w:cs="Times New Roman"/>
                <w:sz w:val="20"/>
                <w:szCs w:val="20"/>
                <w:lang w:val="uk-UA"/>
              </w:rPr>
            </w:pPr>
          </w:p>
        </w:tc>
      </w:tr>
      <w:tr w:rsidR="00E00DD1" w:rsidRPr="00E00DD1" w:rsidTr="007C5605">
        <w:tc>
          <w:tcPr>
            <w:tcW w:w="3256" w:type="dxa"/>
            <w:vMerge w:val="restart"/>
          </w:tcPr>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1) індикатор виконання преміального критерію, визначеного підпунктом 1 пункту 5 Критеріїв, становить:</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2 одиниці – за умови входження закладу вищої освіти у перші 500 позицій рейтингу QS (QS World University Rankings), перші 1000 позицій рейтингу THE (Times Higher Education World University Rankings) та/або перші 1000 позицій Шанхайського рейтингу (Academic Ranking of World Universities) упродовж не менше 3 років підряд за останні 7 років до подання конкурсної/моніторингової справи;</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0 одиниць – в інших випадках;</w:t>
            </w:r>
          </w:p>
          <w:p w:rsidR="00E00DD1" w:rsidRPr="00E00DD1" w:rsidRDefault="00E00DD1" w:rsidP="007C5605">
            <w:pPr>
              <w:ind w:firstLine="306"/>
              <w:jc w:val="both"/>
              <w:rPr>
                <w:rFonts w:ascii="Times New Roman" w:hAnsi="Times New Roman" w:cs="Times New Roman"/>
                <w:sz w:val="20"/>
                <w:szCs w:val="20"/>
                <w:lang w:val="uk-UA"/>
              </w:rPr>
            </w:pPr>
          </w:p>
        </w:tc>
        <w:tc>
          <w:tcPr>
            <w:tcW w:w="5103" w:type="dxa"/>
          </w:tcPr>
          <w:p w:rsidR="00E00DD1" w:rsidRPr="00E00DD1" w:rsidRDefault="00E00DD1" w:rsidP="007C5605">
            <w:pPr>
              <w:ind w:firstLine="306"/>
              <w:jc w:val="both"/>
              <w:rPr>
                <w:rFonts w:ascii="Times New Roman" w:hAnsi="Times New Roman" w:cs="Times New Roman"/>
                <w:b/>
                <w:sz w:val="20"/>
                <w:szCs w:val="20"/>
                <w:lang w:val="uk-UA"/>
              </w:rPr>
            </w:pPr>
            <w:r w:rsidRPr="00E00DD1">
              <w:rPr>
                <w:rFonts w:ascii="Times New Roman" w:hAnsi="Times New Roman" w:cs="Times New Roman"/>
                <w:b/>
                <w:sz w:val="20"/>
                <w:szCs w:val="20"/>
                <w:lang w:val="uk-UA"/>
              </w:rPr>
              <w:lastRenderedPageBreak/>
              <w:t>КрНУ</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1. Щодо преміального критерію зазначеного у пункті 8 підпункту 1 Правил вважаємо за доцільне враховувати місце ЗВО не тільки за даними рейтингу QS World University Rankings, а і за даними рейтингу QS Emerging Europe and Central Asia (QS EECA). Пропонуємо надавати ЗВО, що входять до цього рейтингу 1 одиницю. Адже до рейтингу QS World University Rankings ТОП-500 входить лише один університет нашої держави Харківський національний університет імені В.Н. Каразіна (за даними 2019 року), а до рейтингу QS EECA 18 університетів. Це дозволить більш об’єктивно враховувати здобутки ЗВО та створить передумови для стимулювання розвитку університетів у подальшому. Така практика розповсюджена у країнах, що входять до вищезазначеного рейтингу QS EECA.</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xml:space="preserve">Теж саме стосується рейтингу THE (Times Higher Education World University Rankings), в якому у першій тисячі налічується один університет – Київський національний університет імені Тараса Шевченка. </w:t>
            </w:r>
            <w:r w:rsidRPr="00E00DD1">
              <w:rPr>
                <w:rFonts w:ascii="Times New Roman" w:hAnsi="Times New Roman" w:cs="Times New Roman"/>
                <w:sz w:val="20"/>
                <w:szCs w:val="20"/>
                <w:lang w:val="uk-UA"/>
              </w:rPr>
              <w:lastRenderedPageBreak/>
              <w:t>Пропонуємо враховувати рейтинг 1000+, у який входять п’ять університетів країни (за даними 2018 року). Та надавати цим університетам 1 одиницю відповідного індикатора.</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Для об’єктивного оцінювання університетів України важливим кроком є створення національної системи рейтингового оцінювання, яка буде враховувати усі особливості розвитку освітянської системи нашої держави.</w:t>
            </w:r>
          </w:p>
        </w:tc>
        <w:tc>
          <w:tcPr>
            <w:tcW w:w="2552"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lastRenderedPageBreak/>
              <w:t>Ураховано частково</w:t>
            </w:r>
          </w:p>
        </w:tc>
        <w:tc>
          <w:tcPr>
            <w:tcW w:w="3391" w:type="dxa"/>
            <w:vMerge w:val="restart"/>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1) індикатор виконання преміального критерію, визначеного підпунктом 1 пункту 5 Критеріїв, становить:</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2 одиниці – за умови входження закладу вищої освіти у перші 1000 позицій рейтингу QS (QS World University Rankings), перші 1000 позицій рейтингу THE (Times Higher Education World University Rankings) та/або перші 500 позицій Шанхайського рейтингу (Academic Ranking of World Universities) упродовж не менше 3 років підряд за останні 7 років до подання конкурсної/моніторингової справи;</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xml:space="preserve">1 одиницю – за умови входження закладу вищої освіти у перші 500 позицій рейтингу QS EECA (QS University Rankings: Eastern Europe </w:t>
            </w:r>
            <w:r w:rsidRPr="00E00DD1">
              <w:rPr>
                <w:rFonts w:ascii="Times New Roman" w:hAnsi="Times New Roman" w:cs="Times New Roman"/>
                <w:sz w:val="20"/>
                <w:szCs w:val="20"/>
                <w:lang w:val="uk-UA"/>
              </w:rPr>
              <w:lastRenderedPageBreak/>
              <w:t>and Central Asia) упродовж не менше 3 років підряд за останні 7 років до подання конкурсної/моніторингової справи;</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0 одиниць – в інших випадках;</w:t>
            </w:r>
          </w:p>
        </w:tc>
      </w:tr>
      <w:tr w:rsidR="00E00DD1" w:rsidRPr="00E00DD1" w:rsidTr="007C5605">
        <w:tc>
          <w:tcPr>
            <w:tcW w:w="3256" w:type="dxa"/>
            <w:vMerge/>
          </w:tcPr>
          <w:p w:rsidR="00E00DD1" w:rsidRPr="00E00DD1" w:rsidRDefault="00E00DD1" w:rsidP="007C5605">
            <w:pPr>
              <w:ind w:firstLine="306"/>
              <w:jc w:val="both"/>
              <w:rPr>
                <w:rFonts w:ascii="Times New Roman" w:hAnsi="Times New Roman" w:cs="Times New Roman"/>
                <w:sz w:val="20"/>
                <w:szCs w:val="20"/>
                <w:lang w:val="uk-UA"/>
              </w:rPr>
            </w:pPr>
          </w:p>
        </w:tc>
        <w:tc>
          <w:tcPr>
            <w:tcW w:w="5103" w:type="dxa"/>
          </w:tcPr>
          <w:p w:rsidR="00E00DD1" w:rsidRPr="00E00DD1" w:rsidRDefault="00E00DD1" w:rsidP="007C5605">
            <w:pPr>
              <w:ind w:firstLine="306"/>
              <w:jc w:val="both"/>
              <w:rPr>
                <w:rFonts w:ascii="Times New Roman" w:hAnsi="Times New Roman" w:cs="Times New Roman"/>
                <w:b/>
                <w:sz w:val="20"/>
                <w:szCs w:val="20"/>
                <w:lang w:val="uk-UA"/>
              </w:rPr>
            </w:pPr>
            <w:r w:rsidRPr="00E00DD1">
              <w:rPr>
                <w:rFonts w:ascii="Times New Roman" w:hAnsi="Times New Roman" w:cs="Times New Roman"/>
                <w:b/>
                <w:sz w:val="20"/>
                <w:szCs w:val="20"/>
                <w:lang w:val="uk-UA"/>
              </w:rPr>
              <w:t>ХПІ</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Абзац 2 підпункту 1 пункту 8 ПРАВИЛ пропонуємо сформулювати наступним чином:</w:t>
            </w:r>
          </w:p>
          <w:p w:rsidR="00E00DD1" w:rsidRPr="00E00DD1" w:rsidRDefault="00E00DD1" w:rsidP="007C5605">
            <w:pPr>
              <w:ind w:firstLine="306"/>
              <w:jc w:val="both"/>
              <w:rPr>
                <w:rFonts w:ascii="Times New Roman" w:hAnsi="Times New Roman" w:cs="Times New Roman"/>
                <w:sz w:val="20"/>
                <w:szCs w:val="20"/>
                <w:lang w:val="uk-UA"/>
              </w:rPr>
            </w:pP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2 одиниці – за умови входження закладу вищої освіти у перші 1000 позицій рейтингу QS (QS World University Rankings), перші 1000 позицій рейтингу THE (Times Higher Education World University Rankings) та/або перші 500 позицій Шанхайського рейтингу (Academic Ranking of World Universities) упродовж не менше 3 років підряд за останні 7 років до подання конкурсної/моніторингової справи</w:t>
            </w:r>
          </w:p>
        </w:tc>
        <w:tc>
          <w:tcPr>
            <w:tcW w:w="2552"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Ураховано частково</w:t>
            </w:r>
          </w:p>
        </w:tc>
        <w:tc>
          <w:tcPr>
            <w:tcW w:w="3391" w:type="dxa"/>
            <w:vMerge/>
          </w:tcPr>
          <w:p w:rsidR="00E00DD1" w:rsidRPr="00E00DD1" w:rsidRDefault="00E00DD1" w:rsidP="007C5605">
            <w:pPr>
              <w:ind w:firstLine="306"/>
              <w:jc w:val="both"/>
              <w:rPr>
                <w:rFonts w:ascii="Times New Roman" w:hAnsi="Times New Roman" w:cs="Times New Roman"/>
                <w:sz w:val="20"/>
                <w:szCs w:val="20"/>
                <w:lang w:val="uk-UA"/>
              </w:rPr>
            </w:pPr>
          </w:p>
        </w:tc>
      </w:tr>
      <w:tr w:rsidR="00E00DD1" w:rsidRPr="0072270F" w:rsidTr="007C5605">
        <w:tc>
          <w:tcPr>
            <w:tcW w:w="3256" w:type="dxa"/>
            <w:vMerge/>
          </w:tcPr>
          <w:p w:rsidR="00E00DD1" w:rsidRPr="00E00DD1" w:rsidRDefault="00E00DD1" w:rsidP="007C5605">
            <w:pPr>
              <w:ind w:firstLine="306"/>
              <w:jc w:val="both"/>
              <w:rPr>
                <w:rFonts w:ascii="Times New Roman" w:hAnsi="Times New Roman" w:cs="Times New Roman"/>
                <w:sz w:val="20"/>
                <w:szCs w:val="20"/>
                <w:lang w:val="uk-UA"/>
              </w:rPr>
            </w:pPr>
          </w:p>
        </w:tc>
        <w:tc>
          <w:tcPr>
            <w:tcW w:w="5103" w:type="dxa"/>
          </w:tcPr>
          <w:p w:rsidR="00E00DD1" w:rsidRPr="00E00DD1" w:rsidRDefault="00E00DD1" w:rsidP="007C5605">
            <w:pPr>
              <w:ind w:firstLine="306"/>
              <w:jc w:val="both"/>
              <w:rPr>
                <w:rFonts w:ascii="Times New Roman" w:hAnsi="Times New Roman" w:cs="Times New Roman"/>
                <w:b/>
                <w:sz w:val="20"/>
                <w:szCs w:val="20"/>
                <w:lang w:val="uk-UA"/>
              </w:rPr>
            </w:pPr>
            <w:r w:rsidRPr="00E00DD1">
              <w:rPr>
                <w:rFonts w:ascii="Times New Roman" w:hAnsi="Times New Roman" w:cs="Times New Roman"/>
                <w:sz w:val="20"/>
                <w:szCs w:val="20"/>
                <w:lang w:val="uk-UA"/>
              </w:rPr>
              <w:t xml:space="preserve">1.2) підпункт 1 пункту 8 визначає можливість закладу вищої освіти бути оціненим за преміальним критерієм присутності у міжнародних рейтингах лище за умови входження у перші 500 позицій рейтингу </w:t>
            </w:r>
            <w:r w:rsidRPr="00E00DD1">
              <w:rPr>
                <w:rFonts w:ascii="Times New Roman" w:hAnsi="Times New Roman" w:cs="Times New Roman"/>
                <w:sz w:val="20"/>
                <w:szCs w:val="20"/>
              </w:rPr>
              <w:t>QS</w:t>
            </w:r>
            <w:r w:rsidRPr="00E00DD1">
              <w:rPr>
                <w:rFonts w:ascii="Times New Roman" w:hAnsi="Times New Roman" w:cs="Times New Roman"/>
                <w:sz w:val="20"/>
                <w:szCs w:val="20"/>
                <w:lang w:val="uk-UA"/>
              </w:rPr>
              <w:t xml:space="preserve">, перші 1000 позицій рейтингу </w:t>
            </w:r>
            <w:r w:rsidRPr="00E00DD1">
              <w:rPr>
                <w:rFonts w:ascii="Times New Roman" w:hAnsi="Times New Roman" w:cs="Times New Roman"/>
                <w:sz w:val="20"/>
                <w:szCs w:val="20"/>
              </w:rPr>
              <w:t>THE</w:t>
            </w:r>
            <w:r w:rsidRPr="00E00DD1">
              <w:rPr>
                <w:rFonts w:ascii="Times New Roman" w:hAnsi="Times New Roman" w:cs="Times New Roman"/>
                <w:sz w:val="20"/>
                <w:szCs w:val="20"/>
                <w:lang w:val="uk-UA"/>
              </w:rPr>
              <w:t xml:space="preserve"> та/або перші 1000 позицій Шанхайського рейтингу упродовж не менше З років підряд за останні 7 років. Таке формулювання є абсолютно необгрунтованим, оскільки: по-перше, вказаним вимогам відповідає лише один заклад вищої освіти в Україні; по-друге. Критерії надання та підтвердження статусу національного закладу вищої освіти, затверджені Постановою КМУ від 22.11.2017 р. № 912, не містять жодних обмежень рейтингового списку; і на кінець, саме потрапляння закладу вищої освіти у визначені міжнародні рейтинги вже є досягненням для системи вищої освіти України, оскільки на сьогодні таких закладів є лише 7. Тому оцінювання цього преміального критерію має враховувати весь рейтинговий список університетів: для </w:t>
            </w:r>
            <w:r w:rsidRPr="00E00DD1">
              <w:rPr>
                <w:rFonts w:ascii="Times New Roman" w:hAnsi="Times New Roman" w:cs="Times New Roman"/>
                <w:sz w:val="20"/>
                <w:szCs w:val="20"/>
              </w:rPr>
              <w:t>QS</w:t>
            </w:r>
            <w:r w:rsidRPr="00E00DD1">
              <w:rPr>
                <w:rFonts w:ascii="Times New Roman" w:hAnsi="Times New Roman" w:cs="Times New Roman"/>
                <w:sz w:val="20"/>
                <w:szCs w:val="20"/>
                <w:lang w:val="uk-UA"/>
              </w:rPr>
              <w:t xml:space="preserve"> - 800 позицій університетів, а для ТНЕ - 1001+позицій університетів</w:t>
            </w:r>
          </w:p>
        </w:tc>
        <w:tc>
          <w:tcPr>
            <w:tcW w:w="2552" w:type="dxa"/>
          </w:tcPr>
          <w:p w:rsidR="00E00DD1" w:rsidRPr="00E00DD1" w:rsidRDefault="00E00DD1" w:rsidP="007C5605">
            <w:pPr>
              <w:ind w:firstLine="306"/>
              <w:jc w:val="both"/>
              <w:rPr>
                <w:rFonts w:ascii="Times New Roman" w:hAnsi="Times New Roman" w:cs="Times New Roman"/>
                <w:sz w:val="20"/>
                <w:szCs w:val="20"/>
                <w:lang w:val="ru-RU"/>
              </w:rPr>
            </w:pPr>
            <w:r w:rsidRPr="00E00DD1">
              <w:rPr>
                <w:rFonts w:ascii="Times New Roman" w:hAnsi="Times New Roman" w:cs="Times New Roman"/>
                <w:sz w:val="20"/>
                <w:szCs w:val="20"/>
                <w:lang w:val="uk-UA"/>
              </w:rPr>
              <w:t xml:space="preserve">Ураховано частково (буде ураховуватися входження до топ-1000 </w:t>
            </w:r>
            <w:r w:rsidRPr="00E00DD1">
              <w:rPr>
                <w:rFonts w:ascii="Times New Roman" w:hAnsi="Times New Roman" w:cs="Times New Roman"/>
                <w:sz w:val="20"/>
                <w:szCs w:val="20"/>
                <w:lang w:val="ru-RU"/>
              </w:rPr>
              <w:t xml:space="preserve">у </w:t>
            </w:r>
            <w:r w:rsidRPr="00E00DD1">
              <w:rPr>
                <w:rFonts w:ascii="Times New Roman" w:hAnsi="Times New Roman" w:cs="Times New Roman"/>
                <w:sz w:val="20"/>
                <w:szCs w:val="20"/>
              </w:rPr>
              <w:t>QS</w:t>
            </w:r>
            <w:r w:rsidRPr="00E00DD1">
              <w:rPr>
                <w:rFonts w:ascii="Times New Roman" w:hAnsi="Times New Roman" w:cs="Times New Roman"/>
                <w:sz w:val="20"/>
                <w:szCs w:val="20"/>
                <w:lang w:val="ru-RU"/>
              </w:rPr>
              <w:t>).</w:t>
            </w:r>
          </w:p>
          <w:p w:rsidR="00E00DD1" w:rsidRPr="00E00DD1" w:rsidRDefault="00E00DD1" w:rsidP="007C5605">
            <w:pPr>
              <w:ind w:firstLine="306"/>
              <w:jc w:val="both"/>
              <w:rPr>
                <w:rFonts w:ascii="Times New Roman" w:hAnsi="Times New Roman" w:cs="Times New Roman"/>
                <w:sz w:val="20"/>
                <w:szCs w:val="20"/>
                <w:lang w:val="ru-RU"/>
              </w:rPr>
            </w:pP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ru-RU"/>
              </w:rPr>
              <w:t>В іншій частині відхилено – критерії можуть конкретизуватися у Правилах.</w:t>
            </w:r>
            <w:r w:rsidRPr="00E00DD1">
              <w:rPr>
                <w:rFonts w:ascii="Times New Roman" w:hAnsi="Times New Roman" w:cs="Times New Roman"/>
                <w:sz w:val="20"/>
                <w:szCs w:val="20"/>
                <w:lang w:val="uk-UA"/>
              </w:rPr>
              <w:t xml:space="preserve"> </w:t>
            </w:r>
          </w:p>
        </w:tc>
        <w:tc>
          <w:tcPr>
            <w:tcW w:w="3391" w:type="dxa"/>
            <w:vMerge/>
          </w:tcPr>
          <w:p w:rsidR="00E00DD1" w:rsidRPr="00E00DD1" w:rsidRDefault="00E00DD1" w:rsidP="007C5605">
            <w:pPr>
              <w:ind w:firstLine="306"/>
              <w:jc w:val="both"/>
              <w:rPr>
                <w:rFonts w:ascii="Times New Roman" w:hAnsi="Times New Roman" w:cs="Times New Roman"/>
                <w:sz w:val="20"/>
                <w:szCs w:val="20"/>
                <w:lang w:val="uk-UA"/>
              </w:rPr>
            </w:pPr>
          </w:p>
        </w:tc>
      </w:tr>
      <w:tr w:rsidR="004E0C25" w:rsidRPr="00E00DD1" w:rsidTr="007C5605">
        <w:tc>
          <w:tcPr>
            <w:tcW w:w="3256" w:type="dxa"/>
            <w:vMerge w:val="restart"/>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lastRenderedPageBreak/>
              <w:t>2) індикатор виконання преміального критерію, визначеного підпунктом 2 пункту 5 Критеріїв, становить:</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2 одиниці – за умови отримання закладом вищої освіти за останні 7 років до подання конкурсної/моніторингової справи не менше 1 акредитації (включаючи повторну акредитацію) від акредитаційного агентства, яке включене до Європейського реєстру забезпечення якості вищої освіти (European Quality Assurance Registry) (крім агентств, зареєстрованим місцезнаходженням яких є держава–агресор), або визнаного Департаментом освіти Сполучених Штатів Америки (U.S. Department of Education) та/або Радою з акредитації у вищій освіті (Council for Higher Education Accreditation);</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0 одиниць – в інших випадках;</w:t>
            </w:r>
          </w:p>
        </w:tc>
        <w:tc>
          <w:tcPr>
            <w:tcW w:w="5103" w:type="dxa"/>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b/>
                <w:sz w:val="20"/>
                <w:szCs w:val="20"/>
                <w:lang w:val="uk-UA"/>
              </w:rPr>
              <w:t>ХПІ</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Абзац 2 підпункту 2 пункту 8 ПРАВИЛ пропонуємо сформулювати наступним чином:</w:t>
            </w:r>
          </w:p>
          <w:p w:rsidR="004E0C25" w:rsidRPr="00E00DD1" w:rsidRDefault="004E0C25" w:rsidP="007C5605">
            <w:pPr>
              <w:ind w:firstLine="306"/>
              <w:jc w:val="both"/>
              <w:rPr>
                <w:rFonts w:ascii="Times New Roman" w:hAnsi="Times New Roman" w:cs="Times New Roman"/>
                <w:sz w:val="20"/>
                <w:szCs w:val="20"/>
                <w:lang w:val="uk-UA"/>
              </w:rPr>
            </w:pP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2 одиниці – за умови отримання закладом вищої освіти за останні 7 років до подання конкурсної/моніторингової справи не менше 1 акредитації (включаючи повторну акредитацію) від акредитаційного агентства, яке включене до Європейського реєстру забезпечення якості вищої освіти (European Quality Assurance Registry) (крім агентств, зареєстрованим місцезнаходженням яких є держава–агресор), або визнаного Департаментом освіти Сполучених Штатів Америки (U.S. Department of Education), або Радою з акредитації у вищій освіті (Council for Higher Education Accreditation) та/або за умови дотримання закладом вищої освіти за останні 7 років до подання конкурсної/моніторингової справи Сертифікату на систему управління якістю від Державного органу із сертифікації.</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Вимоги МОН пов’язані зі створенням в ЗВО системи забезпечення якості освіти з сертифікацією її за вимогами ДСТУ ISO 9001:2015 /</w:t>
            </w:r>
          </w:p>
        </w:tc>
        <w:tc>
          <w:tcPr>
            <w:tcW w:w="2552" w:type="dxa"/>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xml:space="preserve">Відхилено: вимог МОН щодо сертифікації системи забезпечення якості вищої освіти за ДСТУ </w:t>
            </w:r>
            <w:r w:rsidRPr="00E00DD1">
              <w:rPr>
                <w:rFonts w:ascii="Times New Roman" w:hAnsi="Times New Roman" w:cs="Times New Roman"/>
                <w:sz w:val="20"/>
                <w:szCs w:val="20"/>
              </w:rPr>
              <w:t>ISO</w:t>
            </w:r>
            <w:r w:rsidRPr="00E00DD1">
              <w:rPr>
                <w:rFonts w:ascii="Times New Roman" w:hAnsi="Times New Roman" w:cs="Times New Roman"/>
                <w:sz w:val="20"/>
                <w:szCs w:val="20"/>
                <w:lang w:val="uk-UA"/>
              </w:rPr>
              <w:t xml:space="preserve"> 9001:2015 не існує.</w:t>
            </w:r>
          </w:p>
        </w:tc>
        <w:tc>
          <w:tcPr>
            <w:tcW w:w="3391" w:type="dxa"/>
            <w:vMerge w:val="restart"/>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2) індикатор виконання преміального критерію, визначеного підпунктом 2 пункту 5 Критеріїв, становить:</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2 одиниці – за умови отримання закладом вищої освіти за останні 7 років до подання конкурсної/моніторингової справи не менше 1 акредитації (включаючи повторну акредитацію) від іноземного акредитаційного агентства чи агентства забезпечення якості вищої освіти, сертифікати якого визнаються в Україні відповідно до переліку, встановленого Кабінетом Міністрів України;</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0 одиниць – в інших випадках;</w:t>
            </w:r>
          </w:p>
        </w:tc>
      </w:tr>
      <w:tr w:rsidR="004E0C25" w:rsidRPr="0072270F" w:rsidTr="007C5605">
        <w:tc>
          <w:tcPr>
            <w:tcW w:w="3256" w:type="dxa"/>
            <w:vMerge/>
          </w:tcPr>
          <w:p w:rsidR="004E0C25" w:rsidRPr="00E00DD1" w:rsidRDefault="004E0C25" w:rsidP="007C5605">
            <w:pPr>
              <w:ind w:firstLine="306"/>
              <w:jc w:val="both"/>
              <w:rPr>
                <w:rFonts w:ascii="Times New Roman" w:hAnsi="Times New Roman" w:cs="Times New Roman"/>
                <w:sz w:val="20"/>
                <w:szCs w:val="20"/>
                <w:lang w:val="uk-UA"/>
              </w:rPr>
            </w:pPr>
          </w:p>
        </w:tc>
        <w:tc>
          <w:tcPr>
            <w:tcW w:w="5103" w:type="dxa"/>
          </w:tcPr>
          <w:p w:rsidR="004E0C25" w:rsidRPr="00E00DD1" w:rsidRDefault="004E0C25" w:rsidP="007C5605">
            <w:pPr>
              <w:ind w:firstLine="306"/>
              <w:jc w:val="both"/>
              <w:rPr>
                <w:rFonts w:ascii="Times New Roman" w:hAnsi="Times New Roman" w:cs="Times New Roman"/>
                <w:b/>
                <w:sz w:val="20"/>
                <w:szCs w:val="20"/>
                <w:lang w:val="uk-UA"/>
              </w:rPr>
            </w:pPr>
            <w:r w:rsidRPr="00E00DD1">
              <w:rPr>
                <w:rFonts w:ascii="Times New Roman" w:hAnsi="Times New Roman" w:cs="Times New Roman"/>
                <w:b/>
                <w:sz w:val="20"/>
                <w:szCs w:val="20"/>
                <w:lang w:val="uk-UA"/>
              </w:rPr>
              <w:t>КрНУ</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2. В підпункт 2 пункту 8 Правил необхідно внести уточнення, адже не зрозуміло, що мається на увазі під акредитацією: акредитація ЗВО в цілому, або акредитація окремих спеціальностей ЗВО.</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Крім, того пропонуємо зменшити до 1 одиниці індикатор виконання преміального критерію, визначеного підпунктом 2 пункту 5 Критеріїв надання та підтвердження статусу національного ЗВО.</w:t>
            </w:r>
          </w:p>
        </w:tc>
        <w:tc>
          <w:tcPr>
            <w:tcW w:w="2552" w:type="dxa"/>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Відхилено. Під остаточне формулювання потрапляє як акредитація програм, так і інституційна акредитація.</w:t>
            </w:r>
          </w:p>
        </w:tc>
        <w:tc>
          <w:tcPr>
            <w:tcW w:w="3391" w:type="dxa"/>
            <w:vMerge/>
          </w:tcPr>
          <w:p w:rsidR="004E0C25" w:rsidRPr="00E00DD1" w:rsidRDefault="004E0C25" w:rsidP="007C5605">
            <w:pPr>
              <w:ind w:firstLine="306"/>
              <w:jc w:val="both"/>
              <w:rPr>
                <w:rFonts w:ascii="Times New Roman" w:hAnsi="Times New Roman" w:cs="Times New Roman"/>
                <w:sz w:val="20"/>
                <w:szCs w:val="20"/>
                <w:lang w:val="uk-UA"/>
              </w:rPr>
            </w:pPr>
          </w:p>
        </w:tc>
      </w:tr>
      <w:tr w:rsidR="004E0C25" w:rsidRPr="0072270F" w:rsidTr="007C5605">
        <w:tc>
          <w:tcPr>
            <w:tcW w:w="3256" w:type="dxa"/>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3) індикатор виконання преміальних критеріїв, визначених підпунктами 3, 4 пункту 5 Критеріїв, обраховується як добуток 0,01 та показників за ці преміальні критерії;</w:t>
            </w:r>
          </w:p>
        </w:tc>
        <w:tc>
          <w:tcPr>
            <w:tcW w:w="5103" w:type="dxa"/>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b/>
                <w:sz w:val="20"/>
                <w:szCs w:val="20"/>
                <w:lang w:val="uk-UA"/>
              </w:rPr>
              <w:t>КрНУ</w:t>
            </w:r>
          </w:p>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3. Збільшити добуток 0,01, зазначений до індикатору виконання преміальних критеріїв визначених підпунктами 3,4 пункту 5 Критеріїв надання та підтвердження статусу національного ЗВО, до значення 0,1. В іншому випадку вага вищезазначених підпунктів є несуттєвою і практично не впливає на загальну оцінку.</w:t>
            </w:r>
          </w:p>
        </w:tc>
        <w:tc>
          <w:tcPr>
            <w:tcW w:w="2552" w:type="dxa"/>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xml:space="preserve">Відхилено. </w:t>
            </w:r>
          </w:p>
        </w:tc>
        <w:tc>
          <w:tcPr>
            <w:tcW w:w="3391" w:type="dxa"/>
          </w:tcPr>
          <w:p w:rsidR="004E0C25" w:rsidRPr="00E00DD1" w:rsidRDefault="004E0C25"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3) індикатор виконання преміальних критеріїв, визначених підпунктами 3, 4 пункту 5 Критеріїв, обраховується як добуток 0,01 та показників за ці преміальні критерії;</w:t>
            </w:r>
          </w:p>
        </w:tc>
      </w:tr>
      <w:tr w:rsidR="004E0C25" w:rsidRPr="00E00DD1" w:rsidTr="007C5605">
        <w:tc>
          <w:tcPr>
            <w:tcW w:w="3256"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xml:space="preserve">4) індикатор виконання преміального критерію, </w:t>
            </w:r>
            <w:r w:rsidRPr="00E00DD1">
              <w:rPr>
                <w:rFonts w:ascii="Times New Roman" w:hAnsi="Times New Roman" w:cs="Times New Roman"/>
                <w:sz w:val="20"/>
                <w:szCs w:val="20"/>
                <w:lang w:val="uk-UA"/>
              </w:rPr>
              <w:lastRenderedPageBreak/>
              <w:t>визначеного підпунктом 5 пункту 5 Критеріїв, становить:</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0,5 одиниць – якщо частка випускників закладу вищої освіти, які підтвердили своє працевлаштування протягом трьох років, у загальній кількості випускників закладу вищої освіти становить 50% і більше;</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0 одиниць – в інших випадках.</w:t>
            </w:r>
          </w:p>
          <w:p w:rsidR="004E0C25" w:rsidRPr="00E00DD1" w:rsidRDefault="004E0C25" w:rsidP="007C5605">
            <w:pPr>
              <w:ind w:firstLine="306"/>
              <w:jc w:val="both"/>
              <w:rPr>
                <w:rFonts w:ascii="Times New Roman" w:hAnsi="Times New Roman" w:cs="Times New Roman"/>
                <w:sz w:val="20"/>
                <w:szCs w:val="20"/>
                <w:lang w:val="uk-UA"/>
              </w:rPr>
            </w:pPr>
          </w:p>
        </w:tc>
        <w:tc>
          <w:tcPr>
            <w:tcW w:w="5103" w:type="dxa"/>
          </w:tcPr>
          <w:p w:rsidR="007C5605" w:rsidRDefault="00E00DD1" w:rsidP="007C5605">
            <w:pPr>
              <w:ind w:firstLine="306"/>
              <w:jc w:val="both"/>
              <w:rPr>
                <w:rFonts w:ascii="Times New Roman" w:hAnsi="Times New Roman" w:cs="Times New Roman"/>
                <w:b/>
                <w:sz w:val="20"/>
                <w:szCs w:val="20"/>
                <w:lang w:val="uk-UA"/>
              </w:rPr>
            </w:pPr>
            <w:r w:rsidRPr="00E00DD1">
              <w:rPr>
                <w:rFonts w:ascii="Times New Roman" w:hAnsi="Times New Roman" w:cs="Times New Roman"/>
                <w:b/>
                <w:sz w:val="20"/>
                <w:szCs w:val="20"/>
                <w:lang w:val="uk-UA"/>
              </w:rPr>
              <w:lastRenderedPageBreak/>
              <w:t>ЛП</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lastRenderedPageBreak/>
              <w:t>1.3) у Правилах (підпункт 4 пункту 8) необхідно вказати яким чином випускники повинні підтвердити своє працевлаштування. Прийнятними для цього мають бути не лише результати, підтверджені документально (випускник не має жодного юридичного зобов'язання перед закладом вищої освіти, зокрема</w:t>
            </w:r>
            <w:r w:rsidR="007C5605">
              <w:rPr>
                <w:rFonts w:ascii="Times New Roman" w:hAnsi="Times New Roman" w:cs="Times New Roman"/>
                <w:sz w:val="20"/>
                <w:szCs w:val="20"/>
                <w:lang w:val="uk-UA"/>
              </w:rPr>
              <w:t xml:space="preserve"> </w:t>
            </w:r>
            <w:r w:rsidRPr="00E00DD1">
              <w:rPr>
                <w:rFonts w:ascii="Times New Roman" w:hAnsi="Times New Roman" w:cs="Times New Roman"/>
                <w:sz w:val="20"/>
                <w:szCs w:val="20"/>
                <w:lang w:val="uk-UA"/>
              </w:rPr>
              <w:t>і щодо підтвердження свого працевлаштування), але й отримані за результатами опитування з використанням сучасних електронних засобів і способів комунікацій</w:t>
            </w:r>
          </w:p>
        </w:tc>
        <w:tc>
          <w:tcPr>
            <w:tcW w:w="2552" w:type="dxa"/>
          </w:tcPr>
          <w:p w:rsidR="004E0C25"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lastRenderedPageBreak/>
              <w:t xml:space="preserve">Відхилено. Вибір способу збору цієї </w:t>
            </w:r>
            <w:r w:rsidRPr="00E00DD1">
              <w:rPr>
                <w:rFonts w:ascii="Times New Roman" w:hAnsi="Times New Roman" w:cs="Times New Roman"/>
                <w:sz w:val="20"/>
                <w:szCs w:val="20"/>
                <w:lang w:val="uk-UA"/>
              </w:rPr>
              <w:lastRenderedPageBreak/>
              <w:t>інформації є відповідальністю закладу.</w:t>
            </w:r>
          </w:p>
        </w:tc>
        <w:tc>
          <w:tcPr>
            <w:tcW w:w="3391"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lastRenderedPageBreak/>
              <w:t xml:space="preserve">4) індикатор виконання преміального критерію, визначеного </w:t>
            </w:r>
            <w:r w:rsidRPr="00E00DD1">
              <w:rPr>
                <w:rFonts w:ascii="Times New Roman" w:hAnsi="Times New Roman" w:cs="Times New Roman"/>
                <w:sz w:val="20"/>
                <w:szCs w:val="20"/>
                <w:lang w:val="uk-UA"/>
              </w:rPr>
              <w:lastRenderedPageBreak/>
              <w:t>підпунктом 5 пункту 5 Критеріїв, становить:</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0,5 одиниць – якщо частка випускників закладу вищої освіти, які підтвердили своє працевлаштування протягом трьох років, у загальній кількості випускників закладу вищої освіти становить 50% і більше;</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0 одиниць – в інших випадках.</w:t>
            </w:r>
          </w:p>
          <w:p w:rsidR="004E0C25" w:rsidRPr="00E00DD1" w:rsidRDefault="004E0C25" w:rsidP="007C5605">
            <w:pPr>
              <w:ind w:firstLine="306"/>
              <w:jc w:val="both"/>
              <w:rPr>
                <w:rFonts w:ascii="Times New Roman" w:hAnsi="Times New Roman" w:cs="Times New Roman"/>
                <w:sz w:val="20"/>
                <w:szCs w:val="20"/>
                <w:lang w:val="uk-UA"/>
              </w:rPr>
            </w:pPr>
          </w:p>
        </w:tc>
      </w:tr>
      <w:tr w:rsidR="00E00DD1" w:rsidRPr="0072270F" w:rsidTr="007C5605">
        <w:tc>
          <w:tcPr>
            <w:tcW w:w="3256" w:type="dxa"/>
            <w:vMerge w:val="restart"/>
          </w:tcPr>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lastRenderedPageBreak/>
              <w:t>9. За наслідками розгляду моніторингової справи Національне агентство приймає рішення про підтвердження статусу національного за умов:</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1) відповідності закладу вищої освіти обов’язковим критеріям, у тому числі усунення виявлених невідповідностей у встановлений цими Правилами строк;</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2) якщо сума інтегральних індикаторів виконання порівняльних критеріїв за 7 років до подання моніторингової справи та індикаторів виконання преміальних критеріїв становить не менше –20 одиниць.</w:t>
            </w:r>
          </w:p>
          <w:p w:rsidR="00E00DD1" w:rsidRPr="00E00DD1" w:rsidRDefault="00E00DD1" w:rsidP="007C5605">
            <w:pPr>
              <w:ind w:firstLine="306"/>
              <w:jc w:val="both"/>
              <w:rPr>
                <w:rFonts w:ascii="Times New Roman" w:hAnsi="Times New Roman" w:cs="Times New Roman"/>
                <w:sz w:val="20"/>
                <w:szCs w:val="20"/>
                <w:lang w:val="uk-UA"/>
              </w:rPr>
            </w:pP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10. За наслідками розгляду конкурсної справи Національне агентство приймає пропозицію щодо надання закладам вищої освіти статусу національного у межах кількості вакантних статусів за умов:</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 xml:space="preserve">1) відповідності закладу вищої освіти обов’язковим критеріям, у тому числі усунення виявлених </w:t>
            </w:r>
            <w:r w:rsidRPr="00E00DD1">
              <w:rPr>
                <w:rFonts w:ascii="Times New Roman" w:eastAsiaTheme="minorEastAsia" w:hAnsi="Times New Roman" w:cs="Times New Roman"/>
                <w:sz w:val="20"/>
                <w:szCs w:val="20"/>
                <w:lang w:val="uk-UA"/>
              </w:rPr>
              <w:lastRenderedPageBreak/>
              <w:t>невідповідностей у встановлений цими Правилами строк;</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2) якщо ці заклади вищої освіти мають відповідну найбільшу суму інтегральних індикаторів виконання порівняльних критеріїв за 7 років до подання конкурсної справи та індикаторів виконання преміальних критеріїв серед усіх закладів вищої освіти, що подалися на конкурс, але не менше –20 одиниць.</w:t>
            </w:r>
          </w:p>
          <w:p w:rsidR="00E00DD1" w:rsidRPr="00E00DD1" w:rsidRDefault="00E00DD1" w:rsidP="007C5605">
            <w:pPr>
              <w:ind w:firstLine="306"/>
              <w:jc w:val="both"/>
              <w:rPr>
                <w:rFonts w:ascii="Times New Roman" w:hAnsi="Times New Roman" w:cs="Times New Roman"/>
                <w:sz w:val="20"/>
                <w:szCs w:val="20"/>
                <w:lang w:val="uk-UA"/>
              </w:rPr>
            </w:pPr>
          </w:p>
        </w:tc>
        <w:tc>
          <w:tcPr>
            <w:tcW w:w="5103"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b/>
                <w:sz w:val="20"/>
                <w:szCs w:val="20"/>
                <w:lang w:val="uk-UA"/>
              </w:rPr>
              <w:lastRenderedPageBreak/>
              <w:t>ХПІ</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Абзац 1 підпункту 2 пункту 9 ПРАВИЛ пропонуємо сформулювати наступним чином:</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якщо сума інтегральних індикаторів виконання порівняльних критеріїв за 7 років до подання моніторингової справи та індикаторів виконання преміальних критеріїв становить не менше – ( -2</w:t>
            </w:r>
            <w:r w:rsidR="007C5605">
              <w:rPr>
                <w:rFonts w:ascii="Times New Roman" w:hAnsi="Times New Roman" w:cs="Times New Roman"/>
                <w:sz w:val="20"/>
                <w:szCs w:val="20"/>
                <w:lang w:val="uk-UA"/>
              </w:rPr>
              <w:t>*</w:t>
            </w:r>
            <w:r w:rsidR="007C5605">
              <w:rPr>
                <w:rFonts w:ascii="Times New Roman" w:hAnsi="Times New Roman" w:cs="Times New Roman"/>
                <w:sz w:val="20"/>
                <w:szCs w:val="20"/>
              </w:rPr>
              <w:t>SD</w:t>
            </w:r>
            <w:r w:rsidRPr="00E00DD1">
              <w:rPr>
                <w:rFonts w:ascii="Times New Roman" w:hAnsi="Times New Roman" w:cs="Times New Roman"/>
                <w:sz w:val="20"/>
                <w:szCs w:val="20"/>
                <w:lang w:val="uk-UA"/>
              </w:rPr>
              <w:t xml:space="preserve"> ). редакційно</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цифра в 20 одиниць може не завжди коректно відтворювати поріг, натомість при нормальному законі розподілення довірливий діапазон встановлюється ±2  при довірчій ймовірності Р=0.9544 /</w:t>
            </w:r>
          </w:p>
        </w:tc>
        <w:tc>
          <w:tcPr>
            <w:tcW w:w="2552"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Ураховано редакційно.</w:t>
            </w:r>
          </w:p>
        </w:tc>
        <w:tc>
          <w:tcPr>
            <w:tcW w:w="3391" w:type="dxa"/>
            <w:vMerge w:val="restart"/>
          </w:tcPr>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9. За наслідками розгляду моніторингової справи Національне агентство приймає рішення про підтвердження статусу національного за умов:</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1) відповідності закладу вищої освіти обов’язковим критеріям, у тому числі усунення виявлених невідповідностей у встановлений цими Правилами строк;</w:t>
            </w:r>
          </w:p>
          <w:p w:rsidR="00E00DD1" w:rsidRPr="00E00DD1" w:rsidRDefault="00E00DD1" w:rsidP="007C5605">
            <w:pPr>
              <w:spacing w:after="120"/>
              <w:ind w:firstLine="306"/>
              <w:jc w:val="both"/>
              <w:rPr>
                <w:rFonts w:ascii="Times New Roman" w:eastAsiaTheme="minorEastAsia" w:hAnsi="Times New Roman" w:cs="Times New Roman"/>
                <w:sz w:val="20"/>
                <w:szCs w:val="20"/>
                <w:vertAlign w:val="subscript"/>
                <w:lang w:val="uk-UA"/>
              </w:rPr>
            </w:pPr>
            <w:r w:rsidRPr="00E00DD1">
              <w:rPr>
                <w:rFonts w:ascii="Times New Roman" w:eastAsiaTheme="minorEastAsia" w:hAnsi="Times New Roman" w:cs="Times New Roman"/>
                <w:sz w:val="20"/>
                <w:szCs w:val="20"/>
                <w:lang w:val="uk-UA"/>
              </w:rPr>
              <w:t xml:space="preserve">2) якщо середнє арифметичне інтегральних індикаторів виконання порівняльних критеріїв за останні 7 років до подання моніторингової справи (але не раніше 2017 року), збільшене на суму індикаторів виконання преміальних критеріїв за ці 7 років, є більшим за </w:t>
            </w:r>
            <m:oMath>
              <m:r>
                <w:rPr>
                  <w:rFonts w:ascii="Cambria Math" w:eastAsiaTheme="minorEastAsia" w:hAnsi="Cambria Math" w:cs="Times New Roman"/>
                  <w:sz w:val="20"/>
                  <w:szCs w:val="20"/>
                  <w:lang w:val="uk-UA"/>
                </w:rPr>
                <m:t>-2</m:t>
              </m:r>
              <m:sSub>
                <m:sSubPr>
                  <m:ctrlPr>
                    <w:rPr>
                      <w:rFonts w:ascii="Cambria Math" w:eastAsiaTheme="minorEastAsia" w:hAnsi="Cambria Math" w:cs="Times New Roman"/>
                      <w:i/>
                      <w:sz w:val="20"/>
                      <w:szCs w:val="20"/>
                      <w:lang w:val="uk-UA"/>
                    </w:rPr>
                  </m:ctrlPr>
                </m:sSubPr>
                <m:e>
                  <m:r>
                    <w:rPr>
                      <w:rFonts w:ascii="Cambria Math" w:eastAsiaTheme="minorEastAsia" w:hAnsi="Cambria Math" w:cs="Times New Roman"/>
                      <w:sz w:val="20"/>
                      <w:szCs w:val="20"/>
                      <w:lang w:val="uk-UA"/>
                    </w:rPr>
                    <m:t>σ</m:t>
                  </m:r>
                </m:e>
                <m:sub>
                  <m:r>
                    <w:rPr>
                      <w:rFonts w:ascii="Cambria Math" w:eastAsiaTheme="minorEastAsia" w:hAnsi="Cambria Math" w:cs="Times New Roman"/>
                      <w:sz w:val="20"/>
                      <w:szCs w:val="20"/>
                    </w:rPr>
                    <m:t>m</m:t>
                  </m:r>
                </m:sub>
              </m:sSub>
            </m:oMath>
            <w:r w:rsidRPr="00E00DD1">
              <w:rPr>
                <w:rFonts w:ascii="Times New Roman" w:eastAsiaTheme="minorEastAsia" w:hAnsi="Times New Roman" w:cs="Times New Roman"/>
                <w:sz w:val="20"/>
                <w:szCs w:val="20"/>
                <w:lang w:val="uk-UA"/>
              </w:rPr>
              <w:t xml:space="preserve">, де </w:t>
            </w:r>
            <m:oMath>
              <m:sSub>
                <m:sSubPr>
                  <m:ctrlPr>
                    <w:rPr>
                      <w:rFonts w:ascii="Cambria Math" w:eastAsiaTheme="minorEastAsia" w:hAnsi="Cambria Math" w:cs="Times New Roman"/>
                      <w:i/>
                      <w:sz w:val="20"/>
                      <w:szCs w:val="20"/>
                      <w:lang w:val="uk-UA"/>
                    </w:rPr>
                  </m:ctrlPr>
                </m:sSubPr>
                <m:e>
                  <m:r>
                    <w:rPr>
                      <w:rFonts w:ascii="Cambria Math" w:eastAsiaTheme="minorEastAsia" w:hAnsi="Cambria Math" w:cs="Times New Roman"/>
                      <w:sz w:val="20"/>
                      <w:szCs w:val="20"/>
                      <w:lang w:val="uk-UA"/>
                    </w:rPr>
                    <m:t>σ</m:t>
                  </m:r>
                </m:e>
                <m:sub>
                  <m:r>
                    <w:rPr>
                      <w:rFonts w:ascii="Cambria Math" w:eastAsiaTheme="minorEastAsia" w:hAnsi="Cambria Math" w:cs="Times New Roman"/>
                      <w:sz w:val="20"/>
                      <w:szCs w:val="20"/>
                    </w:rPr>
                    <m:t>m</m:t>
                  </m:r>
                </m:sub>
              </m:sSub>
            </m:oMath>
            <w:r w:rsidRPr="00E00DD1">
              <w:rPr>
                <w:rFonts w:ascii="Times New Roman" w:eastAsiaTheme="minorEastAsia" w:hAnsi="Times New Roman" w:cs="Times New Roman"/>
                <w:sz w:val="20"/>
                <w:szCs w:val="20"/>
                <w:lang w:val="uk-UA"/>
              </w:rPr>
              <w:t xml:space="preserve"> є стандартним відхиленням вибірки, яка складається із середніх арифметичних інтегральних індикаторів виконання порівняльних критеріїв усіх національних закладів вищої освіти за останні 7 років (але не раніше 2017 року) до року </w:t>
            </w:r>
            <w:r w:rsidRPr="00E00DD1">
              <w:rPr>
                <w:rFonts w:ascii="Times New Roman" w:eastAsiaTheme="minorEastAsia" w:hAnsi="Times New Roman" w:cs="Times New Roman"/>
                <w:i/>
                <w:sz w:val="20"/>
                <w:szCs w:val="20"/>
              </w:rPr>
              <w:t>m</w:t>
            </w:r>
            <w:r w:rsidRPr="00E00DD1">
              <w:rPr>
                <w:rFonts w:ascii="Times New Roman" w:eastAsiaTheme="minorEastAsia" w:hAnsi="Times New Roman" w:cs="Times New Roman"/>
                <w:sz w:val="20"/>
                <w:szCs w:val="20"/>
                <w:lang w:val="uk-UA"/>
              </w:rPr>
              <w:t>, у якому здійснюється підтвердження статусу національного.</w:t>
            </w:r>
          </w:p>
          <w:p w:rsidR="00E00DD1" w:rsidRPr="00E00DD1" w:rsidRDefault="00E00DD1" w:rsidP="007C5605">
            <w:pPr>
              <w:ind w:firstLine="306"/>
              <w:jc w:val="both"/>
              <w:rPr>
                <w:rFonts w:ascii="Times New Roman" w:hAnsi="Times New Roman" w:cs="Times New Roman"/>
                <w:sz w:val="20"/>
                <w:szCs w:val="20"/>
                <w:lang w:val="uk-UA"/>
              </w:rPr>
            </w:pPr>
          </w:p>
          <w:p w:rsidR="00E00DD1" w:rsidRPr="00E00DD1" w:rsidRDefault="00E00DD1" w:rsidP="007C5605">
            <w:pPr>
              <w:ind w:firstLine="306"/>
              <w:jc w:val="both"/>
              <w:rPr>
                <w:rFonts w:ascii="Times New Roman" w:hAnsi="Times New Roman" w:cs="Times New Roman"/>
                <w:sz w:val="20"/>
                <w:szCs w:val="20"/>
                <w:lang w:val="uk-UA"/>
              </w:rPr>
            </w:pP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lastRenderedPageBreak/>
              <w:t>10. За наслідками розгляду конкурсної справи Національне агентство приймає пропозицію щодо надання закладам вищої освіти статусу національного у межах кількості вакантних статусів за умов:</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1) відповідності закладу вищої освіти обов’язковим критеріям, у тому числі усунення виявлених невідповідностей у встановлений цими Правилами строк;</w:t>
            </w:r>
          </w:p>
          <w:p w:rsidR="00E00DD1" w:rsidRPr="00E00DD1" w:rsidRDefault="00E00DD1" w:rsidP="007C5605">
            <w:pPr>
              <w:spacing w:after="120"/>
              <w:ind w:firstLine="306"/>
              <w:jc w:val="both"/>
              <w:rPr>
                <w:rFonts w:ascii="Times New Roman" w:eastAsiaTheme="minorEastAsia" w:hAnsi="Times New Roman" w:cs="Times New Roman"/>
                <w:sz w:val="20"/>
                <w:szCs w:val="20"/>
                <w:lang w:val="uk-UA"/>
              </w:rPr>
            </w:pPr>
            <w:r w:rsidRPr="00E00DD1">
              <w:rPr>
                <w:rFonts w:ascii="Times New Roman" w:eastAsiaTheme="minorEastAsia" w:hAnsi="Times New Roman" w:cs="Times New Roman"/>
                <w:sz w:val="20"/>
                <w:szCs w:val="20"/>
                <w:lang w:val="uk-UA"/>
              </w:rPr>
              <w:t xml:space="preserve">2) якщо ці заклади вищої освіти мають відповідне найбільше значення середнього арифметичного інтегральних індикаторів виконання порівняльних критеріїв за 7 років до подання конкурсної справи (але не раніше 2017 року), збільшене на суму індикаторів виконання преміальних критеріїв за ці 7 років, серед усіх закладів вищої освіти, що подалися на конкурс, і це значення є більшим за </w:t>
            </w:r>
            <m:oMath>
              <m:r>
                <w:rPr>
                  <w:rFonts w:ascii="Cambria Math" w:eastAsiaTheme="minorEastAsia" w:hAnsi="Cambria Math" w:cs="Times New Roman"/>
                  <w:sz w:val="20"/>
                  <w:szCs w:val="20"/>
                  <w:lang w:val="uk-UA"/>
                </w:rPr>
                <m:t>-2</m:t>
              </m:r>
              <m:sSub>
                <m:sSubPr>
                  <m:ctrlPr>
                    <w:rPr>
                      <w:rFonts w:ascii="Cambria Math" w:eastAsiaTheme="minorEastAsia" w:hAnsi="Cambria Math" w:cs="Times New Roman"/>
                      <w:i/>
                      <w:sz w:val="20"/>
                      <w:szCs w:val="20"/>
                      <w:lang w:val="uk-UA"/>
                    </w:rPr>
                  </m:ctrlPr>
                </m:sSubPr>
                <m:e>
                  <m:r>
                    <w:rPr>
                      <w:rFonts w:ascii="Cambria Math" w:eastAsiaTheme="minorEastAsia" w:hAnsi="Cambria Math" w:cs="Times New Roman"/>
                      <w:sz w:val="20"/>
                      <w:szCs w:val="20"/>
                      <w:lang w:val="uk-UA"/>
                    </w:rPr>
                    <m:t>σ</m:t>
                  </m:r>
                </m:e>
                <m:sub>
                  <m:r>
                    <w:rPr>
                      <w:rFonts w:ascii="Cambria Math" w:eastAsiaTheme="minorEastAsia" w:hAnsi="Cambria Math" w:cs="Times New Roman"/>
                      <w:sz w:val="20"/>
                      <w:szCs w:val="20"/>
                    </w:rPr>
                    <m:t>m</m:t>
                  </m:r>
                </m:sub>
              </m:sSub>
            </m:oMath>
            <w:r w:rsidRPr="00E00DD1">
              <w:rPr>
                <w:rFonts w:ascii="Times New Roman" w:eastAsiaTheme="minorEastAsia" w:hAnsi="Times New Roman" w:cs="Times New Roman"/>
                <w:sz w:val="20"/>
                <w:szCs w:val="20"/>
                <w:lang w:val="uk-UA"/>
              </w:rPr>
              <w:t xml:space="preserve">, де </w:t>
            </w:r>
            <m:oMath>
              <m:sSub>
                <m:sSubPr>
                  <m:ctrlPr>
                    <w:rPr>
                      <w:rFonts w:ascii="Cambria Math" w:eastAsiaTheme="minorEastAsia" w:hAnsi="Cambria Math" w:cs="Times New Roman"/>
                      <w:i/>
                      <w:sz w:val="20"/>
                      <w:szCs w:val="20"/>
                      <w:lang w:val="uk-UA"/>
                    </w:rPr>
                  </m:ctrlPr>
                </m:sSubPr>
                <m:e>
                  <m:r>
                    <w:rPr>
                      <w:rFonts w:ascii="Cambria Math" w:eastAsiaTheme="minorEastAsia" w:hAnsi="Cambria Math" w:cs="Times New Roman"/>
                      <w:sz w:val="20"/>
                      <w:szCs w:val="20"/>
                      <w:lang w:val="uk-UA"/>
                    </w:rPr>
                    <m:t>σ</m:t>
                  </m:r>
                </m:e>
                <m:sub>
                  <m:r>
                    <w:rPr>
                      <w:rFonts w:ascii="Cambria Math" w:eastAsiaTheme="minorEastAsia" w:hAnsi="Cambria Math" w:cs="Times New Roman"/>
                      <w:sz w:val="20"/>
                      <w:szCs w:val="20"/>
                    </w:rPr>
                    <m:t>m</m:t>
                  </m:r>
                </m:sub>
              </m:sSub>
            </m:oMath>
            <w:r w:rsidRPr="00E00DD1">
              <w:rPr>
                <w:rFonts w:ascii="Times New Roman" w:eastAsiaTheme="minorEastAsia" w:hAnsi="Times New Roman" w:cs="Times New Roman"/>
                <w:sz w:val="20"/>
                <w:szCs w:val="20"/>
                <w:lang w:val="uk-UA"/>
              </w:rPr>
              <w:t xml:space="preserve"> є стандартним відхиленням вибірки, яка складається із середніх арифметичних інтегральних індикаторів виконання порівняльних критеріїв усіх національних закладів вищої освіти за останні 7 років (але не раніше 2017 року) до року </w:t>
            </w:r>
            <w:r w:rsidRPr="00E00DD1">
              <w:rPr>
                <w:rFonts w:ascii="Times New Roman" w:eastAsiaTheme="minorEastAsia" w:hAnsi="Times New Roman" w:cs="Times New Roman"/>
                <w:i/>
                <w:sz w:val="20"/>
                <w:szCs w:val="20"/>
              </w:rPr>
              <w:t>m</w:t>
            </w:r>
            <w:r w:rsidRPr="00E00DD1">
              <w:rPr>
                <w:rFonts w:ascii="Times New Roman" w:eastAsiaTheme="minorEastAsia" w:hAnsi="Times New Roman" w:cs="Times New Roman"/>
                <w:sz w:val="20"/>
                <w:szCs w:val="20"/>
                <w:lang w:val="uk-UA"/>
              </w:rPr>
              <w:t>, у якому здійснюється надання статусу національного.</w:t>
            </w:r>
          </w:p>
          <w:p w:rsidR="00E00DD1" w:rsidRPr="00E00DD1" w:rsidRDefault="00E00DD1" w:rsidP="007C5605">
            <w:pPr>
              <w:ind w:firstLine="306"/>
              <w:jc w:val="both"/>
              <w:rPr>
                <w:rFonts w:ascii="Times New Roman" w:hAnsi="Times New Roman" w:cs="Times New Roman"/>
                <w:sz w:val="20"/>
                <w:szCs w:val="20"/>
                <w:lang w:val="uk-UA"/>
              </w:rPr>
            </w:pPr>
          </w:p>
        </w:tc>
      </w:tr>
      <w:tr w:rsidR="00E00DD1" w:rsidRPr="00E00DD1" w:rsidTr="007C5605">
        <w:tc>
          <w:tcPr>
            <w:tcW w:w="3256" w:type="dxa"/>
            <w:vMerge/>
          </w:tcPr>
          <w:p w:rsidR="00E00DD1" w:rsidRPr="00E00DD1" w:rsidRDefault="00E00DD1" w:rsidP="007C5605">
            <w:pPr>
              <w:ind w:firstLine="306"/>
              <w:jc w:val="both"/>
              <w:rPr>
                <w:rFonts w:ascii="Times New Roman" w:hAnsi="Times New Roman" w:cs="Times New Roman"/>
                <w:sz w:val="20"/>
                <w:szCs w:val="20"/>
                <w:lang w:val="uk-UA"/>
              </w:rPr>
            </w:pPr>
          </w:p>
        </w:tc>
        <w:tc>
          <w:tcPr>
            <w:tcW w:w="5103"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b/>
                <w:sz w:val="20"/>
                <w:szCs w:val="20"/>
                <w:lang w:val="uk-UA"/>
              </w:rPr>
              <w:t>ЛП</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 xml:space="preserve">1.5) абсолютно не зрозумілим є чим обґрунтоване значення мінімального порогу суми інтегральних індикаторів виконання порівняльних критеріїв за 7 років та індикаторів виконання преміальних критеріїв в 20 одиниць! Якщо відкинути преміальні критерії (для переважної більшості університетів за методикою, передбаченою проектом Правил, їх сума не перевищить 1-2 одиниці), врахувати, що для більшості закладів вищої освіти кількість порівняльних індикаторів є 13, при чому два з них - регресивні, понижуючі (враховуються у моделі зі знаком «мінус»), а кількість звітних періодів, за які їх розраховують цього року 2, а не 7, то для отримання не менше 20 одиниць заклад вищої освіти за кожним з порівняльних критеріїв має бути оцінений в середньому хоча б на 1. За запропонованою моделлю розрахунку індикатора виконання порівняльного критерію для отримання результату 1 одиниця значення порівняльного </w:t>
            </w:r>
            <w:r w:rsidRPr="00E00DD1">
              <w:rPr>
                <w:rFonts w:ascii="Times New Roman" w:hAnsi="Times New Roman" w:cs="Times New Roman"/>
                <w:sz w:val="20"/>
                <w:szCs w:val="20"/>
                <w:lang w:val="uk-UA"/>
              </w:rPr>
              <w:lastRenderedPageBreak/>
              <w:t>критерію закладу вищої освіти повинне перевищувати середнє арифметичне значення серед усіх закладів вищої освіти, які подали звіти (тобто мають статус національного) не менш як на стандартне відхилення вибірки показників. Відповідно до науково обґрунтованих нерівності Чебишева та Закону нормального розподілу таких закладів вищої освіти за будь-яким індикатором є не більще 15,8 %. Таким чином, встановлення мінімального</w:t>
            </w:r>
            <w:r w:rsidR="007C5605" w:rsidRPr="007C5605">
              <w:rPr>
                <w:rFonts w:ascii="Times New Roman" w:hAnsi="Times New Roman" w:cs="Times New Roman"/>
                <w:sz w:val="20"/>
                <w:szCs w:val="20"/>
                <w:lang w:val="ru-RU"/>
              </w:rPr>
              <w:t xml:space="preserve"> </w:t>
            </w:r>
            <w:r w:rsidRPr="00E00DD1">
              <w:rPr>
                <w:rFonts w:ascii="Times New Roman" w:hAnsi="Times New Roman" w:cs="Times New Roman"/>
                <w:sz w:val="20"/>
                <w:szCs w:val="20"/>
                <w:lang w:val="uk-UA"/>
              </w:rPr>
              <w:t>порогу сумарної величини індикаторів для підтвердження статусу національного в 20 одиниць цього року зумовить різке скорочення кількості закладів вищої освіти, але не через недостатній рівень відповідності критеріям, визначеним Постановою КМУ від 22.11.2017 р. № 912, а через недосконалу методику оцінювання такої відповідності. Тому перед встановленням будь-яких порогових значень індикаторів необхідно апробувати запропоновану методику на реальних даних закладів вищої, отриманих у звітах, і довести результати такої апробації до відома університетів.</w:t>
            </w:r>
          </w:p>
        </w:tc>
        <w:tc>
          <w:tcPr>
            <w:tcW w:w="2552"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lastRenderedPageBreak/>
              <w:t>Ураховано редакційно</w:t>
            </w:r>
          </w:p>
        </w:tc>
        <w:tc>
          <w:tcPr>
            <w:tcW w:w="3391" w:type="dxa"/>
            <w:vMerge/>
          </w:tcPr>
          <w:p w:rsidR="00E00DD1" w:rsidRPr="00E00DD1" w:rsidRDefault="00E00DD1" w:rsidP="007C5605">
            <w:pPr>
              <w:ind w:firstLine="306"/>
              <w:jc w:val="both"/>
              <w:rPr>
                <w:rFonts w:ascii="Times New Roman" w:hAnsi="Times New Roman" w:cs="Times New Roman"/>
                <w:sz w:val="20"/>
                <w:szCs w:val="20"/>
                <w:lang w:val="uk-UA"/>
              </w:rPr>
            </w:pPr>
          </w:p>
        </w:tc>
      </w:tr>
      <w:tr w:rsidR="00E00DD1" w:rsidRPr="0072270F" w:rsidTr="007C5605">
        <w:tc>
          <w:tcPr>
            <w:tcW w:w="3256" w:type="dxa"/>
          </w:tcPr>
          <w:p w:rsidR="00E00DD1" w:rsidRPr="00E00DD1" w:rsidRDefault="00E00DD1" w:rsidP="007C5605">
            <w:pPr>
              <w:ind w:firstLine="306"/>
              <w:jc w:val="both"/>
              <w:rPr>
                <w:rFonts w:ascii="Times New Roman" w:hAnsi="Times New Roman" w:cs="Times New Roman"/>
                <w:sz w:val="20"/>
                <w:szCs w:val="20"/>
                <w:lang w:val="uk-UA"/>
              </w:rPr>
            </w:pPr>
          </w:p>
        </w:tc>
        <w:tc>
          <w:tcPr>
            <w:tcW w:w="5103"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b/>
                <w:sz w:val="20"/>
                <w:szCs w:val="20"/>
                <w:lang w:val="uk-UA"/>
              </w:rPr>
              <w:t>ЛП</w:t>
            </w:r>
          </w:p>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t>1.4) суперечливим є також врахування інтегральних індикаторів виконання порівняльних критеріїв для підтвердження статусу національного лише за два</w:t>
            </w:r>
            <w:r w:rsidR="007C5605" w:rsidRPr="007C5605">
              <w:rPr>
                <w:rFonts w:ascii="Times New Roman" w:hAnsi="Times New Roman" w:cs="Times New Roman"/>
                <w:sz w:val="20"/>
                <w:szCs w:val="20"/>
                <w:lang w:val="uk-UA"/>
              </w:rPr>
              <w:t xml:space="preserve"> </w:t>
            </w:r>
            <w:r w:rsidRPr="00E00DD1">
              <w:rPr>
                <w:rFonts w:ascii="Times New Roman" w:hAnsi="Times New Roman" w:cs="Times New Roman"/>
                <w:sz w:val="20"/>
                <w:szCs w:val="20"/>
                <w:lang w:val="uk-UA"/>
              </w:rPr>
              <w:t xml:space="preserve">роки (п. 11), хоча Постанова КМУ від 22.11.2017 р. № 912 чітко визначає семирічний період самоаналізу. Більше того, формулювання пункту 11 є </w:t>
            </w:r>
            <w:r w:rsidR="007C5605" w:rsidRPr="007C5605">
              <w:rPr>
                <w:rFonts w:ascii="Times New Roman" w:hAnsi="Times New Roman" w:cs="Times New Roman"/>
                <w:sz w:val="20"/>
                <w:szCs w:val="20"/>
                <w:lang w:val="uk-UA"/>
              </w:rPr>
              <w:t xml:space="preserve"> </w:t>
            </w:r>
            <w:r w:rsidRPr="00E00DD1">
              <w:rPr>
                <w:rFonts w:ascii="Times New Roman" w:hAnsi="Times New Roman" w:cs="Times New Roman"/>
                <w:sz w:val="20"/>
                <w:szCs w:val="20"/>
                <w:lang w:val="uk-UA"/>
              </w:rPr>
              <w:t xml:space="preserve">дискримінаційним і </w:t>
            </w:r>
            <w:r w:rsidRPr="00E00DD1">
              <w:rPr>
                <w:rFonts w:ascii="Times New Roman" w:hAnsi="Times New Roman" w:cs="Times New Roman"/>
                <w:sz w:val="20"/>
                <w:szCs w:val="20"/>
                <w:lang w:val="uk-UA"/>
              </w:rPr>
              <w:lastRenderedPageBreak/>
              <w:t>ставить у вигідніші умови ті заклади вищої освіти, які підтверджуватимуть свій статус у пізніші терміни (2020 р., 2021 р. і т.д.);</w:t>
            </w:r>
          </w:p>
        </w:tc>
        <w:tc>
          <w:tcPr>
            <w:tcW w:w="2552" w:type="dxa"/>
          </w:tcPr>
          <w:p w:rsidR="00E00DD1" w:rsidRPr="00E00DD1" w:rsidRDefault="00E00DD1" w:rsidP="007C5605">
            <w:pPr>
              <w:ind w:firstLine="306"/>
              <w:jc w:val="both"/>
              <w:rPr>
                <w:rFonts w:ascii="Times New Roman" w:hAnsi="Times New Roman" w:cs="Times New Roman"/>
                <w:sz w:val="20"/>
                <w:szCs w:val="20"/>
                <w:lang w:val="uk-UA"/>
              </w:rPr>
            </w:pPr>
            <w:r w:rsidRPr="00E00DD1">
              <w:rPr>
                <w:rFonts w:ascii="Times New Roman" w:hAnsi="Times New Roman" w:cs="Times New Roman"/>
                <w:sz w:val="20"/>
                <w:szCs w:val="20"/>
                <w:lang w:val="uk-UA"/>
              </w:rPr>
              <w:lastRenderedPageBreak/>
              <w:t>Ураховано – у новій редакції ураховується не сума, а середнє арифметичне за відповідну кількість років, що ставить усі заклади у рівні умови.</w:t>
            </w:r>
          </w:p>
        </w:tc>
        <w:tc>
          <w:tcPr>
            <w:tcW w:w="3391" w:type="dxa"/>
          </w:tcPr>
          <w:p w:rsidR="00E00DD1" w:rsidRPr="00E00DD1" w:rsidRDefault="00E00DD1" w:rsidP="007C5605">
            <w:pPr>
              <w:ind w:firstLine="306"/>
              <w:jc w:val="both"/>
              <w:rPr>
                <w:rFonts w:ascii="Times New Roman" w:hAnsi="Times New Roman" w:cs="Times New Roman"/>
                <w:sz w:val="20"/>
                <w:szCs w:val="20"/>
                <w:lang w:val="uk-UA"/>
              </w:rPr>
            </w:pPr>
          </w:p>
        </w:tc>
      </w:tr>
    </w:tbl>
    <w:p w:rsidR="004E0C25" w:rsidRPr="004E0C25" w:rsidRDefault="004E0C25" w:rsidP="007C5605">
      <w:pPr>
        <w:spacing w:after="0" w:line="240" w:lineRule="auto"/>
        <w:jc w:val="both"/>
        <w:rPr>
          <w:rFonts w:ascii="Times New Roman" w:hAnsi="Times New Roman" w:cs="Times New Roman"/>
          <w:sz w:val="24"/>
          <w:szCs w:val="24"/>
          <w:lang w:val="uk-UA"/>
        </w:rPr>
      </w:pPr>
    </w:p>
    <w:p w:rsidR="004E0C25" w:rsidRPr="004E0C25" w:rsidRDefault="004E0C25" w:rsidP="007C5605">
      <w:pPr>
        <w:spacing w:after="0" w:line="240" w:lineRule="auto"/>
        <w:jc w:val="both"/>
        <w:rPr>
          <w:rFonts w:ascii="Times New Roman" w:hAnsi="Times New Roman" w:cs="Times New Roman"/>
          <w:sz w:val="24"/>
          <w:szCs w:val="24"/>
          <w:lang w:val="uk-UA"/>
        </w:rPr>
      </w:pPr>
    </w:p>
    <w:sectPr w:rsidR="004E0C25" w:rsidRPr="004E0C25" w:rsidSect="004E0C25">
      <w:pgSz w:w="15840" w:h="12240"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2A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altName w:val="Arial"/>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C25"/>
    <w:rsid w:val="00102075"/>
    <w:rsid w:val="004E0C25"/>
    <w:rsid w:val="0072270F"/>
    <w:rsid w:val="007C5605"/>
    <w:rsid w:val="00C81D38"/>
    <w:rsid w:val="00C874D7"/>
    <w:rsid w:val="00E00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E780F"/>
  <w15:chartTrackingRefBased/>
  <w15:docId w15:val="{1F7E5AC7-3F4F-4B31-86B3-356DCEFD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E0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5;&#1086;&#1083;&#1100;&#1079;&#1086;&#1074;&#1072;&#1090;&#1077;&#1083;&#1100;\Documents\&#1053;&#1072;&#1089;&#1090;&#1088;&#1072;&#1080;&#1074;&#1072;&#1077;&#1084;&#1099;&#1077;%20&#1096;&#1072;&#1073;&#1083;&#1086;&#1085;&#1099;%20Office\word20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word2003</Template>
  <TotalTime>1</TotalTime>
  <Pages>6</Pages>
  <Words>10557</Words>
  <Characters>6018</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Мруга Марина Рашидівна</cp:lastModifiedBy>
  <cp:revision>3</cp:revision>
  <dcterms:created xsi:type="dcterms:W3CDTF">2019-07-03T10:11:00Z</dcterms:created>
  <dcterms:modified xsi:type="dcterms:W3CDTF">2019-07-03T13:31:00Z</dcterms:modified>
</cp:coreProperties>
</file>