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49D" w:rsidRPr="0075200E" w:rsidRDefault="00B2249D" w:rsidP="00B2249D">
      <w:pPr>
        <w:ind w:left="567"/>
        <w:jc w:val="center"/>
        <w:rPr>
          <w:b/>
          <w:sz w:val="28"/>
          <w:szCs w:val="28"/>
        </w:rPr>
      </w:pPr>
      <w:r w:rsidRPr="0075200E">
        <w:rPr>
          <w:b/>
          <w:sz w:val="28"/>
          <w:szCs w:val="28"/>
        </w:rPr>
        <w:t>ЗВІТ</w:t>
      </w:r>
    </w:p>
    <w:p w:rsidR="00B2249D" w:rsidRPr="00396CE6" w:rsidRDefault="00B2249D" w:rsidP="00B2249D">
      <w:pPr>
        <w:pStyle w:val="ad"/>
        <w:spacing w:after="0" w:line="240" w:lineRule="auto"/>
        <w:ind w:left="0"/>
        <w:contextualSpacing w:val="0"/>
        <w:jc w:val="center"/>
        <w:rPr>
          <w:rFonts w:ascii="Times New Roman" w:hAnsi="Times New Roman"/>
          <w:sz w:val="28"/>
          <w:szCs w:val="28"/>
        </w:rPr>
      </w:pPr>
      <w:r w:rsidRPr="00396CE6">
        <w:rPr>
          <w:rFonts w:ascii="Times New Roman" w:hAnsi="Times New Roman"/>
          <w:sz w:val="28"/>
          <w:szCs w:val="28"/>
        </w:rPr>
        <w:t>за результатами громадського обговорення проекту наказу Міністерства освіти і науки України «</w:t>
      </w:r>
      <w:r w:rsidR="002E7D48" w:rsidRPr="002E7D48">
        <w:rPr>
          <w:rFonts w:ascii="Times New Roman" w:eastAsia="Times New Roman" w:hAnsi="Times New Roman"/>
          <w:sz w:val="28"/>
          <w:szCs w:val="28"/>
          <w:lang w:eastAsia="uk-UA"/>
        </w:rPr>
        <w:t>Про затвердження Порядку організації та проведення творчих конкурсів для вступників на навчання для здобуття ступенів вищої освіти  та освітньо-кваліфікаційного рівня молодшого спеціаліста в 2019 році</w:t>
      </w:r>
      <w:r w:rsidRPr="00396CE6">
        <w:rPr>
          <w:rFonts w:ascii="Times New Roman" w:hAnsi="Times New Roman"/>
          <w:sz w:val="28"/>
          <w:szCs w:val="28"/>
        </w:rPr>
        <w:t>»</w:t>
      </w:r>
    </w:p>
    <w:p w:rsidR="00B2249D" w:rsidRDefault="00B2249D"/>
    <w:tbl>
      <w:tblPr>
        <w:tblStyle w:val="a7"/>
        <w:tblW w:w="16595" w:type="dxa"/>
        <w:tblInd w:w="-459" w:type="dxa"/>
        <w:tblLook w:val="04A0" w:firstRow="1" w:lastRow="0" w:firstColumn="1" w:lastColumn="0" w:noHBand="0" w:noVBand="1"/>
      </w:tblPr>
      <w:tblGrid>
        <w:gridCol w:w="5984"/>
        <w:gridCol w:w="6065"/>
        <w:gridCol w:w="2294"/>
        <w:gridCol w:w="2252"/>
      </w:tblGrid>
      <w:tr w:rsidR="001E27E0" w:rsidRPr="000C08FE" w:rsidTr="000C08FE">
        <w:trPr>
          <w:trHeight w:val="418"/>
        </w:trPr>
        <w:tc>
          <w:tcPr>
            <w:tcW w:w="5984" w:type="dxa"/>
          </w:tcPr>
          <w:p w:rsidR="001E27E0" w:rsidRPr="000C08FE" w:rsidRDefault="001E27E0" w:rsidP="00656284">
            <w:pPr>
              <w:jc w:val="center"/>
              <w:rPr>
                <w:rFonts w:cs="Times New Roman"/>
                <w:i/>
                <w:u w:val="single"/>
                <w:lang w:val="ru-RU"/>
              </w:rPr>
            </w:pPr>
            <w:r w:rsidRPr="000C08FE">
              <w:rPr>
                <w:rFonts w:cs="Times New Roman"/>
                <w:i/>
                <w:sz w:val="22"/>
                <w:szCs w:val="22"/>
                <w:u w:val="single"/>
                <w:lang w:val="ru-RU"/>
              </w:rPr>
              <w:t>Чинна редакція</w:t>
            </w:r>
          </w:p>
        </w:tc>
        <w:tc>
          <w:tcPr>
            <w:tcW w:w="6065" w:type="dxa"/>
          </w:tcPr>
          <w:p w:rsidR="001E27E0" w:rsidRPr="000C08FE" w:rsidRDefault="001E27E0" w:rsidP="00656284">
            <w:pPr>
              <w:jc w:val="center"/>
              <w:rPr>
                <w:rFonts w:cs="Times New Roman"/>
                <w:i/>
                <w:u w:val="single"/>
                <w:lang w:val="ru-RU"/>
              </w:rPr>
            </w:pPr>
            <w:r w:rsidRPr="000C08FE">
              <w:rPr>
                <w:rFonts w:cs="Times New Roman"/>
                <w:i/>
                <w:sz w:val="22"/>
                <w:szCs w:val="22"/>
                <w:u w:val="single"/>
                <w:lang w:val="ru-RU"/>
              </w:rPr>
              <w:t>Пропозиції</w:t>
            </w:r>
          </w:p>
        </w:tc>
        <w:tc>
          <w:tcPr>
            <w:tcW w:w="2294" w:type="dxa"/>
          </w:tcPr>
          <w:p w:rsidR="001E27E0" w:rsidRPr="000C08FE" w:rsidRDefault="001E27E0" w:rsidP="00656284">
            <w:pPr>
              <w:jc w:val="right"/>
              <w:rPr>
                <w:rFonts w:cs="Times New Roman"/>
                <w:i/>
                <w:u w:val="single"/>
                <w:lang w:val="ru-RU"/>
              </w:rPr>
            </w:pPr>
          </w:p>
        </w:tc>
        <w:tc>
          <w:tcPr>
            <w:tcW w:w="2252" w:type="dxa"/>
          </w:tcPr>
          <w:p w:rsidR="001E27E0" w:rsidRPr="000C08FE" w:rsidRDefault="001E27E0" w:rsidP="00656284">
            <w:pPr>
              <w:jc w:val="right"/>
              <w:rPr>
                <w:rFonts w:cs="Times New Roman"/>
                <w:i/>
                <w:u w:val="single"/>
                <w:lang w:val="ru-RU"/>
              </w:rPr>
            </w:pPr>
          </w:p>
        </w:tc>
      </w:tr>
      <w:tr w:rsidR="001E27E0" w:rsidRPr="000C08FE" w:rsidTr="000C08FE">
        <w:tc>
          <w:tcPr>
            <w:tcW w:w="5984" w:type="dxa"/>
          </w:tcPr>
          <w:p w:rsidR="001E27E0" w:rsidRPr="000C08FE" w:rsidRDefault="001E27E0" w:rsidP="00656284">
            <w:pPr>
              <w:jc w:val="center"/>
              <w:rPr>
                <w:rFonts w:cs="Times New Roman"/>
                <w:b/>
              </w:rPr>
            </w:pPr>
            <w:r w:rsidRPr="000C08FE">
              <w:rPr>
                <w:rFonts w:cs="Times New Roman"/>
                <w:b/>
                <w:sz w:val="22"/>
                <w:szCs w:val="22"/>
              </w:rPr>
              <w:t>ПОРЯДОК</w:t>
            </w:r>
          </w:p>
        </w:tc>
        <w:tc>
          <w:tcPr>
            <w:tcW w:w="6065" w:type="dxa"/>
          </w:tcPr>
          <w:p w:rsidR="001E27E0" w:rsidRPr="000C08FE" w:rsidRDefault="001E27E0" w:rsidP="00656284">
            <w:pPr>
              <w:jc w:val="center"/>
              <w:rPr>
                <w:rFonts w:cs="Times New Roman"/>
                <w:b/>
              </w:rPr>
            </w:pPr>
            <w:r w:rsidRPr="000C08FE">
              <w:rPr>
                <w:rFonts w:cs="Times New Roman"/>
                <w:b/>
                <w:sz w:val="22"/>
                <w:szCs w:val="22"/>
              </w:rPr>
              <w:t>ПОРЯДОК</w:t>
            </w:r>
          </w:p>
        </w:tc>
        <w:tc>
          <w:tcPr>
            <w:tcW w:w="2294" w:type="dxa"/>
          </w:tcPr>
          <w:p w:rsidR="001E27E0" w:rsidRPr="000C08FE" w:rsidRDefault="001E27E0" w:rsidP="00656284">
            <w:pPr>
              <w:jc w:val="center"/>
              <w:rPr>
                <w:rFonts w:cs="Times New Roman"/>
                <w:b/>
              </w:rPr>
            </w:pPr>
            <w:r w:rsidRPr="000C08FE">
              <w:rPr>
                <w:rFonts w:cs="Times New Roman"/>
                <w:b/>
                <w:sz w:val="22"/>
                <w:szCs w:val="22"/>
              </w:rPr>
              <w:t>Автор пропозиції</w:t>
            </w:r>
          </w:p>
        </w:tc>
        <w:tc>
          <w:tcPr>
            <w:tcW w:w="2252" w:type="dxa"/>
          </w:tcPr>
          <w:p w:rsidR="001E27E0" w:rsidRPr="000C08FE" w:rsidRDefault="001E27E0" w:rsidP="00656284">
            <w:pPr>
              <w:jc w:val="center"/>
              <w:rPr>
                <w:rFonts w:cs="Times New Roman"/>
              </w:rPr>
            </w:pPr>
            <w:r w:rsidRPr="000C08FE">
              <w:rPr>
                <w:rFonts w:cs="Times New Roman"/>
                <w:sz w:val="22"/>
                <w:szCs w:val="22"/>
              </w:rPr>
              <w:t>Прийнято/відхилено</w:t>
            </w:r>
          </w:p>
        </w:tc>
      </w:tr>
      <w:tr w:rsidR="001E27E0" w:rsidRPr="000C08FE" w:rsidTr="000C08FE">
        <w:tc>
          <w:tcPr>
            <w:tcW w:w="5984" w:type="dxa"/>
          </w:tcPr>
          <w:p w:rsidR="001E27E0" w:rsidRPr="000C08FE" w:rsidRDefault="001E27E0" w:rsidP="00656284">
            <w:pPr>
              <w:jc w:val="center"/>
              <w:rPr>
                <w:rFonts w:cs="Times New Roman"/>
                <w:b/>
              </w:rPr>
            </w:pPr>
            <w:r w:rsidRPr="000C08FE">
              <w:rPr>
                <w:rFonts w:cs="Times New Roman"/>
                <w:b/>
                <w:sz w:val="22"/>
                <w:szCs w:val="22"/>
              </w:rPr>
              <w:t>організації та проведення творчих конкурсів</w:t>
            </w:r>
          </w:p>
        </w:tc>
        <w:tc>
          <w:tcPr>
            <w:tcW w:w="6065" w:type="dxa"/>
          </w:tcPr>
          <w:p w:rsidR="001E27E0" w:rsidRPr="000C08FE" w:rsidRDefault="001E27E0" w:rsidP="00656284">
            <w:pPr>
              <w:jc w:val="center"/>
              <w:rPr>
                <w:rFonts w:cs="Times New Roman"/>
                <w:b/>
              </w:rPr>
            </w:pPr>
            <w:r w:rsidRPr="000C08FE">
              <w:rPr>
                <w:rFonts w:cs="Times New Roman"/>
                <w:b/>
                <w:sz w:val="22"/>
                <w:szCs w:val="22"/>
              </w:rPr>
              <w:t>організації та проведення творчих конкурсів</w:t>
            </w:r>
          </w:p>
        </w:tc>
        <w:tc>
          <w:tcPr>
            <w:tcW w:w="2294" w:type="dxa"/>
          </w:tcPr>
          <w:p w:rsidR="001E27E0" w:rsidRPr="000C08FE" w:rsidRDefault="001E27E0" w:rsidP="00656284">
            <w:pPr>
              <w:jc w:val="center"/>
              <w:rPr>
                <w:rFonts w:cs="Times New Roman"/>
                <w:b/>
              </w:rPr>
            </w:pPr>
          </w:p>
        </w:tc>
        <w:tc>
          <w:tcPr>
            <w:tcW w:w="2252" w:type="dxa"/>
          </w:tcPr>
          <w:p w:rsidR="001E27E0" w:rsidRPr="000C08FE" w:rsidRDefault="001E27E0" w:rsidP="00656284">
            <w:pPr>
              <w:jc w:val="center"/>
              <w:rPr>
                <w:rFonts w:cs="Times New Roman"/>
                <w:b/>
              </w:rPr>
            </w:pPr>
          </w:p>
        </w:tc>
      </w:tr>
      <w:tr w:rsidR="001E27E0" w:rsidRPr="000C08FE" w:rsidTr="000C08FE">
        <w:tc>
          <w:tcPr>
            <w:tcW w:w="5984" w:type="dxa"/>
          </w:tcPr>
          <w:p w:rsidR="001E27E0" w:rsidRPr="000C08FE" w:rsidRDefault="001E27E0" w:rsidP="00656284">
            <w:pPr>
              <w:jc w:val="center"/>
              <w:rPr>
                <w:rFonts w:cs="Times New Roman"/>
                <w:b/>
              </w:rPr>
            </w:pPr>
            <w:r w:rsidRPr="000C08FE">
              <w:rPr>
                <w:rFonts w:cs="Times New Roman"/>
                <w:b/>
                <w:sz w:val="22"/>
                <w:szCs w:val="22"/>
              </w:rPr>
              <w:t>для вступників на навчання для здобуття ступенів вищої освіти та освітньо-кваліфікаційного рівня молодшого спеціаліста в 2019 році</w:t>
            </w:r>
          </w:p>
        </w:tc>
        <w:tc>
          <w:tcPr>
            <w:tcW w:w="6065" w:type="dxa"/>
          </w:tcPr>
          <w:p w:rsidR="001E27E0" w:rsidRPr="000C08FE" w:rsidRDefault="001E27E0" w:rsidP="00656284">
            <w:pPr>
              <w:jc w:val="center"/>
              <w:rPr>
                <w:rFonts w:cs="Times New Roman"/>
                <w:b/>
              </w:rPr>
            </w:pPr>
            <w:r w:rsidRPr="000C08FE">
              <w:rPr>
                <w:rFonts w:cs="Times New Roman"/>
                <w:b/>
                <w:sz w:val="22"/>
                <w:szCs w:val="22"/>
              </w:rPr>
              <w:t>для вступників на навчання для здобуття ступенів вищої освіти та освітньо-кваліфікаційного рівня молодшого спеціаліста в 2019 році</w:t>
            </w:r>
          </w:p>
        </w:tc>
        <w:tc>
          <w:tcPr>
            <w:tcW w:w="2294" w:type="dxa"/>
          </w:tcPr>
          <w:p w:rsidR="001E27E0" w:rsidRPr="000C08FE" w:rsidRDefault="001E27E0" w:rsidP="00656284">
            <w:pPr>
              <w:jc w:val="center"/>
              <w:rPr>
                <w:rFonts w:cs="Times New Roman"/>
                <w:b/>
              </w:rPr>
            </w:pPr>
          </w:p>
        </w:tc>
        <w:tc>
          <w:tcPr>
            <w:tcW w:w="2252" w:type="dxa"/>
          </w:tcPr>
          <w:p w:rsidR="001E27E0" w:rsidRPr="000C08FE" w:rsidRDefault="001E27E0" w:rsidP="00656284">
            <w:pPr>
              <w:jc w:val="center"/>
              <w:rPr>
                <w:rFonts w:cs="Times New Roman"/>
                <w:b/>
              </w:rPr>
            </w:pPr>
          </w:p>
        </w:tc>
      </w:tr>
      <w:tr w:rsidR="001E27E0" w:rsidRPr="000C08FE" w:rsidTr="000C08FE">
        <w:tc>
          <w:tcPr>
            <w:tcW w:w="5984" w:type="dxa"/>
          </w:tcPr>
          <w:p w:rsidR="001E27E0" w:rsidRPr="000C08FE" w:rsidRDefault="001E27E0" w:rsidP="00656284">
            <w:pPr>
              <w:jc w:val="both"/>
              <w:rPr>
                <w:rFonts w:cs="Times New Roman"/>
              </w:rPr>
            </w:pPr>
            <w:r w:rsidRPr="000C08FE">
              <w:rPr>
                <w:rFonts w:cs="Times New Roman"/>
                <w:sz w:val="22"/>
                <w:szCs w:val="22"/>
              </w:rPr>
              <w:t>І. Загальні положення</w:t>
            </w:r>
          </w:p>
        </w:tc>
        <w:tc>
          <w:tcPr>
            <w:tcW w:w="6065" w:type="dxa"/>
          </w:tcPr>
          <w:p w:rsidR="001E27E0" w:rsidRPr="000C08FE" w:rsidRDefault="001E27E0" w:rsidP="00656284">
            <w:pPr>
              <w:jc w:val="both"/>
              <w:rPr>
                <w:rFonts w:cs="Times New Roman"/>
              </w:rPr>
            </w:pPr>
            <w:r w:rsidRPr="000C08FE">
              <w:rPr>
                <w:rFonts w:cs="Times New Roman"/>
                <w:sz w:val="22"/>
                <w:szCs w:val="22"/>
              </w:rPr>
              <w:t>І. Загальні положення</w:t>
            </w:r>
          </w:p>
        </w:tc>
        <w:tc>
          <w:tcPr>
            <w:tcW w:w="2294" w:type="dxa"/>
          </w:tcPr>
          <w:p w:rsidR="001E27E0" w:rsidRPr="000C08FE" w:rsidRDefault="001E27E0" w:rsidP="00656284">
            <w:pPr>
              <w:jc w:val="both"/>
              <w:rPr>
                <w:rFonts w:cs="Times New Roman"/>
              </w:rPr>
            </w:pPr>
          </w:p>
        </w:tc>
        <w:tc>
          <w:tcPr>
            <w:tcW w:w="2252" w:type="dxa"/>
          </w:tcPr>
          <w:p w:rsidR="001E27E0" w:rsidRPr="000C08FE" w:rsidRDefault="001E27E0" w:rsidP="00656284">
            <w:pPr>
              <w:jc w:val="both"/>
              <w:rPr>
                <w:rFonts w:cs="Times New Roman"/>
              </w:rPr>
            </w:pPr>
          </w:p>
        </w:tc>
      </w:tr>
      <w:tr w:rsidR="001E27E0" w:rsidRPr="000C08FE" w:rsidTr="000C08FE">
        <w:tc>
          <w:tcPr>
            <w:tcW w:w="5984" w:type="dxa"/>
          </w:tcPr>
          <w:p w:rsidR="001E27E0" w:rsidRPr="000C08FE" w:rsidRDefault="001E27E0" w:rsidP="00656284">
            <w:pPr>
              <w:pStyle w:val="ac"/>
              <w:spacing w:before="0" w:beforeAutospacing="0" w:after="0" w:afterAutospacing="0"/>
              <w:jc w:val="both"/>
            </w:pPr>
            <w:bookmarkStart w:id="0" w:name="_Hlk525257898"/>
            <w:r w:rsidRPr="000C08FE">
              <w:rPr>
                <w:sz w:val="22"/>
                <w:szCs w:val="22"/>
              </w:rPr>
              <w:t>1. Творчий конкурс - форма вступного випробування для вступу для здобуття ступеня молодшого бакалавра, бакалавра на основі повної загальної середньої освіти, освітньо-кваліфікаційного рівня молодшого спеціаліста на основі базової або профільної середньої освіти, яка передбачає перевірку та оцінювання творчих та/або фізичних здібностей вступника (у тому числі здобутої раніше професійної підготовки), необхідних для здобуття освіти за спеціальністю (предметною спеціальністю, спеціалізацією), включеною до Переліку спеціальностей, прийом на навчання за якими здійснюється з урахуванням рівня творчих та/або фізичних здібностей вступників, затвердженого наказом Міністерства освіти і науки України від 15 жовтня 2015 року № 1085, зареєстрованого в Міністерстві юстиції України 04 листопада 2015 року за № 1351/27796.</w:t>
            </w:r>
          </w:p>
        </w:tc>
        <w:tc>
          <w:tcPr>
            <w:tcW w:w="6065" w:type="dxa"/>
          </w:tcPr>
          <w:p w:rsidR="001E27E0" w:rsidRPr="000C08FE" w:rsidRDefault="001E27E0" w:rsidP="00C458D2">
            <w:pPr>
              <w:pStyle w:val="ac"/>
              <w:spacing w:before="0" w:beforeAutospacing="0" w:after="0" w:afterAutospacing="0"/>
              <w:jc w:val="both"/>
            </w:pPr>
            <w:r w:rsidRPr="000C08FE">
              <w:rPr>
                <w:sz w:val="22"/>
                <w:szCs w:val="22"/>
              </w:rPr>
              <w:t xml:space="preserve">1. Творчий конкурс - форма вступного випробування для вступу для здобуття ступеня молодшого бакалавра, бакалавра на основі повної загальної середньої освіти, освітньо-кваліфікаційного рівня молодшого спеціаліста на основі базової або профільної середньої освіти, яка передбачає </w:t>
            </w:r>
            <w:r w:rsidRPr="002E7D48">
              <w:rPr>
                <w:sz w:val="22"/>
                <w:szCs w:val="22"/>
              </w:rPr>
              <w:t xml:space="preserve">перевірку та оцінювання творчих та/або фізичних здібностей вступника (у тому числі здобутої раніше професійної </w:t>
            </w:r>
            <w:r w:rsidRPr="002E7D48">
              <w:rPr>
                <w:b/>
                <w:sz w:val="22"/>
                <w:szCs w:val="22"/>
              </w:rPr>
              <w:t>(професійно-технічної) освіти</w:t>
            </w:r>
            <w:r w:rsidRPr="002E7D48">
              <w:rPr>
                <w:sz w:val="22"/>
                <w:szCs w:val="22"/>
              </w:rPr>
              <w:t>), необхідних для здобуття освіти за спеціальністю (предметною спеціальністю, спеціалізацією), включеною до Переліку спеціальностей, прийом на навчання за якими здійснюється</w:t>
            </w:r>
            <w:r w:rsidRPr="000C08FE">
              <w:rPr>
                <w:sz w:val="22"/>
                <w:szCs w:val="22"/>
              </w:rPr>
              <w:t xml:space="preserve"> з урахуванням рівня творчих та/або фізичних здібностей вступників, затвердженого наказом Міністерства освіти і науки України від 15 жовтня 2015 року № 1085, зареєстрованого в Міністерстві юстиції України 04 листопада 2015 року за № 1351/27796.</w:t>
            </w:r>
          </w:p>
        </w:tc>
        <w:tc>
          <w:tcPr>
            <w:tcW w:w="2294" w:type="dxa"/>
          </w:tcPr>
          <w:p w:rsidR="001E27E0" w:rsidRPr="000C08FE" w:rsidRDefault="001E27E0" w:rsidP="00C458D2">
            <w:pPr>
              <w:pStyle w:val="ac"/>
              <w:spacing w:before="0" w:beforeAutospacing="0" w:after="0" w:afterAutospacing="0"/>
              <w:jc w:val="both"/>
            </w:pPr>
            <w:r w:rsidRPr="000C08FE">
              <w:rPr>
                <w:sz w:val="22"/>
                <w:szCs w:val="22"/>
              </w:rPr>
              <w:t>Навчально-методичний центр професійно-технічної освіти у Дніпропетровській області</w:t>
            </w:r>
          </w:p>
        </w:tc>
        <w:tc>
          <w:tcPr>
            <w:tcW w:w="2252" w:type="dxa"/>
          </w:tcPr>
          <w:p w:rsidR="001E27E0" w:rsidRPr="000C08FE" w:rsidRDefault="00F00804" w:rsidP="00C458D2">
            <w:pPr>
              <w:pStyle w:val="ac"/>
              <w:spacing w:before="0" w:beforeAutospacing="0" w:after="0" w:afterAutospacing="0"/>
              <w:jc w:val="both"/>
            </w:pPr>
            <w:r>
              <w:t>Враховано</w:t>
            </w:r>
          </w:p>
        </w:tc>
      </w:tr>
      <w:bookmarkEnd w:id="0"/>
      <w:tr w:rsidR="001E27E0" w:rsidRPr="000C08FE" w:rsidTr="000C08FE">
        <w:tc>
          <w:tcPr>
            <w:tcW w:w="5984" w:type="dxa"/>
          </w:tcPr>
          <w:p w:rsidR="001E27E0" w:rsidRPr="000C08FE" w:rsidRDefault="0050237C" w:rsidP="00656284">
            <w:pPr>
              <w:pStyle w:val="ac"/>
              <w:spacing w:before="0" w:beforeAutospacing="0" w:after="0" w:afterAutospacing="0"/>
              <w:jc w:val="both"/>
              <w:rPr>
                <w:b/>
                <w:i/>
              </w:rPr>
            </w:pPr>
            <w:r w:rsidRPr="000C08FE">
              <w:rPr>
                <w:b/>
                <w:i/>
                <w:sz w:val="22"/>
                <w:szCs w:val="22"/>
              </w:rPr>
              <w:t>Відсутній</w:t>
            </w:r>
          </w:p>
        </w:tc>
        <w:tc>
          <w:tcPr>
            <w:tcW w:w="6065" w:type="dxa"/>
          </w:tcPr>
          <w:p w:rsidR="00F00804" w:rsidRPr="000C08FE" w:rsidRDefault="0050237C" w:rsidP="00656284">
            <w:pPr>
              <w:pStyle w:val="ac"/>
              <w:spacing w:before="0" w:beforeAutospacing="0" w:after="0" w:afterAutospacing="0"/>
              <w:jc w:val="both"/>
              <w:rPr>
                <w:b/>
              </w:rPr>
            </w:pPr>
            <w:r w:rsidRPr="000C08FE">
              <w:rPr>
                <w:b/>
                <w:sz w:val="22"/>
                <w:szCs w:val="22"/>
              </w:rPr>
              <w:t xml:space="preserve">Наявності медичної довідки, в якій би зазначалося, що вступнику не протипоказані фізичні навантаження (для вступу на спеціальність 017 «Фізична культура і спорт» </w:t>
            </w:r>
          </w:p>
        </w:tc>
        <w:tc>
          <w:tcPr>
            <w:tcW w:w="2294" w:type="dxa"/>
          </w:tcPr>
          <w:p w:rsidR="001E27E0" w:rsidRPr="000C08FE" w:rsidRDefault="006D5E78" w:rsidP="00656284">
            <w:pPr>
              <w:pStyle w:val="ac"/>
              <w:spacing w:before="0" w:beforeAutospacing="0" w:after="0" w:afterAutospacing="0"/>
              <w:jc w:val="both"/>
            </w:pPr>
            <w:r w:rsidRPr="000C08FE">
              <w:rPr>
                <w:sz w:val="22"/>
                <w:szCs w:val="22"/>
              </w:rPr>
              <w:t>Харківська державна академія фізичної культури</w:t>
            </w:r>
          </w:p>
        </w:tc>
        <w:tc>
          <w:tcPr>
            <w:tcW w:w="2252" w:type="dxa"/>
          </w:tcPr>
          <w:p w:rsidR="001E27E0" w:rsidRPr="000C08FE" w:rsidRDefault="00693823" w:rsidP="00656284">
            <w:pPr>
              <w:pStyle w:val="ac"/>
              <w:spacing w:before="0" w:beforeAutospacing="0" w:after="0" w:afterAutospacing="0"/>
              <w:jc w:val="both"/>
            </w:pPr>
            <w:r>
              <w:t>Не враховано</w:t>
            </w:r>
          </w:p>
        </w:tc>
      </w:tr>
      <w:tr w:rsidR="001E27E0" w:rsidRPr="000C08FE" w:rsidTr="000C08FE">
        <w:tc>
          <w:tcPr>
            <w:tcW w:w="5984" w:type="dxa"/>
          </w:tcPr>
          <w:p w:rsidR="001E27E0" w:rsidRPr="000C08FE" w:rsidRDefault="001E27E0" w:rsidP="00656284">
            <w:pPr>
              <w:pStyle w:val="ac"/>
              <w:spacing w:before="0" w:beforeAutospacing="0" w:after="0" w:afterAutospacing="0"/>
              <w:jc w:val="both"/>
            </w:pPr>
            <w:r w:rsidRPr="000C08FE">
              <w:rPr>
                <w:sz w:val="22"/>
                <w:szCs w:val="22"/>
              </w:rPr>
              <w:t>8. Для участі в творчому конкурсі на місця державного та регіонального замовлення вступники подають:</w:t>
            </w:r>
          </w:p>
        </w:tc>
        <w:tc>
          <w:tcPr>
            <w:tcW w:w="6065" w:type="dxa"/>
          </w:tcPr>
          <w:p w:rsidR="001E27E0" w:rsidRPr="000C08FE" w:rsidRDefault="001E27E0" w:rsidP="00656284">
            <w:pPr>
              <w:pStyle w:val="ac"/>
              <w:spacing w:before="0" w:beforeAutospacing="0" w:after="0" w:afterAutospacing="0"/>
              <w:jc w:val="both"/>
            </w:pPr>
            <w:r w:rsidRPr="000C08FE">
              <w:rPr>
                <w:sz w:val="22"/>
                <w:szCs w:val="22"/>
              </w:rPr>
              <w:t>8. Для участі в творчому конкурсі на місця державного та регіонального замовлення вступники подають:</w:t>
            </w:r>
          </w:p>
        </w:tc>
        <w:tc>
          <w:tcPr>
            <w:tcW w:w="2294" w:type="dxa"/>
          </w:tcPr>
          <w:p w:rsidR="001E27E0" w:rsidRPr="000C08FE" w:rsidRDefault="001E27E0" w:rsidP="00656284">
            <w:pPr>
              <w:pStyle w:val="ac"/>
              <w:spacing w:before="0" w:beforeAutospacing="0" w:after="0" w:afterAutospacing="0"/>
              <w:jc w:val="both"/>
            </w:pPr>
          </w:p>
        </w:tc>
        <w:tc>
          <w:tcPr>
            <w:tcW w:w="2252" w:type="dxa"/>
          </w:tcPr>
          <w:p w:rsidR="001E27E0" w:rsidRPr="000C08FE" w:rsidRDefault="001E27E0" w:rsidP="00656284">
            <w:pPr>
              <w:pStyle w:val="ac"/>
              <w:spacing w:before="0" w:beforeAutospacing="0" w:after="0" w:afterAutospacing="0"/>
              <w:jc w:val="both"/>
            </w:pPr>
          </w:p>
        </w:tc>
      </w:tr>
      <w:tr w:rsidR="00643AC7" w:rsidRPr="000C08FE" w:rsidTr="000C08FE">
        <w:tc>
          <w:tcPr>
            <w:tcW w:w="5984" w:type="dxa"/>
          </w:tcPr>
          <w:p w:rsidR="00643AC7" w:rsidRPr="000C08FE" w:rsidRDefault="00643AC7" w:rsidP="00643AC7">
            <w:pPr>
              <w:pStyle w:val="ac"/>
              <w:spacing w:before="0" w:beforeAutospacing="0" w:after="0" w:afterAutospacing="0"/>
              <w:jc w:val="both"/>
            </w:pPr>
          </w:p>
        </w:tc>
        <w:tc>
          <w:tcPr>
            <w:tcW w:w="6065" w:type="dxa"/>
          </w:tcPr>
          <w:p w:rsidR="00643AC7" w:rsidRPr="000C08FE" w:rsidRDefault="00643AC7" w:rsidP="00643AC7">
            <w:pPr>
              <w:ind w:firstLine="567"/>
              <w:jc w:val="both"/>
              <w:rPr>
                <w:i/>
              </w:rPr>
            </w:pPr>
            <w:r w:rsidRPr="000C08FE">
              <w:rPr>
                <w:i/>
                <w:sz w:val="22"/>
                <w:szCs w:val="22"/>
              </w:rPr>
              <w:t>реєстрацію вступників для проходження творчого конкурсу здійснювати виключно по заяві (без надання жодних копій документів), в якій обов’язково зазначається:</w:t>
            </w:r>
          </w:p>
          <w:p w:rsidR="00643AC7" w:rsidRPr="000C08FE" w:rsidRDefault="00643AC7" w:rsidP="00643AC7">
            <w:pPr>
              <w:numPr>
                <w:ilvl w:val="0"/>
                <w:numId w:val="1"/>
              </w:numPr>
              <w:tabs>
                <w:tab w:val="left" w:pos="1134"/>
              </w:tabs>
              <w:ind w:left="1134" w:hanging="567"/>
              <w:jc w:val="both"/>
              <w:rPr>
                <w:i/>
              </w:rPr>
            </w:pPr>
            <w:r w:rsidRPr="000C08FE">
              <w:rPr>
                <w:i/>
                <w:sz w:val="22"/>
                <w:szCs w:val="22"/>
              </w:rPr>
              <w:t>прізвище, ім’я, по батькові вступника;</w:t>
            </w:r>
          </w:p>
          <w:p w:rsidR="00643AC7" w:rsidRPr="000C08FE" w:rsidRDefault="00643AC7" w:rsidP="00643AC7">
            <w:pPr>
              <w:numPr>
                <w:ilvl w:val="0"/>
                <w:numId w:val="1"/>
              </w:numPr>
              <w:tabs>
                <w:tab w:val="left" w:pos="1134"/>
              </w:tabs>
              <w:ind w:left="1134" w:hanging="567"/>
              <w:jc w:val="both"/>
              <w:rPr>
                <w:i/>
              </w:rPr>
            </w:pPr>
            <w:r w:rsidRPr="000C08FE">
              <w:rPr>
                <w:i/>
                <w:sz w:val="22"/>
                <w:szCs w:val="22"/>
              </w:rPr>
              <w:t>спеціалність (освітня програма);</w:t>
            </w:r>
          </w:p>
          <w:p w:rsidR="00643AC7" w:rsidRPr="000C08FE" w:rsidRDefault="00643AC7" w:rsidP="00643AC7">
            <w:pPr>
              <w:numPr>
                <w:ilvl w:val="0"/>
                <w:numId w:val="1"/>
              </w:numPr>
              <w:tabs>
                <w:tab w:val="left" w:pos="1134"/>
              </w:tabs>
              <w:ind w:left="1134" w:hanging="567"/>
              <w:jc w:val="both"/>
              <w:rPr>
                <w:i/>
              </w:rPr>
            </w:pPr>
            <w:r w:rsidRPr="000C08FE">
              <w:rPr>
                <w:i/>
                <w:sz w:val="22"/>
                <w:szCs w:val="22"/>
              </w:rPr>
              <w:lastRenderedPageBreak/>
              <w:t>серія та номер документа що посвідчує особу;</w:t>
            </w:r>
          </w:p>
          <w:p w:rsidR="00643AC7" w:rsidRPr="00086606" w:rsidRDefault="00643AC7" w:rsidP="00643AC7">
            <w:pPr>
              <w:numPr>
                <w:ilvl w:val="0"/>
                <w:numId w:val="1"/>
              </w:numPr>
              <w:tabs>
                <w:tab w:val="left" w:pos="1134"/>
              </w:tabs>
              <w:ind w:left="0" w:firstLine="567"/>
              <w:jc w:val="both"/>
              <w:rPr>
                <w:i/>
              </w:rPr>
            </w:pPr>
            <w:r w:rsidRPr="00086606">
              <w:rPr>
                <w:i/>
                <w:sz w:val="22"/>
                <w:szCs w:val="22"/>
              </w:rPr>
              <w:t>номер та PIN сертифіката ЗНО (для вступу на бакалаврат на базі ПЗСО).</w:t>
            </w:r>
          </w:p>
          <w:p w:rsidR="00643AC7" w:rsidRPr="000C08FE" w:rsidRDefault="00643AC7" w:rsidP="00643AC7">
            <w:pPr>
              <w:ind w:firstLine="567"/>
              <w:jc w:val="both"/>
              <w:rPr>
                <w:i/>
              </w:rPr>
            </w:pPr>
            <w:r w:rsidRPr="000C08FE">
              <w:rPr>
                <w:i/>
                <w:sz w:val="22"/>
                <w:szCs w:val="22"/>
              </w:rPr>
              <w:t>Копії документів і фото вступник подає безпосередньо під час подачі оригіналів документів (заяви на вступ).</w:t>
            </w:r>
          </w:p>
          <w:p w:rsidR="00643AC7" w:rsidRPr="000C08FE" w:rsidRDefault="00643AC7" w:rsidP="00643AC7">
            <w:pPr>
              <w:pStyle w:val="ac"/>
              <w:spacing w:before="0" w:beforeAutospacing="0" w:after="0" w:afterAutospacing="0"/>
              <w:jc w:val="both"/>
            </w:pPr>
            <w:r w:rsidRPr="000C08FE">
              <w:rPr>
                <w:i/>
                <w:sz w:val="22"/>
                <w:szCs w:val="22"/>
              </w:rPr>
              <w:t>Це суттєво спростить процедуру реєстрації, як для вступників так і для працівників Приймальних комісій.</w:t>
            </w:r>
          </w:p>
        </w:tc>
        <w:tc>
          <w:tcPr>
            <w:tcW w:w="2294" w:type="dxa"/>
          </w:tcPr>
          <w:p w:rsidR="00643AC7" w:rsidRPr="000C08FE" w:rsidRDefault="006D5E78" w:rsidP="00643AC7">
            <w:pPr>
              <w:pStyle w:val="ac"/>
              <w:spacing w:before="0" w:beforeAutospacing="0" w:after="0" w:afterAutospacing="0"/>
              <w:jc w:val="both"/>
            </w:pPr>
            <w:r w:rsidRPr="000C08FE">
              <w:rPr>
                <w:sz w:val="22"/>
                <w:szCs w:val="22"/>
              </w:rPr>
              <w:lastRenderedPageBreak/>
              <w:t>ІФНТУНГ</w:t>
            </w:r>
          </w:p>
        </w:tc>
        <w:tc>
          <w:tcPr>
            <w:tcW w:w="2252" w:type="dxa"/>
          </w:tcPr>
          <w:p w:rsidR="00643AC7" w:rsidRPr="000C08FE" w:rsidRDefault="00086606" w:rsidP="00643AC7">
            <w:pPr>
              <w:pStyle w:val="ac"/>
              <w:spacing w:before="0" w:beforeAutospacing="0" w:after="0" w:afterAutospacing="0"/>
              <w:jc w:val="both"/>
            </w:pPr>
            <w:r>
              <w:t>Не враховано</w:t>
            </w:r>
          </w:p>
        </w:tc>
      </w:tr>
      <w:tr w:rsidR="00643AC7" w:rsidRPr="000C08FE" w:rsidTr="000C08FE">
        <w:tc>
          <w:tcPr>
            <w:tcW w:w="5984" w:type="dxa"/>
          </w:tcPr>
          <w:p w:rsidR="00643AC7" w:rsidRPr="000C08FE" w:rsidRDefault="00643AC7" w:rsidP="00643AC7">
            <w:pPr>
              <w:pStyle w:val="ac"/>
              <w:spacing w:before="0" w:beforeAutospacing="0" w:after="0" w:afterAutospacing="0"/>
              <w:jc w:val="both"/>
            </w:pPr>
            <w:r w:rsidRPr="000C08FE">
              <w:rPr>
                <w:sz w:val="22"/>
                <w:szCs w:val="22"/>
              </w:rPr>
              <w:t>заяву в паперовій формі (форма заяви затверджується приймальною комісією закладу освіти);</w:t>
            </w:r>
          </w:p>
        </w:tc>
        <w:tc>
          <w:tcPr>
            <w:tcW w:w="6065" w:type="dxa"/>
          </w:tcPr>
          <w:p w:rsidR="00643AC7" w:rsidRPr="000C08FE" w:rsidRDefault="00643AC7" w:rsidP="00643AC7">
            <w:pPr>
              <w:pStyle w:val="ac"/>
              <w:spacing w:before="0" w:beforeAutospacing="0" w:after="0" w:afterAutospacing="0"/>
              <w:jc w:val="both"/>
            </w:pPr>
            <w:r w:rsidRPr="000C08FE">
              <w:rPr>
                <w:sz w:val="22"/>
                <w:szCs w:val="22"/>
              </w:rPr>
              <w:t>заяву в паперовій формі (форма заяви затверджується приймальною комісією закладу освіти);</w:t>
            </w:r>
          </w:p>
        </w:tc>
        <w:tc>
          <w:tcPr>
            <w:tcW w:w="2294" w:type="dxa"/>
          </w:tcPr>
          <w:p w:rsidR="00643AC7" w:rsidRPr="000C08FE" w:rsidRDefault="00643AC7" w:rsidP="00643AC7">
            <w:pPr>
              <w:pStyle w:val="ac"/>
              <w:spacing w:before="0" w:beforeAutospacing="0" w:after="0" w:afterAutospacing="0"/>
              <w:jc w:val="both"/>
            </w:pPr>
          </w:p>
        </w:tc>
        <w:tc>
          <w:tcPr>
            <w:tcW w:w="2252" w:type="dxa"/>
          </w:tcPr>
          <w:p w:rsidR="00643AC7" w:rsidRPr="000C08FE" w:rsidRDefault="00643AC7" w:rsidP="00643AC7">
            <w:pPr>
              <w:pStyle w:val="ac"/>
              <w:spacing w:before="0" w:beforeAutospacing="0" w:after="0" w:afterAutospacing="0"/>
              <w:jc w:val="both"/>
            </w:pPr>
          </w:p>
        </w:tc>
      </w:tr>
      <w:tr w:rsidR="00643AC7" w:rsidRPr="000C08FE" w:rsidTr="000C08FE">
        <w:tc>
          <w:tcPr>
            <w:tcW w:w="5984" w:type="dxa"/>
          </w:tcPr>
          <w:p w:rsidR="00643AC7" w:rsidRPr="000C08FE" w:rsidRDefault="00643AC7" w:rsidP="00643AC7">
            <w:pPr>
              <w:jc w:val="both"/>
              <w:rPr>
                <w:rFonts w:cs="Times New Roman"/>
              </w:rPr>
            </w:pPr>
            <w:r w:rsidRPr="000C08FE">
              <w:rPr>
                <w:rFonts w:cs="Times New Roman"/>
                <w:sz w:val="22"/>
                <w:szCs w:val="22"/>
              </w:rPr>
              <w:t>оригінал та копі</w:t>
            </w:r>
            <w:r w:rsidRPr="000C08FE">
              <w:rPr>
                <w:rFonts w:cs="Times New Roman"/>
                <w:sz w:val="22"/>
                <w:szCs w:val="22"/>
                <w:lang w:val="ru-RU"/>
              </w:rPr>
              <w:t>ю</w:t>
            </w:r>
            <w:r w:rsidRPr="000C08FE">
              <w:rPr>
                <w:rFonts w:cs="Times New Roman"/>
                <w:sz w:val="22"/>
                <w:szCs w:val="22"/>
              </w:rPr>
              <w:t xml:space="preserve"> документа, що посвідчує особу;</w:t>
            </w:r>
          </w:p>
        </w:tc>
        <w:tc>
          <w:tcPr>
            <w:tcW w:w="6065" w:type="dxa"/>
          </w:tcPr>
          <w:p w:rsidR="00643AC7" w:rsidRPr="000C08FE" w:rsidRDefault="00643AC7" w:rsidP="00643AC7">
            <w:pPr>
              <w:jc w:val="both"/>
              <w:rPr>
                <w:rFonts w:cs="Times New Roman"/>
              </w:rPr>
            </w:pPr>
            <w:r w:rsidRPr="000C08FE">
              <w:rPr>
                <w:rFonts w:cs="Times New Roman"/>
                <w:sz w:val="22"/>
                <w:szCs w:val="22"/>
              </w:rPr>
              <w:t>оригінал та копі</w:t>
            </w:r>
            <w:r w:rsidRPr="000C08FE">
              <w:rPr>
                <w:rFonts w:cs="Times New Roman"/>
                <w:sz w:val="22"/>
                <w:szCs w:val="22"/>
                <w:lang w:val="ru-RU"/>
              </w:rPr>
              <w:t>ю</w:t>
            </w:r>
            <w:r w:rsidRPr="000C08FE">
              <w:rPr>
                <w:rFonts w:cs="Times New Roman"/>
                <w:sz w:val="22"/>
                <w:szCs w:val="22"/>
              </w:rPr>
              <w:t xml:space="preserve"> документа, що посвідчує особу;</w:t>
            </w:r>
          </w:p>
        </w:tc>
        <w:tc>
          <w:tcPr>
            <w:tcW w:w="2294" w:type="dxa"/>
          </w:tcPr>
          <w:p w:rsidR="00643AC7" w:rsidRPr="000C08FE" w:rsidRDefault="00643AC7" w:rsidP="00643AC7">
            <w:pPr>
              <w:jc w:val="both"/>
              <w:rPr>
                <w:rFonts w:cs="Times New Roman"/>
              </w:rPr>
            </w:pPr>
          </w:p>
        </w:tc>
        <w:tc>
          <w:tcPr>
            <w:tcW w:w="2252" w:type="dxa"/>
          </w:tcPr>
          <w:p w:rsidR="00643AC7" w:rsidRPr="000C08FE" w:rsidRDefault="00643AC7" w:rsidP="00643AC7">
            <w:pPr>
              <w:jc w:val="both"/>
              <w:rPr>
                <w:rFonts w:cs="Times New Roman"/>
              </w:rPr>
            </w:pPr>
          </w:p>
        </w:tc>
      </w:tr>
      <w:tr w:rsidR="00643AC7" w:rsidRPr="000C08FE" w:rsidTr="000C08FE">
        <w:tc>
          <w:tcPr>
            <w:tcW w:w="5984" w:type="dxa"/>
          </w:tcPr>
          <w:p w:rsidR="00643AC7" w:rsidRPr="000C08FE" w:rsidRDefault="00643AC7" w:rsidP="00643AC7">
            <w:pPr>
              <w:jc w:val="both"/>
              <w:rPr>
                <w:rFonts w:cs="Times New Roman"/>
              </w:rPr>
            </w:pPr>
            <w:r w:rsidRPr="000C08FE">
              <w:rPr>
                <w:rFonts w:cs="Times New Roman"/>
                <w:sz w:val="22"/>
                <w:szCs w:val="22"/>
              </w:rPr>
              <w:t>кольорову фотокартку розміром 3 х 4 см;</w:t>
            </w:r>
          </w:p>
        </w:tc>
        <w:tc>
          <w:tcPr>
            <w:tcW w:w="6065" w:type="dxa"/>
          </w:tcPr>
          <w:p w:rsidR="00643AC7" w:rsidRPr="00B2249D" w:rsidRDefault="00643AC7" w:rsidP="00643AC7">
            <w:pPr>
              <w:jc w:val="both"/>
              <w:rPr>
                <w:rFonts w:cs="Times New Roman"/>
                <w:b/>
                <w:i/>
              </w:rPr>
            </w:pPr>
            <w:r w:rsidRPr="00B2249D">
              <w:rPr>
                <w:rFonts w:cs="Times New Roman"/>
                <w:b/>
                <w:i/>
                <w:sz w:val="22"/>
                <w:szCs w:val="22"/>
              </w:rPr>
              <w:t>Вилучити</w:t>
            </w:r>
          </w:p>
          <w:p w:rsidR="00AF2688" w:rsidRPr="00B2249D" w:rsidRDefault="00AF2688" w:rsidP="00643AC7">
            <w:pPr>
              <w:jc w:val="both"/>
              <w:rPr>
                <w:rFonts w:cs="Times New Roman"/>
                <w:i/>
              </w:rPr>
            </w:pPr>
          </w:p>
        </w:tc>
        <w:tc>
          <w:tcPr>
            <w:tcW w:w="2294" w:type="dxa"/>
          </w:tcPr>
          <w:p w:rsidR="00643AC7" w:rsidRPr="000C08FE" w:rsidRDefault="00643AC7" w:rsidP="00643AC7">
            <w:pPr>
              <w:jc w:val="both"/>
              <w:rPr>
                <w:rFonts w:cs="Times New Roman"/>
              </w:rPr>
            </w:pPr>
            <w:r w:rsidRPr="000C08FE">
              <w:rPr>
                <w:rFonts w:cs="Times New Roman"/>
                <w:sz w:val="22"/>
                <w:szCs w:val="22"/>
              </w:rPr>
              <w:t>Харківська державна академія фізичної культури</w:t>
            </w:r>
          </w:p>
        </w:tc>
        <w:tc>
          <w:tcPr>
            <w:tcW w:w="2252" w:type="dxa"/>
          </w:tcPr>
          <w:p w:rsidR="00643AC7" w:rsidRPr="000C08FE" w:rsidRDefault="00086606" w:rsidP="00643AC7">
            <w:pPr>
              <w:jc w:val="both"/>
              <w:rPr>
                <w:rFonts w:cs="Times New Roman"/>
              </w:rPr>
            </w:pPr>
            <w:r>
              <w:rPr>
                <w:rFonts w:cs="Times New Roman"/>
              </w:rPr>
              <w:t>Враховано редакційно</w:t>
            </w:r>
          </w:p>
        </w:tc>
      </w:tr>
      <w:tr w:rsidR="00643AC7" w:rsidRPr="000C08FE" w:rsidTr="000C08FE">
        <w:tc>
          <w:tcPr>
            <w:tcW w:w="5984" w:type="dxa"/>
          </w:tcPr>
          <w:p w:rsidR="00643AC7" w:rsidRPr="000C08FE" w:rsidRDefault="00643AC7" w:rsidP="00643AC7">
            <w:pPr>
              <w:pStyle w:val="ac"/>
              <w:spacing w:before="0" w:beforeAutospacing="0" w:after="0" w:afterAutospacing="0"/>
              <w:jc w:val="both"/>
            </w:pPr>
            <w:r w:rsidRPr="000C08FE">
              <w:rPr>
                <w:sz w:val="22"/>
                <w:szCs w:val="22"/>
              </w:rPr>
              <w:t>12. Вступники, які отримали оцінку нижче мінімально встановленого приймальною комісією бала на одному з етапів, не допускаються до участі у наступному етапі творчого конкурсу та конкурсному відборі на навчання.</w:t>
            </w:r>
          </w:p>
        </w:tc>
        <w:tc>
          <w:tcPr>
            <w:tcW w:w="6065" w:type="dxa"/>
          </w:tcPr>
          <w:p w:rsidR="00643AC7" w:rsidRPr="00B2249D" w:rsidRDefault="00643AC7" w:rsidP="00643AC7">
            <w:pPr>
              <w:pStyle w:val="ac"/>
              <w:spacing w:before="0" w:beforeAutospacing="0" w:after="0" w:afterAutospacing="0"/>
              <w:jc w:val="both"/>
            </w:pPr>
            <w:r w:rsidRPr="00B2249D">
              <w:rPr>
                <w:sz w:val="22"/>
                <w:szCs w:val="22"/>
              </w:rPr>
              <w:t>12. Вступники, які отримали оцінку нижче мінімально встановленого приймальною комісією бала на одному з етапів, не допускаються до участі у наступному етапі творчого конкурсу та конкурсному відборі на навчання.</w:t>
            </w:r>
          </w:p>
        </w:tc>
        <w:tc>
          <w:tcPr>
            <w:tcW w:w="2294" w:type="dxa"/>
          </w:tcPr>
          <w:p w:rsidR="00643AC7" w:rsidRPr="000C08FE" w:rsidRDefault="00643AC7" w:rsidP="00643AC7">
            <w:pPr>
              <w:pStyle w:val="ac"/>
              <w:spacing w:before="0" w:beforeAutospacing="0" w:after="0" w:afterAutospacing="0"/>
              <w:jc w:val="both"/>
            </w:pPr>
          </w:p>
        </w:tc>
        <w:tc>
          <w:tcPr>
            <w:tcW w:w="2252" w:type="dxa"/>
          </w:tcPr>
          <w:p w:rsidR="00643AC7" w:rsidRPr="000C08FE" w:rsidRDefault="00643AC7" w:rsidP="00643AC7">
            <w:pPr>
              <w:pStyle w:val="ac"/>
              <w:spacing w:before="0" w:beforeAutospacing="0" w:after="0" w:afterAutospacing="0"/>
              <w:jc w:val="both"/>
            </w:pPr>
          </w:p>
        </w:tc>
      </w:tr>
      <w:tr w:rsidR="00D74B36" w:rsidRPr="000C08FE" w:rsidTr="000C08FE">
        <w:tc>
          <w:tcPr>
            <w:tcW w:w="5984" w:type="dxa"/>
          </w:tcPr>
          <w:p w:rsidR="00D74B36" w:rsidRPr="000C08FE" w:rsidRDefault="00D74B36" w:rsidP="00643AC7">
            <w:pPr>
              <w:pStyle w:val="ac"/>
              <w:spacing w:before="0" w:beforeAutospacing="0" w:after="0" w:afterAutospacing="0"/>
              <w:jc w:val="both"/>
              <w:rPr>
                <w:b/>
                <w:i/>
              </w:rPr>
            </w:pPr>
            <w:r w:rsidRPr="000C08FE">
              <w:rPr>
                <w:b/>
                <w:i/>
                <w:sz w:val="22"/>
                <w:szCs w:val="22"/>
              </w:rPr>
              <w:t>відсутній</w:t>
            </w:r>
          </w:p>
        </w:tc>
        <w:tc>
          <w:tcPr>
            <w:tcW w:w="6065" w:type="dxa"/>
          </w:tcPr>
          <w:p w:rsidR="00D74B36" w:rsidRPr="00B2249D" w:rsidRDefault="00D74B36" w:rsidP="00643AC7">
            <w:pPr>
              <w:pStyle w:val="ac"/>
              <w:spacing w:before="0" w:beforeAutospacing="0" w:after="0" w:afterAutospacing="0"/>
              <w:jc w:val="both"/>
              <w:rPr>
                <w:b/>
              </w:rPr>
            </w:pPr>
            <w:r w:rsidRPr="00B2249D">
              <w:rPr>
                <w:b/>
                <w:sz w:val="22"/>
                <w:szCs w:val="22"/>
              </w:rPr>
              <w:t>Вступники, які проходили творчий конкурс у період з 1 по 10 липня і отримали оцінку не нижче мінімально встановленого приймальною комісією бала, мають право подати заяву для зарахування їх оцінки з творчого конкурсу при подачі заяви для вступу на навчання за рахунок коштів фізичних та/або юридичних осіб, як денної, так і заочної форм здобуття освіти.</w:t>
            </w:r>
          </w:p>
        </w:tc>
        <w:tc>
          <w:tcPr>
            <w:tcW w:w="2294" w:type="dxa"/>
          </w:tcPr>
          <w:p w:rsidR="00D74B36" w:rsidRPr="000C08FE" w:rsidRDefault="009B2095" w:rsidP="00643AC7">
            <w:pPr>
              <w:pStyle w:val="ac"/>
              <w:spacing w:before="0" w:beforeAutospacing="0" w:after="0" w:afterAutospacing="0"/>
              <w:jc w:val="both"/>
            </w:pPr>
            <w:r w:rsidRPr="000C08FE">
              <w:rPr>
                <w:sz w:val="22"/>
                <w:szCs w:val="22"/>
              </w:rPr>
              <w:t>Харківська державна академія фізичної культури</w:t>
            </w:r>
          </w:p>
        </w:tc>
        <w:tc>
          <w:tcPr>
            <w:tcW w:w="2252" w:type="dxa"/>
          </w:tcPr>
          <w:p w:rsidR="00D74B36" w:rsidRPr="000C08FE" w:rsidRDefault="00B2249D" w:rsidP="00643AC7">
            <w:pPr>
              <w:pStyle w:val="ac"/>
              <w:spacing w:before="0" w:beforeAutospacing="0" w:after="0" w:afterAutospacing="0"/>
              <w:jc w:val="both"/>
            </w:pPr>
            <w:r>
              <w:t>Враховано редакційно</w:t>
            </w:r>
          </w:p>
        </w:tc>
      </w:tr>
      <w:tr w:rsidR="00643AC7" w:rsidRPr="000C08FE" w:rsidTr="000C08FE">
        <w:tc>
          <w:tcPr>
            <w:tcW w:w="5984" w:type="dxa"/>
          </w:tcPr>
          <w:p w:rsidR="00643AC7" w:rsidRPr="000C08FE" w:rsidRDefault="00643AC7" w:rsidP="00643AC7">
            <w:pPr>
              <w:pStyle w:val="ac"/>
              <w:spacing w:before="0" w:beforeAutospacing="0" w:after="0" w:afterAutospacing="0"/>
              <w:jc w:val="both"/>
            </w:pPr>
            <w:r w:rsidRPr="000C08FE">
              <w:rPr>
                <w:sz w:val="22"/>
                <w:szCs w:val="22"/>
              </w:rPr>
              <w:t>13. Офіційне оголошення результатів творчих конкурсів на місця державного та регіонального замовлення, включаючи оцінку творчого конкурсу та інформацію про досягнення мінімального бала для допуску до конкурсного відбору, здійснюється шляхом розміщення відповідних відомостей на офіційних веб-сайтах (веб-сторінках) закладів освіти та вноситься до Єдиної державної електронної бази у сфері освіти не пізніше наступного дня після їх проведення.</w:t>
            </w:r>
          </w:p>
        </w:tc>
        <w:tc>
          <w:tcPr>
            <w:tcW w:w="6065" w:type="dxa"/>
          </w:tcPr>
          <w:p w:rsidR="00643AC7" w:rsidRPr="00B2249D" w:rsidRDefault="00643AC7" w:rsidP="00643AC7">
            <w:pPr>
              <w:pStyle w:val="ac"/>
              <w:spacing w:before="0" w:beforeAutospacing="0" w:after="0" w:afterAutospacing="0"/>
              <w:jc w:val="both"/>
            </w:pPr>
            <w:r w:rsidRPr="00B2249D">
              <w:rPr>
                <w:sz w:val="22"/>
                <w:szCs w:val="22"/>
              </w:rPr>
              <w:t>13. Офіційне оголошення результатів творчих конкурсів на місця державного та регіонального замовлення, включаючи оцінку творчого конкурсу та інформацію про досягнення мінімального бала для допуску до конкурсного відбору, здійснюється шляхом розміщення відповідних відомостей на офіційних веб-сайтах (веб-сторінках) закладів освіти та вноситься до Єдиної державної електронної бази у сфері освіти не пізніше наступного дня після їх проведення.</w:t>
            </w:r>
          </w:p>
        </w:tc>
        <w:tc>
          <w:tcPr>
            <w:tcW w:w="2294" w:type="dxa"/>
          </w:tcPr>
          <w:p w:rsidR="00643AC7" w:rsidRPr="000C08FE" w:rsidRDefault="00643AC7" w:rsidP="00643AC7">
            <w:pPr>
              <w:pStyle w:val="ac"/>
              <w:spacing w:before="0" w:beforeAutospacing="0" w:after="0" w:afterAutospacing="0"/>
              <w:jc w:val="both"/>
            </w:pPr>
          </w:p>
        </w:tc>
        <w:tc>
          <w:tcPr>
            <w:tcW w:w="2252" w:type="dxa"/>
          </w:tcPr>
          <w:p w:rsidR="00643AC7" w:rsidRPr="000C08FE" w:rsidRDefault="00643AC7" w:rsidP="00643AC7">
            <w:pPr>
              <w:pStyle w:val="ac"/>
              <w:spacing w:before="0" w:beforeAutospacing="0" w:after="0" w:afterAutospacing="0"/>
              <w:jc w:val="both"/>
            </w:pPr>
          </w:p>
        </w:tc>
      </w:tr>
      <w:tr w:rsidR="00643AC7" w:rsidRPr="000C08FE" w:rsidTr="000C08FE">
        <w:tc>
          <w:tcPr>
            <w:tcW w:w="5984" w:type="dxa"/>
          </w:tcPr>
          <w:p w:rsidR="00643AC7" w:rsidRPr="000C08FE" w:rsidRDefault="00643AC7" w:rsidP="00643AC7">
            <w:pPr>
              <w:pStyle w:val="ac"/>
              <w:spacing w:before="0" w:beforeAutospacing="0" w:after="0" w:afterAutospacing="0"/>
              <w:jc w:val="both"/>
            </w:pPr>
          </w:p>
        </w:tc>
        <w:tc>
          <w:tcPr>
            <w:tcW w:w="6065" w:type="dxa"/>
          </w:tcPr>
          <w:p w:rsidR="00643AC7" w:rsidRPr="000C08FE" w:rsidRDefault="006D5E78" w:rsidP="00B2249D">
            <w:pPr>
              <w:jc w:val="both"/>
              <w:rPr>
                <w:b/>
                <w:i/>
              </w:rPr>
            </w:pPr>
            <w:r w:rsidRPr="000C08FE">
              <w:rPr>
                <w:rFonts w:cs="Times New Roman"/>
                <w:i/>
                <w:sz w:val="22"/>
                <w:szCs w:val="22"/>
              </w:rPr>
              <w:t>Прописати, яким чином вносити результати творчих конкурсів до Єдиної</w:t>
            </w:r>
            <w:bookmarkStart w:id="1" w:name="_GoBack"/>
            <w:bookmarkEnd w:id="1"/>
            <w:r w:rsidRPr="000C08FE">
              <w:rPr>
                <w:rFonts w:cs="Times New Roman"/>
                <w:i/>
                <w:sz w:val="22"/>
                <w:szCs w:val="22"/>
              </w:rPr>
              <w:t xml:space="preserve"> державної електронної бази у сфері освіти не пізніше наступного дня їх проведення, якщо у ЄДЕБО поки що не передбачена така можливість. </w:t>
            </w:r>
          </w:p>
        </w:tc>
        <w:tc>
          <w:tcPr>
            <w:tcW w:w="2294" w:type="dxa"/>
          </w:tcPr>
          <w:p w:rsidR="00643AC7" w:rsidRPr="000C08FE" w:rsidRDefault="0019478D" w:rsidP="00643AC7">
            <w:pPr>
              <w:pStyle w:val="ac"/>
              <w:spacing w:before="0" w:beforeAutospacing="0" w:after="0" w:afterAutospacing="0"/>
              <w:jc w:val="both"/>
            </w:pPr>
            <w:r w:rsidRPr="000C08FE">
              <w:rPr>
                <w:sz w:val="22"/>
                <w:szCs w:val="22"/>
              </w:rPr>
              <w:t>Київський інститут музики ім.Р.М.Глієра</w:t>
            </w:r>
          </w:p>
        </w:tc>
        <w:tc>
          <w:tcPr>
            <w:tcW w:w="2252" w:type="dxa"/>
          </w:tcPr>
          <w:p w:rsidR="00643AC7" w:rsidRPr="000C08FE" w:rsidRDefault="00B2249D" w:rsidP="00643AC7">
            <w:pPr>
              <w:pStyle w:val="ac"/>
              <w:spacing w:before="0" w:beforeAutospacing="0" w:after="0" w:afterAutospacing="0"/>
              <w:jc w:val="both"/>
            </w:pPr>
            <w:r>
              <w:t>Не враховано</w:t>
            </w:r>
          </w:p>
        </w:tc>
      </w:tr>
    </w:tbl>
    <w:p w:rsidR="004C5F56" w:rsidRDefault="004C5F56" w:rsidP="00656284">
      <w:pPr>
        <w:rPr>
          <w:rFonts w:eastAsia="Times New Roman" w:cs="Times New Roman"/>
          <w:sz w:val="28"/>
          <w:szCs w:val="28"/>
          <w:lang w:eastAsia="en-US"/>
        </w:rPr>
      </w:pPr>
    </w:p>
    <w:sectPr w:rsidR="004C5F56" w:rsidSect="009B31B8">
      <w:headerReference w:type="default" r:id="rId8"/>
      <w:pgSz w:w="16838" w:h="11906" w:orient="landscape" w:code="9"/>
      <w:pgMar w:top="851" w:right="851" w:bottom="709" w:left="85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F56" w:rsidRDefault="007A6F56" w:rsidP="00125E1A">
      <w:r>
        <w:separator/>
      </w:r>
    </w:p>
  </w:endnote>
  <w:endnote w:type="continuationSeparator" w:id="0">
    <w:p w:rsidR="007A6F56" w:rsidRDefault="007A6F56" w:rsidP="00125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F56" w:rsidRDefault="007A6F56" w:rsidP="00125E1A">
      <w:r>
        <w:separator/>
      </w:r>
    </w:p>
  </w:footnote>
  <w:footnote w:type="continuationSeparator" w:id="0">
    <w:p w:rsidR="007A6F56" w:rsidRDefault="007A6F56" w:rsidP="00125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841378"/>
      <w:docPartObj>
        <w:docPartGallery w:val="Page Numbers (Top of Page)"/>
        <w:docPartUnique/>
      </w:docPartObj>
    </w:sdtPr>
    <w:sdtEndPr/>
    <w:sdtContent>
      <w:p w:rsidR="00125E1A" w:rsidRDefault="00125E1A" w:rsidP="00125E1A">
        <w:pPr>
          <w:pStyle w:val="a8"/>
          <w:jc w:val="center"/>
        </w:pPr>
        <w:r>
          <w:fldChar w:fldCharType="begin"/>
        </w:r>
        <w:r>
          <w:instrText>PAGE   \* MERGEFORMAT</w:instrText>
        </w:r>
        <w:r>
          <w:fldChar w:fldCharType="separate"/>
        </w:r>
        <w:r w:rsidR="009B31B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27EAF"/>
    <w:multiLevelType w:val="hybridMultilevel"/>
    <w:tmpl w:val="AAC6F6AE"/>
    <w:lvl w:ilvl="0" w:tplc="23CEEB56">
      <w:start w:val="3"/>
      <w:numFmt w:val="bullet"/>
      <w:lvlText w:val="-"/>
      <w:lvlJc w:val="left"/>
      <w:pPr>
        <w:ind w:left="1287" w:hanging="360"/>
      </w:pPr>
      <w:rPr>
        <w:rFonts w:ascii="Book Antiqua" w:eastAsia="Times New Roman" w:hAnsi="Book Antiqua"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10F0E"/>
    <w:rsid w:val="000024AB"/>
    <w:rsid w:val="00007EDB"/>
    <w:rsid w:val="000151D4"/>
    <w:rsid w:val="000812B3"/>
    <w:rsid w:val="00085972"/>
    <w:rsid w:val="00086606"/>
    <w:rsid w:val="000A4241"/>
    <w:rsid w:val="000C08FE"/>
    <w:rsid w:val="00117717"/>
    <w:rsid w:val="00125E1A"/>
    <w:rsid w:val="00155127"/>
    <w:rsid w:val="0019249B"/>
    <w:rsid w:val="0019478D"/>
    <w:rsid w:val="001E27E0"/>
    <w:rsid w:val="001E6F3F"/>
    <w:rsid w:val="001F0871"/>
    <w:rsid w:val="002123A4"/>
    <w:rsid w:val="00220880"/>
    <w:rsid w:val="0022341E"/>
    <w:rsid w:val="002736C5"/>
    <w:rsid w:val="00274395"/>
    <w:rsid w:val="00295AFC"/>
    <w:rsid w:val="002B0B54"/>
    <w:rsid w:val="002B270F"/>
    <w:rsid w:val="002D23CA"/>
    <w:rsid w:val="002D2E31"/>
    <w:rsid w:val="002D3A5E"/>
    <w:rsid w:val="002E7D48"/>
    <w:rsid w:val="003632BB"/>
    <w:rsid w:val="00391D71"/>
    <w:rsid w:val="003936A8"/>
    <w:rsid w:val="003A59B2"/>
    <w:rsid w:val="003E5C66"/>
    <w:rsid w:val="003F2E94"/>
    <w:rsid w:val="003F7E7D"/>
    <w:rsid w:val="0040783C"/>
    <w:rsid w:val="00441182"/>
    <w:rsid w:val="00444C58"/>
    <w:rsid w:val="00465615"/>
    <w:rsid w:val="0047250E"/>
    <w:rsid w:val="004900A4"/>
    <w:rsid w:val="004C5F56"/>
    <w:rsid w:val="004D7C6E"/>
    <w:rsid w:val="004E26B5"/>
    <w:rsid w:val="0050237C"/>
    <w:rsid w:val="005066CB"/>
    <w:rsid w:val="005219B2"/>
    <w:rsid w:val="0052790C"/>
    <w:rsid w:val="005679B8"/>
    <w:rsid w:val="00572F5B"/>
    <w:rsid w:val="00585885"/>
    <w:rsid w:val="005A375B"/>
    <w:rsid w:val="005C5940"/>
    <w:rsid w:val="005E4F18"/>
    <w:rsid w:val="005F1DD0"/>
    <w:rsid w:val="00606473"/>
    <w:rsid w:val="0061031A"/>
    <w:rsid w:val="00643AC7"/>
    <w:rsid w:val="00656284"/>
    <w:rsid w:val="00672277"/>
    <w:rsid w:val="006912E7"/>
    <w:rsid w:val="00693823"/>
    <w:rsid w:val="006D5E78"/>
    <w:rsid w:val="00703290"/>
    <w:rsid w:val="00705E06"/>
    <w:rsid w:val="007060EB"/>
    <w:rsid w:val="0071140F"/>
    <w:rsid w:val="0074640A"/>
    <w:rsid w:val="00780181"/>
    <w:rsid w:val="007A24B5"/>
    <w:rsid w:val="007A6F56"/>
    <w:rsid w:val="007B0A58"/>
    <w:rsid w:val="007B74AC"/>
    <w:rsid w:val="008018B5"/>
    <w:rsid w:val="00801BF1"/>
    <w:rsid w:val="00812FD4"/>
    <w:rsid w:val="00822CC6"/>
    <w:rsid w:val="0082472A"/>
    <w:rsid w:val="008522DE"/>
    <w:rsid w:val="0086488E"/>
    <w:rsid w:val="0088257F"/>
    <w:rsid w:val="00897CAF"/>
    <w:rsid w:val="008D2929"/>
    <w:rsid w:val="009044CA"/>
    <w:rsid w:val="00906184"/>
    <w:rsid w:val="00937058"/>
    <w:rsid w:val="00944B54"/>
    <w:rsid w:val="00955DF0"/>
    <w:rsid w:val="00974246"/>
    <w:rsid w:val="009802E1"/>
    <w:rsid w:val="009808E0"/>
    <w:rsid w:val="0099647F"/>
    <w:rsid w:val="009B2095"/>
    <w:rsid w:val="009B31B8"/>
    <w:rsid w:val="00A23DAD"/>
    <w:rsid w:val="00A42DDF"/>
    <w:rsid w:val="00A456F3"/>
    <w:rsid w:val="00A60372"/>
    <w:rsid w:val="00A70F7D"/>
    <w:rsid w:val="00A86E1F"/>
    <w:rsid w:val="00A909F5"/>
    <w:rsid w:val="00A935D2"/>
    <w:rsid w:val="00AC5FC5"/>
    <w:rsid w:val="00AF2688"/>
    <w:rsid w:val="00B2249D"/>
    <w:rsid w:val="00B34D54"/>
    <w:rsid w:val="00B8663B"/>
    <w:rsid w:val="00BA42CC"/>
    <w:rsid w:val="00BC0AAA"/>
    <w:rsid w:val="00BC5577"/>
    <w:rsid w:val="00BF5226"/>
    <w:rsid w:val="00C27899"/>
    <w:rsid w:val="00C358A0"/>
    <w:rsid w:val="00C44ECB"/>
    <w:rsid w:val="00C458D2"/>
    <w:rsid w:val="00C60B58"/>
    <w:rsid w:val="00C84B67"/>
    <w:rsid w:val="00C96DA5"/>
    <w:rsid w:val="00CF503D"/>
    <w:rsid w:val="00D03618"/>
    <w:rsid w:val="00D33A8E"/>
    <w:rsid w:val="00D70901"/>
    <w:rsid w:val="00D74129"/>
    <w:rsid w:val="00D74B36"/>
    <w:rsid w:val="00D91E5F"/>
    <w:rsid w:val="00DA2FA9"/>
    <w:rsid w:val="00DB00EF"/>
    <w:rsid w:val="00DB7727"/>
    <w:rsid w:val="00DE0554"/>
    <w:rsid w:val="00DE33D4"/>
    <w:rsid w:val="00E60D44"/>
    <w:rsid w:val="00EB0792"/>
    <w:rsid w:val="00EB0B23"/>
    <w:rsid w:val="00F00804"/>
    <w:rsid w:val="00F10F0E"/>
    <w:rsid w:val="00F302E3"/>
    <w:rsid w:val="00F5154E"/>
    <w:rsid w:val="00F53020"/>
    <w:rsid w:val="00F542DA"/>
    <w:rsid w:val="00F6072F"/>
    <w:rsid w:val="00FB6EC5"/>
    <w:rsid w:val="00FD64D5"/>
    <w:rsid w:val="00FF3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E4109"/>
  <w15:docId w15:val="{17CC96D4-4616-42D3-8104-0BEF973F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B67"/>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5C66"/>
    <w:rPr>
      <w:rFonts w:ascii="Tahoma" w:hAnsi="Tahoma" w:cs="Tahoma"/>
      <w:sz w:val="16"/>
      <w:szCs w:val="16"/>
    </w:rPr>
  </w:style>
  <w:style w:type="character" w:customStyle="1" w:styleId="a4">
    <w:name w:val="Текст у виносці Знак"/>
    <w:basedOn w:val="a0"/>
    <w:link w:val="a3"/>
    <w:uiPriority w:val="99"/>
    <w:semiHidden/>
    <w:rsid w:val="003E5C66"/>
    <w:rPr>
      <w:rFonts w:ascii="Tahoma" w:hAnsi="Tahoma" w:cs="Tahoma"/>
      <w:sz w:val="16"/>
      <w:szCs w:val="16"/>
      <w:lang w:eastAsia="ru-RU"/>
    </w:rPr>
  </w:style>
  <w:style w:type="paragraph" w:styleId="a5">
    <w:name w:val="Body Text Indent"/>
    <w:basedOn w:val="a"/>
    <w:link w:val="a6"/>
    <w:semiHidden/>
    <w:unhideWhenUsed/>
    <w:rsid w:val="00E60D44"/>
    <w:pPr>
      <w:spacing w:after="120"/>
      <w:ind w:left="283"/>
    </w:pPr>
    <w:rPr>
      <w:rFonts w:eastAsia="Times New Roman" w:cs="Times New Roman"/>
    </w:rPr>
  </w:style>
  <w:style w:type="character" w:customStyle="1" w:styleId="a6">
    <w:name w:val="Основний текст з відступом Знак"/>
    <w:basedOn w:val="a0"/>
    <w:link w:val="a5"/>
    <w:semiHidden/>
    <w:rsid w:val="00E60D44"/>
    <w:rPr>
      <w:rFonts w:ascii="Times New Roman" w:eastAsia="Times New Roman" w:hAnsi="Times New Roman" w:cs="Times New Roman"/>
      <w:sz w:val="24"/>
      <w:szCs w:val="24"/>
      <w:lang w:eastAsia="ru-RU"/>
    </w:rPr>
  </w:style>
  <w:style w:type="table" w:styleId="a7">
    <w:name w:val="Table Grid"/>
    <w:basedOn w:val="a1"/>
    <w:uiPriority w:val="39"/>
    <w:rsid w:val="00007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ий текст 31"/>
    <w:basedOn w:val="a"/>
    <w:uiPriority w:val="99"/>
    <w:rsid w:val="00274395"/>
    <w:pPr>
      <w:widowControl w:val="0"/>
      <w:overflowPunct w:val="0"/>
      <w:autoSpaceDE w:val="0"/>
      <w:autoSpaceDN w:val="0"/>
      <w:adjustRightInd w:val="0"/>
    </w:pPr>
    <w:rPr>
      <w:rFonts w:ascii="Times New Roman CYR" w:eastAsia="Calibri" w:hAnsi="Times New Roman CYR" w:cs="Times New Roman"/>
      <w:szCs w:val="20"/>
    </w:rPr>
  </w:style>
  <w:style w:type="paragraph" w:styleId="a8">
    <w:name w:val="header"/>
    <w:basedOn w:val="a"/>
    <w:link w:val="a9"/>
    <w:uiPriority w:val="99"/>
    <w:unhideWhenUsed/>
    <w:rsid w:val="00125E1A"/>
    <w:pPr>
      <w:tabs>
        <w:tab w:val="center" w:pos="4819"/>
        <w:tab w:val="right" w:pos="9639"/>
      </w:tabs>
    </w:pPr>
  </w:style>
  <w:style w:type="character" w:customStyle="1" w:styleId="a9">
    <w:name w:val="Верхній колонтитул Знак"/>
    <w:basedOn w:val="a0"/>
    <w:link w:val="a8"/>
    <w:uiPriority w:val="99"/>
    <w:rsid w:val="00125E1A"/>
    <w:rPr>
      <w:rFonts w:ascii="Times New Roman" w:hAnsi="Times New Roman"/>
      <w:sz w:val="24"/>
      <w:szCs w:val="24"/>
      <w:lang w:eastAsia="ru-RU"/>
    </w:rPr>
  </w:style>
  <w:style w:type="paragraph" w:styleId="aa">
    <w:name w:val="footer"/>
    <w:basedOn w:val="a"/>
    <w:link w:val="ab"/>
    <w:uiPriority w:val="99"/>
    <w:unhideWhenUsed/>
    <w:rsid w:val="00125E1A"/>
    <w:pPr>
      <w:tabs>
        <w:tab w:val="center" w:pos="4819"/>
        <w:tab w:val="right" w:pos="9639"/>
      </w:tabs>
    </w:pPr>
  </w:style>
  <w:style w:type="character" w:customStyle="1" w:styleId="ab">
    <w:name w:val="Нижній колонтитул Знак"/>
    <w:basedOn w:val="a0"/>
    <w:link w:val="aa"/>
    <w:uiPriority w:val="99"/>
    <w:rsid w:val="00125E1A"/>
    <w:rPr>
      <w:rFonts w:ascii="Times New Roman" w:hAnsi="Times New Roman"/>
      <w:sz w:val="24"/>
      <w:szCs w:val="24"/>
      <w:lang w:eastAsia="ru-RU"/>
    </w:rPr>
  </w:style>
  <w:style w:type="paragraph" w:styleId="ac">
    <w:name w:val="Normal (Web)"/>
    <w:basedOn w:val="a"/>
    <w:uiPriority w:val="99"/>
    <w:unhideWhenUsed/>
    <w:rsid w:val="004C5F56"/>
    <w:pPr>
      <w:spacing w:before="100" w:beforeAutospacing="1" w:after="100" w:afterAutospacing="1"/>
    </w:pPr>
    <w:rPr>
      <w:rFonts w:eastAsia="Times New Roman" w:cs="Times New Roman"/>
      <w:lang w:eastAsia="uk-UA"/>
    </w:rPr>
  </w:style>
  <w:style w:type="paragraph" w:styleId="ad">
    <w:name w:val="List Paragraph"/>
    <w:basedOn w:val="a"/>
    <w:qFormat/>
    <w:rsid w:val="00B2249D"/>
    <w:pPr>
      <w:spacing w:after="200" w:line="276" w:lineRule="auto"/>
      <w:ind w:left="720"/>
      <w:contextualSpacing/>
    </w:pPr>
    <w:rPr>
      <w:rFonts w:ascii="Calibri" w:eastAsia="Calibri" w:hAnsi="Calibri" w:cs="Times New Roman"/>
      <w:sz w:val="22"/>
      <w:szCs w:val="22"/>
      <w:lang w:eastAsia="en-US"/>
    </w:rPr>
  </w:style>
  <w:style w:type="paragraph" w:customStyle="1" w:styleId="ae">
    <w:name w:val=" Знак Знак Знак Знак"/>
    <w:basedOn w:val="a"/>
    <w:rsid w:val="00B2249D"/>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07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5ADCE-2A12-4E0B-98BE-45AC1149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3798</Words>
  <Characters>2165</Characters>
  <Application>Microsoft Office Word</Application>
  <DocSecurity>0</DocSecurity>
  <Lines>18</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Kernychna A.</cp:lastModifiedBy>
  <cp:revision>3</cp:revision>
  <cp:lastPrinted>2019-04-03T10:21:00Z</cp:lastPrinted>
  <dcterms:created xsi:type="dcterms:W3CDTF">2019-05-21T14:11:00Z</dcterms:created>
  <dcterms:modified xsi:type="dcterms:W3CDTF">2019-05-21T14:20:00Z</dcterms:modified>
</cp:coreProperties>
</file>