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74" w:rsidRDefault="00893DA0">
      <w:pPr>
        <w:ind w:left="42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ЗАТВЕРДЖЕНО</w:t>
      </w:r>
    </w:p>
    <w:p w:rsidR="00166574" w:rsidRDefault="00893DA0">
      <w:pPr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Комісією з питань розподілу коштів для задоволення потреб освіти і науки</w:t>
      </w:r>
    </w:p>
    <w:p w:rsidR="00166574" w:rsidRDefault="00893DA0">
      <w:pPr>
        <w:ind w:left="42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від 08 квітня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р.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</w:p>
    <w:p w:rsidR="00166574" w:rsidRDefault="00166574">
      <w:pPr>
        <w:spacing w:after="100"/>
        <w:ind w:left="450" w:right="45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66574" w:rsidRDefault="00893DA0">
      <w:pPr>
        <w:spacing w:after="100"/>
        <w:ind w:left="450" w:right="45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ФОРМА ЗВЕРНЕНЬ,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  <w:t>що подаються заявниками для задоволення потреб освіти і науки</w:t>
      </w:r>
    </w:p>
    <w:p w:rsidR="00166574" w:rsidRDefault="00893DA0">
      <w:pPr>
        <w:spacing w:after="100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Найменування головного розпорядника бюджетних коштів: _____________________________________________________________________</w:t>
      </w:r>
    </w:p>
    <w:p w:rsidR="00166574" w:rsidRDefault="00893DA0">
      <w:pPr>
        <w:spacing w:after="100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Місцезнаходження  головного розпорядника бюджетних коштів: _____________________________________________________________________</w:t>
      </w:r>
    </w:p>
    <w:p w:rsidR="00166574" w:rsidRDefault="00893DA0">
      <w:pPr>
        <w:spacing w:after="100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звище, власне ім’я, по батькові (за наявності) керівника одержувача або особи, яка його заміщує, посада: ________________________________________</w:t>
      </w:r>
    </w:p>
    <w:p w:rsidR="00166574" w:rsidRDefault="00893DA0">
      <w:pPr>
        <w:spacing w:after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_____________________________________________________________________Реквізити рахунка спеціального фонду держ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авного бюджету:________________ ____________________________________________________________________</w:t>
      </w:r>
    </w:p>
    <w:p w:rsidR="00166574" w:rsidRDefault="00893DA0">
      <w:pPr>
        <w:spacing w:after="100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IBAN: UA ________________________________________________________</w:t>
      </w:r>
    </w:p>
    <w:p w:rsidR="00166574" w:rsidRDefault="00893DA0">
      <w:pPr>
        <w:spacing w:after="100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(найменування установи банку/органу Казначейства)</w:t>
      </w:r>
    </w:p>
    <w:p w:rsidR="00166574" w:rsidRDefault="00893DA0">
      <w:pPr>
        <w:spacing w:after="100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 згідно з ЄДРПОУ: ______________________________________________</w:t>
      </w:r>
    </w:p>
    <w:p w:rsidR="00166574" w:rsidRDefault="00893DA0">
      <w:pPr>
        <w:spacing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</w:p>
    <w:p w:rsidR="00166574" w:rsidRDefault="00893DA0">
      <w:pPr>
        <w:spacing w:after="100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Контактні дані особи, відповідальної подання звернення.</w:t>
      </w:r>
    </w:p>
    <w:p w:rsidR="00166574" w:rsidRDefault="00893DA0">
      <w:pPr>
        <w:spacing w:after="100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Прізвище, власне ім’я, по батькові (за наявності), посада:________________</w:t>
      </w:r>
    </w:p>
    <w:p w:rsidR="00166574" w:rsidRDefault="00893DA0">
      <w:pPr>
        <w:spacing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166574" w:rsidRDefault="00893DA0">
      <w:pPr>
        <w:spacing w:after="100"/>
        <w:ind w:firstLine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контактний номер телефону: 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:rsidR="00166574" w:rsidRDefault="00893DA0">
      <w:pPr>
        <w:spacing w:after="10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 електронної пошти:__________________________________________</w:t>
      </w:r>
    </w:p>
    <w:p w:rsidR="00166574" w:rsidRDefault="00166574">
      <w:pPr>
        <w:spacing w:after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97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69"/>
        <w:gridCol w:w="6427"/>
        <w:gridCol w:w="1869"/>
      </w:tblGrid>
      <w:tr w:rsidR="00166574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74" w:rsidRDefault="00893DA0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Порядковий номер</w:t>
            </w:r>
          </w:p>
        </w:tc>
        <w:tc>
          <w:tcPr>
            <w:tcW w:w="6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74" w:rsidRDefault="00893DA0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Напрям, визначений у пункті 2 Порядку використання коштів з рахунка для задоволення потреб освіти і науки, затвердженого постановою Кабінету Міністрів України від 8 листопада 2022 р.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№ 1256 (в редакції постанови Кабінету Міністрів України від 21 липня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 р. № 762) 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74" w:rsidRDefault="00893DA0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Необхідний обсяг коштів, гривень</w:t>
            </w:r>
          </w:p>
        </w:tc>
      </w:tr>
      <w:tr w:rsidR="00166574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74" w:rsidRDefault="00893DA0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74" w:rsidRDefault="0016657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74" w:rsidRDefault="0016657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66574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74" w:rsidRDefault="00893DA0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74" w:rsidRDefault="0016657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74" w:rsidRDefault="0016657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66574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74" w:rsidRDefault="00893DA0">
            <w:pPr>
              <w:spacing w:after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74" w:rsidRDefault="0016657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74" w:rsidRDefault="0016657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66574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74" w:rsidRDefault="00893DA0">
            <w:pPr>
              <w:spacing w:after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6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74" w:rsidRDefault="0016657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574" w:rsidRDefault="0016657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66574"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574" w:rsidRDefault="00893DA0">
            <w:pPr>
              <w:spacing w:after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УСЬОГО:</w:t>
            </w:r>
          </w:p>
        </w:tc>
        <w:tc>
          <w:tcPr>
            <w:tcW w:w="64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574" w:rsidRDefault="0016657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574" w:rsidRDefault="0016657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66574" w:rsidRDefault="00166574">
      <w:pPr>
        <w:spacing w:after="100"/>
        <w:jc w:val="both"/>
        <w:rPr>
          <w:rFonts w:ascii="Times New Roman" w:eastAsia="Times New Roman" w:hAnsi="Times New Roman" w:cs="Times New Roman"/>
        </w:rPr>
      </w:pPr>
    </w:p>
    <w:p w:rsidR="00166574" w:rsidRDefault="00893DA0">
      <w:pPr>
        <w:spacing w:after="100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Звернення має обов’язково містити зобов’язання головного розпорядника бюджетних коштів щодо недопущення повторного звернення та/або використання коштів державного чи місцевого бюджетів на реалізацію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напрямом використання коштів, що є предметом д</w:t>
      </w:r>
      <w:r>
        <w:rPr>
          <w:rFonts w:ascii="Times New Roman" w:eastAsia="Times New Roman" w:hAnsi="Times New Roman" w:cs="Times New Roman"/>
          <w:sz w:val="28"/>
          <w:szCs w:val="28"/>
        </w:rPr>
        <w:t>аного звернення.</w:t>
      </w:r>
    </w:p>
    <w:p w:rsidR="00166574" w:rsidRDefault="00893DA0">
      <w:pPr>
        <w:spacing w:after="100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зазначеної інформації додаються (обрати те, що підходить до </w:t>
      </w:r>
      <w:r>
        <w:rPr>
          <w:rFonts w:ascii="Times New Roman" w:eastAsia="Times New Roman" w:hAnsi="Times New Roman" w:cs="Times New Roman"/>
          <w:sz w:val="28"/>
          <w:szCs w:val="28"/>
        </w:rPr>
        <w:t>обраного напряму)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166574" w:rsidRDefault="00893DA0">
      <w:pPr>
        <w:spacing w:after="100"/>
        <w:ind w:firstLine="450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потреби — відповідальний виконавець бюджетної програми, розпорядники бюджетних коштів нижчого рівня, одержувачі бюджетних коштів та код економічної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ласифікації видатків бюджету; </w:t>
      </w:r>
    </w:p>
    <w:p w:rsidR="00166574" w:rsidRDefault="00893DA0">
      <w:pPr>
        <w:spacing w:after="100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деталізований розрахунок витрат у розрізі напрямів, календарний план робіт та заходів;</w:t>
      </w:r>
    </w:p>
    <w:p w:rsidR="00166574" w:rsidRDefault="00893DA0">
      <w:pPr>
        <w:spacing w:after="100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інформація про пошкоджене та знищене майно, внесена до Державного реєстру майна, пошкодженого та знищеного внаслідок бойових дій, терорист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ичних актів, диверсій, спричинених збройною агресією Російської Федерації проти України, відповідно до Порядку подання інформаційного повідомлення про пошкоджене та знищене нерухоме майно внаслідок бойових дій, терористичних актів, диверсій, спричинених 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ройною агресією Російської Федерації проти України, затвердженого постановою Кабінету Міністрів України від 26 березня 2022 р. № 380 “Про збір, обробку та облік інформації про пошкоджене та знищене нерухоме майно внаслідок бойових дій, терористичних актів,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диверсій, спричинених збройною агресією Російської Федерації проти України” (Офіційний вісник України, 2022 р., № 28, ст. 1539; 2023 р., № 61, ст. 3437).</w:t>
      </w:r>
    </w:p>
    <w:p w:rsidR="00166574" w:rsidRDefault="00893DA0">
      <w:pPr>
        <w:spacing w:after="100"/>
        <w:ind w:firstLine="4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Заявник має право подавати інші документи, які на його розсуд можуть бути необхідні для прийняття ріш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ення щодо розподілу коштів.</w:t>
      </w:r>
    </w:p>
    <w:p w:rsidR="00166574" w:rsidRDefault="00893DA0">
      <w:pPr>
        <w:spacing w:after="100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подання в повному обсязі та/або подання документів (або інформації), що не відповідає встановленим вимогам, є підставою для відмови в прийнятті рішення про розподіл та перерахування коштів.</w:t>
      </w:r>
    </w:p>
    <w:p w:rsidR="00166574" w:rsidRDefault="00166574">
      <w:pPr>
        <w:spacing w:after="10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574" w:rsidRDefault="00166574">
      <w:pPr>
        <w:spacing w:after="100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99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85"/>
        <w:gridCol w:w="4560"/>
      </w:tblGrid>
      <w:tr w:rsidR="00166574">
        <w:trPr>
          <w:trHeight w:val="854"/>
        </w:trPr>
        <w:tc>
          <w:tcPr>
            <w:tcW w:w="5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74" w:rsidRDefault="00893DA0">
            <w:pPr>
              <w:spacing w:after="100"/>
              <w:ind w:right="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Генеральний директор директорату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міжнародної співпраці</w:t>
            </w:r>
          </w:p>
        </w:tc>
        <w:tc>
          <w:tcPr>
            <w:tcW w:w="4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574" w:rsidRDefault="00166574">
            <w:pPr>
              <w:rPr>
                <w:rFonts w:ascii="Times New Roman" w:eastAsia="Times New Roman" w:hAnsi="Times New Roman" w:cs="Times New Roman"/>
              </w:rPr>
            </w:pPr>
          </w:p>
          <w:p w:rsidR="00166574" w:rsidRDefault="00893DA0">
            <w:pPr>
              <w:spacing w:after="100"/>
              <w:ind w:right="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Альбіна ЦЯТКОВСЬКА</w:t>
            </w:r>
          </w:p>
        </w:tc>
      </w:tr>
    </w:tbl>
    <w:p w:rsidR="00166574" w:rsidRDefault="00166574">
      <w:bookmarkStart w:id="1" w:name="_GoBack"/>
      <w:bookmarkEnd w:id="1"/>
    </w:p>
    <w:sectPr w:rsidR="00166574">
      <w:footerReference w:type="default" r:id="rId7"/>
      <w:pgSz w:w="11906" w:h="16838"/>
      <w:pgMar w:top="1440" w:right="685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DA0" w:rsidRDefault="00893DA0">
      <w:r>
        <w:separator/>
      </w:r>
    </w:p>
  </w:endnote>
  <w:endnote w:type="continuationSeparator" w:id="0">
    <w:p w:rsidR="00893DA0" w:rsidRDefault="0089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74" w:rsidRDefault="001665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DA0" w:rsidRDefault="00893DA0">
      <w:r>
        <w:separator/>
      </w:r>
    </w:p>
  </w:footnote>
  <w:footnote w:type="continuationSeparator" w:id="0">
    <w:p w:rsidR="00893DA0" w:rsidRDefault="00893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74"/>
    <w:rsid w:val="000D6C4E"/>
    <w:rsid w:val="00166574"/>
    <w:rsid w:val="0089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3F92"/>
  <w15:docId w15:val="{B8D522FA-EDEC-4C7B-B686-1380F578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56C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456C57"/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8">
    <w:name w:val="Table Grid"/>
    <w:basedOn w:val="a1"/>
    <w:uiPriority w:val="39"/>
    <w:rsid w:val="003E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6liChQUxkoqGhT7w0XesOVo+ig==">CgMxLjAyCGguZ2pkZ3hzOAByITFja2NWUkNnRUdXYlVwLTgtcXE0ZnFOZEhrdzBFTGMyTg==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2396</Words>
  <Characters>1367</Characters>
  <Application>Microsoft Office Word</Application>
  <DocSecurity>0</DocSecurity>
  <Lines>11</Lines>
  <Paragraphs>7</Paragraphs>
  <ScaleCrop>false</ScaleCrop>
  <Company>SPecialiST RePack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Альбіна Цятковська</dc:creator>
  <cp:lastModifiedBy>Волик Іван Анатолійович</cp:lastModifiedBy>
  <cp:revision>2</cp:revision>
  <dcterms:created xsi:type="dcterms:W3CDTF">2023-08-16T08:35:00Z</dcterms:created>
  <dcterms:modified xsi:type="dcterms:W3CDTF">2024-05-28T09:32:00Z</dcterms:modified>
</cp:coreProperties>
</file>