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12" w:rsidRDefault="006422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АНАЛІЗ РЕГУЛЯТОРНОГО ВПЛИВУ</w:t>
      </w:r>
    </w:p>
    <w:p w:rsidR="001B1712" w:rsidRDefault="006422F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проєкту наказу Міністерства освіти і науки України </w:t>
      </w:r>
    </w:p>
    <w:p w:rsidR="001B1712" w:rsidRDefault="006422F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«Про затвердження Порядку переведення, переривання навчання, відрахування та поновлення здобувачів професійної освіти, надання їм академічної відпустки»</w:t>
      </w:r>
    </w:p>
    <w:p w:rsidR="001B1712" w:rsidRDefault="001B171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1712" w:rsidRDefault="006422F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І. Визначення проблеми</w:t>
      </w:r>
    </w:p>
    <w:p w:rsidR="001B1712" w:rsidRDefault="006422F9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вересня 2025 року набрав чинності Закон України «Про професійну освіту» від 21 серпня 2025 року № 4574-IX (далі – Закон № 4574-IX). Частиною сьомою статті 10 Закону № 4574-IX передбачено, що переведення, переривання навчання, відр</w:t>
      </w:r>
      <w:r>
        <w:rPr>
          <w:rFonts w:ascii="Times New Roman" w:eastAsia="Times New Roman" w:hAnsi="Times New Roman" w:cs="Times New Roman"/>
          <w:sz w:val="28"/>
          <w:szCs w:val="28"/>
        </w:rPr>
        <w:t>ахування та поновлення здобувачів професійної освіти, надання їм академічної відпустки здійснюються в порядку, що затверджується центральним органом виконавчої влади у сфері освіти і науки.</w:t>
      </w:r>
    </w:p>
    <w:p w:rsidR="001B1712" w:rsidRDefault="006422F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Проблема, що потребує вирішення, полягає у відсутності нормативног</w:t>
      </w:r>
      <w:r>
        <w:rPr>
          <w:rFonts w:ascii="Times New Roman" w:eastAsia="Times New Roman" w:hAnsi="Times New Roman" w:cs="Times New Roman"/>
          <w:sz w:val="28"/>
          <w:szCs w:val="28"/>
        </w:rPr>
        <w:t>о забезпечення порядку переведення, переривання навчання, відрахування та поновлення здобувачів професійної освіти, надання їм академічної відпустки</w:t>
      </w:r>
      <w:r>
        <w:rPr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Метою прийняття проєкту наказу є виконання положень Закону № 4574-IX, забезпечення сталого доступу до проф</w:t>
      </w:r>
      <w:r>
        <w:rPr>
          <w:rFonts w:ascii="Times New Roman" w:eastAsia="Times New Roman" w:hAnsi="Times New Roman" w:cs="Times New Roman"/>
          <w:sz w:val="28"/>
          <w:szCs w:val="28"/>
        </w:rPr>
        <w:t>есійної освіти, створення правових умов для гнучкої побудови індивідуальної освітньої траєкторії та встановлення єдиних вимог до адміністрування руху здобувачів у закладах професійної освіти.</w:t>
      </w:r>
    </w:p>
    <w:p w:rsidR="001B1712" w:rsidRDefault="006422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Окрім цього, прийняття проєкту акта сприятиме удосконаленню осві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тнього процесу, урізноманітненню освітньої траєкторії здобувачів професійної освіти, покращенню якості надання освітніх послуг та підготовки спеціалістів відповідно до вимог ринку праці шляхом унормування здійснення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переведення, переривання навчання, відра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хування та поновлення здобувачів професійної освіти, надання їм академічної відпустки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Очікується, що заклади професійної освіти стануть більш привабливими для здобувачів професійної освіти. </w:t>
      </w:r>
    </w:p>
    <w:p w:rsidR="001B1712" w:rsidRDefault="006422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Відсутність чітко регламентованих правил створення індивідуальної траєкторії та надання академічних відпусток створює ризики суб’єктивізму при прийнятті управлінських рішень на рівні закладів професійної освіти, що може призводити до втрати контингенту здо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бувачів та неефективного використання бюджетних коштів. Унормування цих процесів дозволить забезпечити прозорість відповідних процедур.</w:t>
      </w:r>
    </w:p>
    <w:p w:rsidR="001B1712" w:rsidRDefault="006422F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даних ЄДЕБО станом на березень 2026 року в Україні функціонує 1491 заклади професійної освіти (</w:t>
      </w:r>
      <w:hyperlink r:id="rId7">
        <w:r>
          <w:rPr>
            <w:rFonts w:ascii="Times New Roman" w:eastAsia="Times New Roman" w:hAnsi="Times New Roman" w:cs="Times New Roman"/>
            <w:color w:val="467886"/>
            <w:sz w:val="28"/>
            <w:szCs w:val="28"/>
            <w:u w:val="single"/>
          </w:rPr>
          <w:t>https://registry.edbo.gov.ua/opendata/universities/</w:t>
        </w:r>
      </w:hyperlink>
      <w: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 а саме:</w:t>
      </w:r>
    </w:p>
    <w:tbl>
      <w:tblPr>
        <w:tblStyle w:val="af2"/>
        <w:tblW w:w="856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133"/>
        <w:gridCol w:w="4181"/>
        <w:gridCol w:w="250"/>
      </w:tblGrid>
      <w:tr w:rsidR="001B1712">
        <w:trPr>
          <w:gridAfter w:val="1"/>
          <w:wAfter w:w="236" w:type="dxa"/>
          <w:trHeight w:val="533"/>
        </w:trPr>
        <w:tc>
          <w:tcPr>
            <w:tcW w:w="4140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Регіон</w:t>
            </w:r>
          </w:p>
        </w:tc>
        <w:tc>
          <w:tcPr>
            <w:tcW w:w="4188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Кількість закладів освіти</w:t>
            </w:r>
          </w:p>
        </w:tc>
      </w:tr>
      <w:tr w:rsidR="001B1712">
        <w:trPr>
          <w:trHeight w:val="288"/>
        </w:trPr>
        <w:tc>
          <w:tcPr>
            <w:tcW w:w="4140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1B1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1B1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1B1712" w:rsidRDefault="001B171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712">
        <w:trPr>
          <w:trHeight w:val="58"/>
        </w:trPr>
        <w:tc>
          <w:tcPr>
            <w:tcW w:w="4140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1B1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1B1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1B1712" w:rsidRDefault="001B171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712">
        <w:trPr>
          <w:trHeight w:val="300"/>
        </w:trPr>
        <w:tc>
          <w:tcPr>
            <w:tcW w:w="41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Вінницька область</w:t>
            </w:r>
          </w:p>
        </w:tc>
        <w:tc>
          <w:tcPr>
            <w:tcW w:w="41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1B171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712">
        <w:trPr>
          <w:trHeight w:val="300"/>
        </w:trPr>
        <w:tc>
          <w:tcPr>
            <w:tcW w:w="41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Волинська область</w:t>
            </w:r>
          </w:p>
        </w:tc>
        <w:tc>
          <w:tcPr>
            <w:tcW w:w="41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3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1B171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712">
        <w:trPr>
          <w:trHeight w:val="300"/>
        </w:trPr>
        <w:tc>
          <w:tcPr>
            <w:tcW w:w="41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Дніпропетровська область</w:t>
            </w:r>
          </w:p>
        </w:tc>
        <w:tc>
          <w:tcPr>
            <w:tcW w:w="41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23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1B171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712">
        <w:trPr>
          <w:trHeight w:val="300"/>
        </w:trPr>
        <w:tc>
          <w:tcPr>
            <w:tcW w:w="41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Донецька область</w:t>
            </w:r>
          </w:p>
        </w:tc>
        <w:tc>
          <w:tcPr>
            <w:tcW w:w="41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1B171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712">
        <w:trPr>
          <w:trHeight w:val="300"/>
        </w:trPr>
        <w:tc>
          <w:tcPr>
            <w:tcW w:w="41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Житомирська область</w:t>
            </w:r>
          </w:p>
        </w:tc>
        <w:tc>
          <w:tcPr>
            <w:tcW w:w="41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1B171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712">
        <w:trPr>
          <w:trHeight w:val="300"/>
        </w:trPr>
        <w:tc>
          <w:tcPr>
            <w:tcW w:w="41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Закарпатська область</w:t>
            </w:r>
          </w:p>
        </w:tc>
        <w:tc>
          <w:tcPr>
            <w:tcW w:w="41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1B171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712">
        <w:trPr>
          <w:trHeight w:val="300"/>
        </w:trPr>
        <w:tc>
          <w:tcPr>
            <w:tcW w:w="41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Запорізька область</w:t>
            </w:r>
          </w:p>
        </w:tc>
        <w:tc>
          <w:tcPr>
            <w:tcW w:w="41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3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1B171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712">
        <w:trPr>
          <w:trHeight w:val="300"/>
        </w:trPr>
        <w:tc>
          <w:tcPr>
            <w:tcW w:w="41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Івано-Франківська область</w:t>
            </w:r>
          </w:p>
        </w:tc>
        <w:tc>
          <w:tcPr>
            <w:tcW w:w="41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3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1B171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712">
        <w:trPr>
          <w:trHeight w:val="300"/>
        </w:trPr>
        <w:tc>
          <w:tcPr>
            <w:tcW w:w="41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Київська область</w:t>
            </w:r>
          </w:p>
        </w:tc>
        <w:tc>
          <w:tcPr>
            <w:tcW w:w="41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3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1B171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712">
        <w:trPr>
          <w:trHeight w:val="300"/>
        </w:trPr>
        <w:tc>
          <w:tcPr>
            <w:tcW w:w="41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Кіровоградська область</w:t>
            </w:r>
          </w:p>
        </w:tc>
        <w:tc>
          <w:tcPr>
            <w:tcW w:w="41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3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1B171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712">
        <w:trPr>
          <w:trHeight w:val="300"/>
        </w:trPr>
        <w:tc>
          <w:tcPr>
            <w:tcW w:w="41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Луганська область</w:t>
            </w:r>
          </w:p>
        </w:tc>
        <w:tc>
          <w:tcPr>
            <w:tcW w:w="41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1B171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712">
        <w:trPr>
          <w:trHeight w:val="300"/>
        </w:trPr>
        <w:tc>
          <w:tcPr>
            <w:tcW w:w="41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Львівська область</w:t>
            </w:r>
          </w:p>
        </w:tc>
        <w:tc>
          <w:tcPr>
            <w:tcW w:w="41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1B171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712">
        <w:trPr>
          <w:trHeight w:val="300"/>
        </w:trPr>
        <w:tc>
          <w:tcPr>
            <w:tcW w:w="41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 Київ</w:t>
            </w:r>
          </w:p>
        </w:tc>
        <w:tc>
          <w:tcPr>
            <w:tcW w:w="41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3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1B171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712">
        <w:trPr>
          <w:trHeight w:val="300"/>
        </w:trPr>
        <w:tc>
          <w:tcPr>
            <w:tcW w:w="41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Миколаївська область</w:t>
            </w:r>
          </w:p>
        </w:tc>
        <w:tc>
          <w:tcPr>
            <w:tcW w:w="41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3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1B171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712">
        <w:trPr>
          <w:trHeight w:val="300"/>
        </w:trPr>
        <w:tc>
          <w:tcPr>
            <w:tcW w:w="41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Одеська область</w:t>
            </w:r>
          </w:p>
        </w:tc>
        <w:tc>
          <w:tcPr>
            <w:tcW w:w="41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1B171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712">
        <w:trPr>
          <w:trHeight w:val="300"/>
        </w:trPr>
        <w:tc>
          <w:tcPr>
            <w:tcW w:w="41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Полтавська область</w:t>
            </w:r>
          </w:p>
        </w:tc>
        <w:tc>
          <w:tcPr>
            <w:tcW w:w="41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3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1B171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712">
        <w:trPr>
          <w:trHeight w:val="300"/>
        </w:trPr>
        <w:tc>
          <w:tcPr>
            <w:tcW w:w="41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Рівненська область</w:t>
            </w:r>
          </w:p>
        </w:tc>
        <w:tc>
          <w:tcPr>
            <w:tcW w:w="41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3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1B171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712">
        <w:trPr>
          <w:trHeight w:val="300"/>
        </w:trPr>
        <w:tc>
          <w:tcPr>
            <w:tcW w:w="41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Сумська область</w:t>
            </w:r>
          </w:p>
        </w:tc>
        <w:tc>
          <w:tcPr>
            <w:tcW w:w="41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3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1B171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712">
        <w:trPr>
          <w:trHeight w:val="300"/>
        </w:trPr>
        <w:tc>
          <w:tcPr>
            <w:tcW w:w="41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Тернопільська область</w:t>
            </w:r>
          </w:p>
        </w:tc>
        <w:tc>
          <w:tcPr>
            <w:tcW w:w="41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3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1B171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712">
        <w:trPr>
          <w:trHeight w:val="300"/>
        </w:trPr>
        <w:tc>
          <w:tcPr>
            <w:tcW w:w="41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Харківська область</w:t>
            </w:r>
          </w:p>
        </w:tc>
        <w:tc>
          <w:tcPr>
            <w:tcW w:w="41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3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1B171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712">
        <w:trPr>
          <w:trHeight w:val="300"/>
        </w:trPr>
        <w:tc>
          <w:tcPr>
            <w:tcW w:w="41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Херсонська область</w:t>
            </w:r>
          </w:p>
        </w:tc>
        <w:tc>
          <w:tcPr>
            <w:tcW w:w="41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3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1B171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712">
        <w:trPr>
          <w:trHeight w:val="300"/>
        </w:trPr>
        <w:tc>
          <w:tcPr>
            <w:tcW w:w="41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Хмельницька область</w:t>
            </w:r>
          </w:p>
        </w:tc>
        <w:tc>
          <w:tcPr>
            <w:tcW w:w="41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1B171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712">
        <w:trPr>
          <w:trHeight w:val="300"/>
        </w:trPr>
        <w:tc>
          <w:tcPr>
            <w:tcW w:w="41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Черкаська область</w:t>
            </w:r>
          </w:p>
        </w:tc>
        <w:tc>
          <w:tcPr>
            <w:tcW w:w="41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3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1B171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712">
        <w:trPr>
          <w:trHeight w:val="300"/>
        </w:trPr>
        <w:tc>
          <w:tcPr>
            <w:tcW w:w="41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Чернівецька область</w:t>
            </w:r>
          </w:p>
        </w:tc>
        <w:tc>
          <w:tcPr>
            <w:tcW w:w="41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1B171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712">
        <w:trPr>
          <w:trHeight w:val="300"/>
        </w:trPr>
        <w:tc>
          <w:tcPr>
            <w:tcW w:w="41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Чернігівська область</w:t>
            </w:r>
          </w:p>
        </w:tc>
        <w:tc>
          <w:tcPr>
            <w:tcW w:w="41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1B171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1712">
        <w:trPr>
          <w:trHeight w:val="300"/>
        </w:trPr>
        <w:tc>
          <w:tcPr>
            <w:tcW w:w="41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Всього:</w:t>
            </w:r>
          </w:p>
        </w:tc>
        <w:tc>
          <w:tcPr>
            <w:tcW w:w="4188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1491</w:t>
            </w:r>
          </w:p>
        </w:tc>
        <w:tc>
          <w:tcPr>
            <w:tcW w:w="23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B1712" w:rsidRDefault="001B1712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B1712" w:rsidRDefault="001B171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712" w:rsidRDefault="006422F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Основні групи (підгрупи), на які проблема справляє вплив</w:t>
      </w:r>
    </w:p>
    <w:tbl>
      <w:tblPr>
        <w:tblStyle w:val="af3"/>
        <w:tblW w:w="905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469"/>
        <w:gridCol w:w="1364"/>
        <w:gridCol w:w="1219"/>
      </w:tblGrid>
      <w:tr w:rsidR="001B1712"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Групи (підгрупи)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Ні</w:t>
            </w:r>
          </w:p>
        </w:tc>
      </w:tr>
      <w:tr w:rsidR="001B1712">
        <w:trPr>
          <w:trHeight w:val="258"/>
        </w:trPr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Громадяни (здобувачі освіти)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1B1712">
        <w:trPr>
          <w:trHeight w:val="223"/>
        </w:trPr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1B1712"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Суб’єкти господарювання,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1B1712"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тому числі суб’єкти малого підприємництва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1712" w:rsidRDefault="006422F9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:rsidR="001B1712" w:rsidRDefault="001B1712">
      <w:pPr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:rsidR="001B1712" w:rsidRDefault="006422F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Проблема не може бути розв’язана за допомогою ринкових механізмів, </w:t>
      </w:r>
      <w:r>
        <w:rPr>
          <w:rFonts w:ascii="Times New Roman" w:eastAsia="Times New Roman" w:hAnsi="Times New Roman" w:cs="Times New Roman"/>
          <w:sz w:val="28"/>
          <w:szCs w:val="28"/>
        </w:rPr>
        <w:t>оскільки такі механізми відсутні; вирішення проблеми можливе лише шляхом державного регулювання.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Вимоги щодо порядку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переведення, перериван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 навчання, відрахування та поновлення здобувачів професійної освіти, надання їм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академічної відпустки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повинні бути узгодженими та уніфікованими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відповідно до </w:t>
      </w:r>
      <w:r>
        <w:rPr>
          <w:rFonts w:ascii="Times New Roman" w:eastAsia="Times New Roman" w:hAnsi="Times New Roman" w:cs="Times New Roman"/>
          <w:sz w:val="28"/>
          <w:szCs w:val="28"/>
        </w:rPr>
        <w:t>Закону № 4574-IX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B1712" w:rsidRDefault="006422F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Проблема не може бути розв’язана за допомогою чинних законодавчих актів, оскіл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ьки сьогодні немає нормативного акта, який би визначав порядок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переведення, переривання навчання, відрахування та поновлення здобувачів професійної освіти, надання їм академічної відпустки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 У сфері професійної освіти жоден чинний нормативно-правовий докуме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нт не регулює зазначене питання. </w:t>
      </w:r>
    </w:p>
    <w:p w:rsidR="001B1712" w:rsidRDefault="001B171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B1712" w:rsidRDefault="001B171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B1712" w:rsidRDefault="006422F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ІІ. Цілі державного регулювання</w:t>
      </w:r>
    </w:p>
    <w:p w:rsidR="001B1712" w:rsidRDefault="006422F9">
      <w:pPr>
        <w:tabs>
          <w:tab w:val="left" w:pos="567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Проєкт акта розроблено з метою забезпечення організації та ефективного провадження освітнього процесу в закладах професійної освіти відповідно до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частини сьомої статті 10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Закону </w:t>
      </w:r>
      <w:r>
        <w:rPr>
          <w:rFonts w:ascii="Times New Roman" w:eastAsia="Times New Roman" w:hAnsi="Times New Roman" w:cs="Times New Roman"/>
          <w:sz w:val="28"/>
          <w:szCs w:val="28"/>
        </w:rPr>
        <w:t>№ 4574-IX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встановлення єдиних підходів і вимог до здійснення </w:t>
      </w:r>
      <w:r>
        <w:rPr>
          <w:rFonts w:ascii="Times New Roman" w:eastAsia="Times New Roman" w:hAnsi="Times New Roman" w:cs="Times New Roman"/>
          <w:sz w:val="28"/>
          <w:szCs w:val="28"/>
        </w:rPr>
        <w:t>переведення, переривання навчання, відрахування та поновлення здобувачів професійної освіти, надання їм академічної відпустки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</w:p>
    <w:p w:rsidR="001B1712" w:rsidRDefault="006422F9">
      <w:pPr>
        <w:tabs>
          <w:tab w:val="left" w:pos="567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Цілями регулювання є:</w:t>
      </w:r>
    </w:p>
    <w:p w:rsidR="001B1712" w:rsidRDefault="006422F9">
      <w:pPr>
        <w:tabs>
          <w:tab w:val="left" w:pos="567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забезпечення сталого доступу до професійної освіти;</w:t>
      </w:r>
    </w:p>
    <w:p w:rsidR="001B1712" w:rsidRDefault="006422F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становлення єдиних вимог до адміністрування руху здобувачів у закладах професійної освіти;</w:t>
      </w:r>
    </w:p>
    <w:p w:rsidR="001B1712" w:rsidRDefault="006422F9">
      <w:pPr>
        <w:tabs>
          <w:tab w:val="left" w:pos="567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удосконалення освітнього процесу підготовки здобувачів професійної освіти;</w:t>
      </w:r>
    </w:p>
    <w:p w:rsidR="001B1712" w:rsidRDefault="006422F9">
      <w:pPr>
        <w:tabs>
          <w:tab w:val="left" w:pos="567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покращення якості надання освітніх послуг;</w:t>
      </w:r>
    </w:p>
    <w:p w:rsidR="001B1712" w:rsidRDefault="006422F9">
      <w:pPr>
        <w:tabs>
          <w:tab w:val="left" w:pos="567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забезпечення мобільності здобувачів;</w:t>
      </w:r>
    </w:p>
    <w:p w:rsidR="001B1712" w:rsidRDefault="006422F9">
      <w:pPr>
        <w:tabs>
          <w:tab w:val="left" w:pos="567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покращення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формування індивідуальної траєкторії здобувачів професійної освіти;</w:t>
      </w:r>
    </w:p>
    <w:p w:rsidR="001B1712" w:rsidRDefault="006422F9">
      <w:pPr>
        <w:tabs>
          <w:tab w:val="left" w:pos="567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зростання привабливості закладів професійної освіти для здобувачів освіти.</w:t>
      </w:r>
    </w:p>
    <w:p w:rsidR="001B1712" w:rsidRDefault="001B1712">
      <w:pPr>
        <w:tabs>
          <w:tab w:val="left" w:pos="567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B1712" w:rsidRDefault="001B171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712" w:rsidRDefault="006422F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III. Визначення та оцінка альтернативних способів досягнення цілей</w:t>
      </w:r>
    </w:p>
    <w:p w:rsidR="001B1712" w:rsidRDefault="006422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>1. Визначення альтернативних способів</w:t>
      </w:r>
    </w:p>
    <w:tbl>
      <w:tblPr>
        <w:tblStyle w:val="af4"/>
        <w:tblW w:w="96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716"/>
      </w:tblGrid>
      <w:tr w:rsidR="001B1712"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альтернативи</w:t>
            </w:r>
          </w:p>
        </w:tc>
        <w:tc>
          <w:tcPr>
            <w:tcW w:w="771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 альтернативи</w:t>
            </w:r>
          </w:p>
        </w:tc>
      </w:tr>
      <w:tr w:rsidR="001B1712"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Альтернатива 1 Наявна ситуація залишається без змін</w:t>
            </w:r>
          </w:p>
        </w:tc>
        <w:tc>
          <w:tcPr>
            <w:tcW w:w="771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Неприйняття відповідного нормативно-правового акта: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невиконання прямої норми Закону № 4574-IX;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забезпечує досягнення визначених цілей;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сприятиме мотивації здобувачів професійної освіти;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погіршить якість надання освітніх послуг;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сприятиме удосконаленню організації освітнього процесу.</w:t>
            </w:r>
          </w:p>
        </w:tc>
      </w:tr>
      <w:tr w:rsidR="001B1712"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Альтернатива 2 Прийняття запропонованого проєкту акта</w:t>
            </w:r>
          </w:p>
        </w:tc>
        <w:tc>
          <w:tcPr>
            <w:tcW w:w="771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Запроваджуються єдині, чіткі, прості та зрозум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ілі вимоги щодо порядку переведення, переривання навчання, відрахування та поновлення здобувачів професійної освіти, надання їм академічної відпустки.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Створюються сприятливі умови мобільності здобувачів професійної освіти.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Зростає якість надання освітніх послуг.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Створюються сприятливі умови для формування індивідуальної траєкторії здобувачів професійної освіти.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Випускники закладів професійної освіти конкурентоспроможні.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Зростає репутація закладів професійної освіти серед май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бутніх здобувачів.</w:t>
            </w:r>
          </w:p>
        </w:tc>
      </w:tr>
    </w:tbl>
    <w:p w:rsidR="001B1712" w:rsidRDefault="001B17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B1712" w:rsidRDefault="006422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>2. Оцінка вибраних альтернативних способів досягнення цілей</w:t>
      </w:r>
    </w:p>
    <w:p w:rsidR="001B1712" w:rsidRDefault="006422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highlight w:val="whit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highlight w:val="white"/>
        </w:rPr>
        <w:t>Оцінка впливу на сферу інтересів держави</w:t>
      </w:r>
    </w:p>
    <w:tbl>
      <w:tblPr>
        <w:tblStyle w:val="af5"/>
        <w:tblW w:w="96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4314"/>
        <w:gridCol w:w="3402"/>
      </w:tblGrid>
      <w:tr w:rsidR="001B1712"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альтернативи</w:t>
            </w:r>
          </w:p>
        </w:tc>
        <w:tc>
          <w:tcPr>
            <w:tcW w:w="4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Вигоди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Витрати</w:t>
            </w:r>
          </w:p>
        </w:tc>
      </w:tr>
      <w:tr w:rsidR="001B1712"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Альтернатива 1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Наявна ситуація залишається без змін</w:t>
            </w:r>
          </w:p>
        </w:tc>
        <w:tc>
          <w:tcPr>
            <w:tcW w:w="4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1712" w:rsidRDefault="006422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Відсутні.</w:t>
            </w:r>
          </w:p>
          <w:p w:rsidR="001B1712" w:rsidRDefault="006422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Відсутність єдиних підходів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переведення, переривання навчання, відрахування та поновлення здобувачів професійної освіти, надання їм академічної відпустки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створює загрози:</w:t>
            </w:r>
          </w:p>
          <w:p w:rsidR="001B1712" w:rsidRDefault="006422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низької ефективності діяльності закладів професійної освіти;</w:t>
            </w:r>
          </w:p>
          <w:p w:rsidR="001B1712" w:rsidRDefault="006422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низької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якості освітньої підготовки здобувачів профе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сійної освіти;</w:t>
            </w:r>
          </w:p>
          <w:p w:rsidR="001B1712" w:rsidRDefault="006422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 мобільності здобувачів професійної освіти;</w:t>
            </w:r>
          </w:p>
          <w:p w:rsidR="001B1712" w:rsidRDefault="006422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 можливості формування індивідуальної освітньої траєкторії.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Збереження наявної ситуації призведе до: </w:t>
            </w:r>
          </w:p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невиконання відповідної норми Закону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4574-IX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відсутність підстав для формування індивідуальної освітньої траєкторії здобувачів та забезпечення їх академічної мобільності.</w:t>
            </w:r>
          </w:p>
        </w:tc>
      </w:tr>
      <w:tr w:rsidR="001B1712">
        <w:trPr>
          <w:trHeight w:val="1479"/>
        </w:trPr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Альтернатива 2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Прийняття запропонованого проєкту акта</w:t>
            </w:r>
          </w:p>
        </w:tc>
        <w:tc>
          <w:tcPr>
            <w:tcW w:w="43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1712" w:rsidRDefault="006422F9">
            <w:pPr>
              <w:tabs>
                <w:tab w:val="left" w:pos="709"/>
                <w:tab w:val="left" w:pos="851"/>
                <w:tab w:val="left" w:pos="366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Прийняття проєкту сприятиме: 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851"/>
                <w:tab w:val="left" w:pos="366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ефективному використанню коштів на підготовку спеціалістів у сфері професійної освіти;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851"/>
                <w:tab w:val="left" w:pos="366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зростанню якості освітніх послуг закладів професійної освіти;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851"/>
                <w:tab w:val="left" w:pos="366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виконанню вимоги норми Закону № 4574-IX.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Відсутні.</w:t>
            </w:r>
          </w:p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Прийняття та реалізація регуляторного акта не потребує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одаткових видатків з державного та/або місцевих бюджетів.</w:t>
            </w:r>
          </w:p>
          <w:p w:rsidR="001B1712" w:rsidRDefault="001B171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B1712" w:rsidRDefault="001B1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white"/>
        </w:rPr>
      </w:pPr>
    </w:p>
    <w:p w:rsidR="001B1712" w:rsidRDefault="006422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highlight w:val="whit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highlight w:val="white"/>
        </w:rPr>
        <w:t>Оцінка впливу на сферу інтересів громадян</w:t>
      </w:r>
    </w:p>
    <w:tbl>
      <w:tblPr>
        <w:tblStyle w:val="af6"/>
        <w:tblW w:w="96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4031"/>
        <w:gridCol w:w="3685"/>
      </w:tblGrid>
      <w:tr w:rsidR="001B1712"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альтернативи</w:t>
            </w:r>
          </w:p>
        </w:tc>
        <w:tc>
          <w:tcPr>
            <w:tcW w:w="4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Вигоди</w:t>
            </w: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Витрати</w:t>
            </w:r>
          </w:p>
        </w:tc>
      </w:tr>
      <w:tr w:rsidR="001B1712"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Альтернатива 1 Наявна ситуація залишається без змін</w:t>
            </w:r>
          </w:p>
        </w:tc>
        <w:tc>
          <w:tcPr>
            <w:tcW w:w="4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Відсутні.</w:t>
            </w:r>
          </w:p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Неможливість отримання здобувачами професійної освіти якісних освітніх послуг.</w:t>
            </w:r>
          </w:p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Неможливість забезпечення мобільності здобувачів професійної освіти.</w:t>
            </w:r>
          </w:p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Неможливість забезпечення умов для об’єктивного оцінювання досягнень здобувачів професійної освіти.</w:t>
            </w:r>
          </w:p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Погіршен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 позиціювання випускників на ринку праці.</w:t>
            </w: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Витрати, пов’язані із необхідністю додаткових витрат на виконання освітніх програм через низьку мотивацію здобувачів за відсутності єдиних підходів до переведення, переривання навчання, відрахування та поновлення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здобувачів професійної освіти, надання їм академічної відпустки, а також витрати, пов’язані з гіршими умовами оплати праці. зумовленими зниженням якості наданих освітніх послуг.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Незатребуваність на ринку праці.</w:t>
            </w:r>
          </w:p>
          <w:p w:rsidR="001B1712" w:rsidRDefault="001B1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1712">
        <w:tc>
          <w:tcPr>
            <w:tcW w:w="198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Альтернатива 2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Прийняття запропонованого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роєкту акта</w:t>
            </w:r>
          </w:p>
        </w:tc>
        <w:tc>
          <w:tcPr>
            <w:tcW w:w="403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 здобувачів професійної освіти здійснюється відповідно до вимог законодавства та ринку праці.</w:t>
            </w:r>
          </w:p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Створюються можливості формування індивідуальної освітньої траєкторії та мобільності здобувачів.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851"/>
                <w:tab w:val="left" w:pos="366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Випускники закладів професійної освіти конкурентоспроможні, затребувані на ринку праці.</w:t>
            </w:r>
          </w:p>
          <w:p w:rsidR="001B1712" w:rsidRDefault="006422F9">
            <w:pPr>
              <w:tabs>
                <w:tab w:val="left" w:pos="709"/>
                <w:tab w:val="left" w:pos="851"/>
                <w:tab w:val="left" w:pos="366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Зниження корупційних ризиків.</w:t>
            </w:r>
          </w:p>
        </w:tc>
        <w:tc>
          <w:tcPr>
            <w:tcW w:w="368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Відсутні.</w:t>
            </w:r>
          </w:p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Прийняття та реалізація регуляторного акта не потребує додаткових витрат з боку здобувачів професійної освіти.</w:t>
            </w:r>
          </w:p>
          <w:p w:rsidR="001B1712" w:rsidRDefault="001B1712">
            <w:pPr>
              <w:spacing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B1712" w:rsidRDefault="001B1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</w:pPr>
    </w:p>
    <w:p w:rsidR="001B1712" w:rsidRDefault="006422F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Оцінка впливу на сферу інтересів суб’єктів господарювання</w:t>
      </w:r>
    </w:p>
    <w:p w:rsidR="001B1712" w:rsidRDefault="006422F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Дія проєкту регуляторного акта поширюватиметься на сферу інтересів суб’єктів господарювання</w:t>
      </w:r>
    </w:p>
    <w:p w:rsidR="001B1712" w:rsidRDefault="006422F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 ролі суб’єктів господарювання, на яких створює вплив проєкт акта, виступає 1491 заклад професійної освіти.</w:t>
      </w:r>
    </w:p>
    <w:tbl>
      <w:tblPr>
        <w:tblStyle w:val="af7"/>
        <w:tblW w:w="10132" w:type="dxa"/>
        <w:tblInd w:w="-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9"/>
        <w:gridCol w:w="1076"/>
        <w:gridCol w:w="1198"/>
        <w:gridCol w:w="1141"/>
        <w:gridCol w:w="1198"/>
        <w:gridCol w:w="1040"/>
      </w:tblGrid>
      <w:tr w:rsidR="001B171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12" w:rsidRDefault="006422F9">
            <w:pPr>
              <w:tabs>
                <w:tab w:val="left" w:pos="140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Показник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12" w:rsidRDefault="006422F9">
            <w:pPr>
              <w:tabs>
                <w:tab w:val="left" w:pos="140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Великі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12" w:rsidRDefault="006422F9">
            <w:pPr>
              <w:tabs>
                <w:tab w:val="left" w:pos="140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Середні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712" w:rsidRDefault="006422F9">
            <w:pPr>
              <w:tabs>
                <w:tab w:val="left" w:pos="140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Малі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712" w:rsidRDefault="006422F9">
            <w:pPr>
              <w:widowControl w:val="0"/>
              <w:tabs>
                <w:tab w:val="left" w:pos="1406"/>
              </w:tabs>
              <w:spacing w:line="240" w:lineRule="auto"/>
              <w:ind w:firstLine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Мікро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12" w:rsidRDefault="006422F9">
            <w:pPr>
              <w:tabs>
                <w:tab w:val="left" w:pos="140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Разом</w:t>
            </w:r>
          </w:p>
        </w:tc>
      </w:tr>
      <w:tr w:rsidR="001B171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12" w:rsidRDefault="006422F9">
            <w:pPr>
              <w:tabs>
                <w:tab w:val="left" w:pos="140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 суб’єктів господарювання, що підпадають під дію регулювання, одиниць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12" w:rsidRDefault="001B1712">
            <w:pPr>
              <w:tabs>
                <w:tab w:val="left" w:pos="140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12" w:rsidRDefault="001B1712">
            <w:pPr>
              <w:tabs>
                <w:tab w:val="left" w:pos="140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right w:val="single" w:sz="4" w:space="0" w:color="000000"/>
            </w:tcBorders>
          </w:tcPr>
          <w:p w:rsidR="001B1712" w:rsidRDefault="006422F9">
            <w:pPr>
              <w:widowControl w:val="0"/>
              <w:tabs>
                <w:tab w:val="left" w:pos="140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1491</w:t>
            </w:r>
          </w:p>
        </w:tc>
        <w:tc>
          <w:tcPr>
            <w:tcW w:w="1198" w:type="dxa"/>
            <w:tcBorders>
              <w:left w:val="single" w:sz="4" w:space="0" w:color="000000"/>
              <w:right w:val="single" w:sz="4" w:space="0" w:color="000000"/>
            </w:tcBorders>
          </w:tcPr>
          <w:p w:rsidR="001B1712" w:rsidRDefault="001B1712">
            <w:pPr>
              <w:widowControl w:val="0"/>
              <w:tabs>
                <w:tab w:val="left" w:pos="140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12" w:rsidRDefault="006422F9">
            <w:pPr>
              <w:tabs>
                <w:tab w:val="left" w:pos="1406"/>
              </w:tabs>
              <w:spacing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1491</w:t>
            </w:r>
          </w:p>
        </w:tc>
      </w:tr>
      <w:tr w:rsidR="001B1712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12" w:rsidRDefault="006422F9">
            <w:pPr>
              <w:tabs>
                <w:tab w:val="left" w:pos="140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Питома вага групи у загальній кількості, відсотків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12" w:rsidRDefault="001B1712">
            <w:pPr>
              <w:tabs>
                <w:tab w:val="left" w:pos="140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12" w:rsidRDefault="001B1712">
            <w:pPr>
              <w:tabs>
                <w:tab w:val="left" w:pos="140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12" w:rsidRDefault="006422F9">
            <w:pPr>
              <w:tabs>
                <w:tab w:val="left" w:pos="140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12" w:rsidRDefault="001B1712">
            <w:pPr>
              <w:tabs>
                <w:tab w:val="left" w:pos="140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712" w:rsidRDefault="006422F9">
            <w:pPr>
              <w:tabs>
                <w:tab w:val="left" w:pos="140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</w:tbl>
    <w:p w:rsidR="001B1712" w:rsidRDefault="001B171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1712" w:rsidRDefault="001B171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Style w:val="af8"/>
        <w:tblW w:w="1032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3"/>
        <w:gridCol w:w="3970"/>
        <w:gridCol w:w="3827"/>
      </w:tblGrid>
      <w:tr w:rsidR="001B1712">
        <w:tc>
          <w:tcPr>
            <w:tcW w:w="2523" w:type="dxa"/>
          </w:tcPr>
          <w:p w:rsidR="001B1712" w:rsidRDefault="006422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альтернативи</w:t>
            </w:r>
          </w:p>
        </w:tc>
        <w:tc>
          <w:tcPr>
            <w:tcW w:w="3970" w:type="dxa"/>
          </w:tcPr>
          <w:p w:rsidR="001B1712" w:rsidRDefault="006422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Вигоди</w:t>
            </w:r>
          </w:p>
          <w:p w:rsidR="001B1712" w:rsidRDefault="001B17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1B1712" w:rsidRDefault="006422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Витрати</w:t>
            </w:r>
          </w:p>
        </w:tc>
      </w:tr>
      <w:tr w:rsidR="001B1712">
        <w:tc>
          <w:tcPr>
            <w:tcW w:w="2523" w:type="dxa"/>
          </w:tcPr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Альтернатива 1</w:t>
            </w:r>
          </w:p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Наявна ситуація залишається без змін</w:t>
            </w:r>
          </w:p>
        </w:tc>
        <w:tc>
          <w:tcPr>
            <w:tcW w:w="3970" w:type="dxa"/>
          </w:tcPr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Відсутні.</w:t>
            </w:r>
          </w:p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 здобувачів професійної освіти не відповідає сучасним потребам, законодавству, вимогам ринку праці та потребам роботодавців.</w:t>
            </w:r>
          </w:p>
          <w:p w:rsidR="001B1712" w:rsidRDefault="001B1712">
            <w:pPr>
              <w:spacing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Відсутність стимулів до надання якісних освітніх послуг.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Відсутність мотивації до удосконалення освітніх програм.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Репутаційні втрати в роботодавців.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Проблеми щодо інтегрування в освітній простір Європи за відсутності унормування питання академічної мобільності.</w:t>
            </w:r>
          </w:p>
        </w:tc>
      </w:tr>
      <w:tr w:rsidR="001B1712">
        <w:tc>
          <w:tcPr>
            <w:tcW w:w="2523" w:type="dxa"/>
          </w:tcPr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Альтернатива 2</w:t>
            </w:r>
          </w:p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Прийняття запропонованого проєкту акта</w:t>
            </w:r>
          </w:p>
        </w:tc>
        <w:tc>
          <w:tcPr>
            <w:tcW w:w="3970" w:type="dxa"/>
          </w:tcPr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Запроваджуються єдині вимоги щодо переведення, переривання навчання, відрахування та поновлення здобувачів професійної освіти, надання їм академічної відпустки.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Створюються сприятливі умови для надання закладами професійної освіти якісних освітніх послуг.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Зростає якість освітніх програм та їх реалізації.</w:t>
            </w:r>
          </w:p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Заклад освіти забезпечує реалізацію індивідуальної освітньої траєкторії здобувачів та їх академічної мобільності як складової освітнього процесу.</w:t>
            </w:r>
          </w:p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Зростає популярність, авторитет, покращується репутація та 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мідж закладів професійної освіти серед майбутніх здобувачів та роботодавців.</w:t>
            </w:r>
          </w:p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Іміджеві та репутаційні переваги випускників на ринку праці, в роботодавців і в суспільстві.</w:t>
            </w:r>
          </w:p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Зниження корупційних ризиків.</w:t>
            </w:r>
          </w:p>
        </w:tc>
        <w:tc>
          <w:tcPr>
            <w:tcW w:w="3827" w:type="dxa"/>
          </w:tcPr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Відсутні.</w:t>
            </w:r>
          </w:p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Діяльність щодо надання консультацій та реаліз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ації заходів відповідно до вимог Порядку здійснюються в межах посадових обов’язків педагогічних і науково-педагогічних працівників закладів освіти.</w:t>
            </w:r>
          </w:p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Витрати, пов’язані з ознайомленням з вимогами регулювання закладів професійної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освіти орієнтовно становитиму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157 494, 33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 для усіх закладів освіти.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год × 105,63* грн/год × 1491 закладів = 157 494, 33 грн. </w:t>
            </w:r>
          </w:p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Реалізація у межах наявного ресурсного забезпечення.</w:t>
            </w:r>
          </w:p>
        </w:tc>
      </w:tr>
    </w:tbl>
    <w:p w:rsidR="001B1712" w:rsidRDefault="006422F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*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Державна служба статистики України. Середньомісячна заробітна плата за видами економічної діяльності за період з початку року (https://www.ukrstat.gov.ua/operativ/operativ2005/gdn/Zarp_ek_m/Zp_ek_m_u/arh_zpm_u.html) Кодекс законів про працю України (стаття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50).</w:t>
      </w:r>
    </w:p>
    <w:p w:rsidR="001B1712" w:rsidRDefault="001B1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</w:pPr>
    </w:p>
    <w:p w:rsidR="001B1712" w:rsidRDefault="006422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>Оцінка сумарних витрат за альтернативами</w:t>
      </w:r>
    </w:p>
    <w:tbl>
      <w:tblPr>
        <w:tblStyle w:val="af9"/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4990"/>
      </w:tblGrid>
      <w:tr w:rsidR="001B1712">
        <w:tc>
          <w:tcPr>
            <w:tcW w:w="4678" w:type="dxa"/>
          </w:tcPr>
          <w:p w:rsidR="001B1712" w:rsidRDefault="006422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Сумарні витрати за альтернативами</w:t>
            </w:r>
          </w:p>
        </w:tc>
        <w:tc>
          <w:tcPr>
            <w:tcW w:w="4990" w:type="dxa"/>
          </w:tcPr>
          <w:p w:rsidR="001B1712" w:rsidRDefault="006422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 витрат, гривень</w:t>
            </w:r>
          </w:p>
        </w:tc>
      </w:tr>
      <w:tr w:rsidR="001B1712">
        <w:tc>
          <w:tcPr>
            <w:tcW w:w="4678" w:type="dxa"/>
            <w:vAlign w:val="center"/>
          </w:tcPr>
          <w:p w:rsidR="001B1712" w:rsidRDefault="006422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Альтернатива 1</w:t>
            </w:r>
          </w:p>
          <w:p w:rsidR="001B1712" w:rsidRDefault="006422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Наявна ситуація залишається без змін</w:t>
            </w:r>
          </w:p>
        </w:tc>
        <w:tc>
          <w:tcPr>
            <w:tcW w:w="4990" w:type="dxa"/>
            <w:vAlign w:val="center"/>
          </w:tcPr>
          <w:p w:rsidR="001B1712" w:rsidRDefault="006422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B1712">
        <w:tc>
          <w:tcPr>
            <w:tcW w:w="4678" w:type="dxa"/>
            <w:vAlign w:val="center"/>
          </w:tcPr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Альтернатива 2</w:t>
            </w:r>
          </w:p>
          <w:p w:rsidR="001B1712" w:rsidRDefault="006422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Прийняття запропонованого проєкту акта</w:t>
            </w:r>
          </w:p>
        </w:tc>
        <w:tc>
          <w:tcPr>
            <w:tcW w:w="4990" w:type="dxa"/>
            <w:vAlign w:val="center"/>
          </w:tcPr>
          <w:p w:rsidR="001B1712" w:rsidRDefault="006422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157 494, 33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</w:t>
            </w:r>
          </w:p>
        </w:tc>
      </w:tr>
    </w:tbl>
    <w:p w:rsidR="001B1712" w:rsidRDefault="001B1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1712" w:rsidRDefault="001B1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B1712" w:rsidRDefault="006422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 Вибір найбільш оптимального альтернативного способу досягнення цілей</w:t>
      </w:r>
    </w:p>
    <w:p w:rsidR="001B1712" w:rsidRDefault="006422F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bookmark=id.lr1wsogsmgfa" w:colFirst="0" w:colLast="0"/>
      <w:bookmarkStart w:id="1" w:name="bookmark=id.efl1z6wnngxq" w:colFirst="0" w:colLast="0"/>
      <w:bookmarkStart w:id="2" w:name="bookmark=id.ht828tg1w1wc" w:colFirst="0" w:colLast="0"/>
      <w:bookmarkEnd w:id="0"/>
      <w:bookmarkEnd w:id="1"/>
      <w:bookmarkEnd w:id="2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Здійснити вибір оптимального альтернативного способу з урахуванням системи бальної оцінки ступеня досягнення визначених цілей.</w:t>
      </w:r>
    </w:p>
    <w:p w:rsidR="001B1712" w:rsidRDefault="006422F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Вартість балів визначається за чотирибальною системою оц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інки ступеня досягнення визначених цілей, де:</w:t>
      </w:r>
    </w:p>
    <w:p w:rsidR="001B1712" w:rsidRDefault="006422F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4 – цілі прийняття регуляторного акта, які можуть бути досягнуті повною мірою (проблема більше існувати не буде);</w:t>
      </w:r>
    </w:p>
    <w:p w:rsidR="001B1712" w:rsidRDefault="006422F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" w:name="bookmark=id.3d0z6iidmyjp" w:colFirst="0" w:colLast="0"/>
      <w:bookmarkEnd w:id="3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 – цілі прийняття регуляторного акта, які можуть бути досягнуті майже  повною мірою (усі важлив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і аспекти проблеми існувати не будуть);</w:t>
      </w:r>
    </w:p>
    <w:p w:rsidR="001B1712" w:rsidRDefault="006422F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4" w:name="bookmark=id.a0g18ehkvvtq" w:colFirst="0" w:colLast="0"/>
      <w:bookmarkEnd w:id="4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 – цілі прийняття регуляторного акта, які можуть бути досягнуті частково (проблема значно зменшиться, деякі важливі та критичні аспекти проблеми залишаться невирішеними);</w:t>
      </w:r>
    </w:p>
    <w:p w:rsidR="001B1712" w:rsidRDefault="006422F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5" w:name="bookmark=id.ix7ad0g8lylg" w:colFirst="0" w:colLast="0"/>
      <w:bookmarkEnd w:id="5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 – цілі прийняття регуляторного акта, які 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 можуть бути досягнуті (проблема продовжує існувати).</w:t>
      </w:r>
    </w:p>
    <w:p w:rsidR="001B1712" w:rsidRDefault="001B171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Style w:val="afa"/>
        <w:tblW w:w="98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3"/>
        <w:gridCol w:w="780"/>
        <w:gridCol w:w="2058"/>
        <w:gridCol w:w="283"/>
        <w:gridCol w:w="2693"/>
        <w:gridCol w:w="2246"/>
      </w:tblGrid>
      <w:tr w:rsidR="001B1712">
        <w:tc>
          <w:tcPr>
            <w:tcW w:w="2613" w:type="dxa"/>
            <w:gridSpan w:val="2"/>
          </w:tcPr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" w:name="bookmark=id.c1ywedi44r66" w:colFirst="0" w:colLast="0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Рейтинг результативності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(досягнення цілей під час вирішення проблеми)</w:t>
            </w:r>
          </w:p>
        </w:tc>
        <w:tc>
          <w:tcPr>
            <w:tcW w:w="2341" w:type="dxa"/>
            <w:gridSpan w:val="2"/>
          </w:tcPr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Бал результативності (за чотирибальною системою оцінки)</w:t>
            </w:r>
          </w:p>
        </w:tc>
        <w:tc>
          <w:tcPr>
            <w:tcW w:w="4939" w:type="dxa"/>
            <w:gridSpan w:val="2"/>
          </w:tcPr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Коментарі щодо присвоєння відповідного бала</w:t>
            </w:r>
          </w:p>
        </w:tc>
      </w:tr>
      <w:tr w:rsidR="001B1712">
        <w:tc>
          <w:tcPr>
            <w:tcW w:w="2613" w:type="dxa"/>
            <w:gridSpan w:val="2"/>
          </w:tcPr>
          <w:p w:rsidR="001B1712" w:rsidRDefault="006422F9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Альтернатива 1</w:t>
            </w:r>
          </w:p>
          <w:p w:rsidR="001B1712" w:rsidRDefault="006422F9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Існуюча ситуація залишається без змін</w:t>
            </w:r>
          </w:p>
        </w:tc>
        <w:tc>
          <w:tcPr>
            <w:tcW w:w="2341" w:type="dxa"/>
            <w:gridSpan w:val="2"/>
          </w:tcPr>
          <w:p w:rsidR="001B1712" w:rsidRDefault="006422F9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9" w:type="dxa"/>
            <w:gridSpan w:val="2"/>
          </w:tcPr>
          <w:p w:rsidR="001B1712" w:rsidRDefault="006422F9">
            <w:pPr>
              <w:spacing w:line="240" w:lineRule="auto"/>
              <w:ind w:right="1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Мінімальний бал, який зазначає неможливість досягнення цілей державного регулювання альтернативним способом.</w:t>
            </w:r>
          </w:p>
        </w:tc>
      </w:tr>
      <w:tr w:rsidR="001B1712">
        <w:tc>
          <w:tcPr>
            <w:tcW w:w="2613" w:type="dxa"/>
            <w:gridSpan w:val="2"/>
          </w:tcPr>
          <w:p w:rsidR="001B1712" w:rsidRDefault="006422F9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Альтернатива 2</w:t>
            </w:r>
          </w:p>
          <w:p w:rsidR="001B1712" w:rsidRDefault="006422F9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Прийняття запропонованого проєкту акта</w:t>
            </w:r>
          </w:p>
        </w:tc>
        <w:tc>
          <w:tcPr>
            <w:tcW w:w="2341" w:type="dxa"/>
            <w:gridSpan w:val="2"/>
          </w:tcPr>
          <w:p w:rsidR="001B1712" w:rsidRDefault="006422F9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39" w:type="dxa"/>
            <w:gridSpan w:val="2"/>
          </w:tcPr>
          <w:p w:rsidR="001B1712" w:rsidRDefault="006422F9">
            <w:pPr>
              <w:spacing w:line="240" w:lineRule="auto"/>
              <w:ind w:right="1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Максимальний бал. 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Оптимальний варіант збалансування інтересів держави, суб’єктів господарювання та здобувачів освіти. Наявність чіткого та зрозумілого порядку переведення, переривання навчання, відрахування та поновлення здобувачів професійної освіти, надання їм академічної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відпустки.</w:t>
            </w:r>
          </w:p>
        </w:tc>
      </w:tr>
      <w:tr w:rsidR="001B1712">
        <w:tc>
          <w:tcPr>
            <w:tcW w:w="1833" w:type="dxa"/>
            <w:vAlign w:val="center"/>
          </w:tcPr>
          <w:p w:rsidR="001B1712" w:rsidRDefault="006422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" w:name="bookmark=id.r2v7zhyxi5kv" w:colFirst="0" w:colLast="0"/>
            <w:bookmarkStart w:id="8" w:name="bookmark=id.10c1leryswkj" w:colFirst="0" w:colLast="0"/>
            <w:bookmarkEnd w:id="7"/>
            <w:bookmarkEnd w:id="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Рейтинг результативності</w:t>
            </w:r>
          </w:p>
        </w:tc>
        <w:tc>
          <w:tcPr>
            <w:tcW w:w="2838" w:type="dxa"/>
            <w:gridSpan w:val="2"/>
            <w:vAlign w:val="center"/>
          </w:tcPr>
          <w:p w:rsidR="001B1712" w:rsidRDefault="006422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Вигоди (підсумок)</w:t>
            </w:r>
          </w:p>
        </w:tc>
        <w:tc>
          <w:tcPr>
            <w:tcW w:w="2976" w:type="dxa"/>
            <w:gridSpan w:val="2"/>
            <w:vAlign w:val="center"/>
          </w:tcPr>
          <w:p w:rsidR="001B1712" w:rsidRDefault="006422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Витрати (підсумок)</w:t>
            </w:r>
          </w:p>
        </w:tc>
        <w:tc>
          <w:tcPr>
            <w:tcW w:w="2246" w:type="dxa"/>
            <w:vAlign w:val="center"/>
          </w:tcPr>
          <w:p w:rsidR="001B1712" w:rsidRDefault="006422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Обґрунтування відповідного місця альтернативи у рейтингу</w:t>
            </w:r>
          </w:p>
        </w:tc>
      </w:tr>
      <w:tr w:rsidR="001B1712">
        <w:tc>
          <w:tcPr>
            <w:tcW w:w="1833" w:type="dxa"/>
          </w:tcPr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Альтернатива 1</w:t>
            </w:r>
          </w:p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Наявна ситуація залишається без змін</w:t>
            </w:r>
          </w:p>
        </w:tc>
        <w:tc>
          <w:tcPr>
            <w:tcW w:w="2838" w:type="dxa"/>
            <w:gridSpan w:val="2"/>
          </w:tcPr>
          <w:p w:rsidR="001B1712" w:rsidRDefault="006422F9">
            <w:pPr>
              <w:spacing w:line="240" w:lineRule="auto"/>
              <w:ind w:right="1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Відсутні.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Відсутність єдиних підходів до переведення, переривання навчання, відрахування та поновлення здобувачів професійної освіти, надання їм академічної відпустки створює загрози:</w:t>
            </w:r>
          </w:p>
          <w:p w:rsidR="001B1712" w:rsidRDefault="006422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166"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ефективності діяльності закладів професійної освіти;</w:t>
            </w:r>
          </w:p>
          <w:p w:rsidR="001B1712" w:rsidRDefault="006422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166"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якості освітньої підготовки здобувачів;</w:t>
            </w:r>
          </w:p>
          <w:p w:rsidR="001B1712" w:rsidRDefault="006422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5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166"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можливості отримання освітніх послуг за умови формування індивідуальної освітньої траєкторії та забезпечення академічної мобільності здобувачів професійної освіти.</w:t>
            </w:r>
          </w:p>
          <w:p w:rsidR="001B1712" w:rsidRDefault="006422F9">
            <w:pPr>
              <w:spacing w:line="240" w:lineRule="auto"/>
              <w:ind w:firstLine="2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Зростання корупційних  ризиків.</w:t>
            </w:r>
          </w:p>
          <w:p w:rsidR="001B1712" w:rsidRDefault="006422F9">
            <w:pPr>
              <w:spacing w:line="240" w:lineRule="auto"/>
              <w:ind w:firstLine="2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Погіршення позиціюва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ння випускників на ринку праці.</w:t>
            </w:r>
          </w:p>
          <w:p w:rsidR="001B1712" w:rsidRDefault="001B1712">
            <w:pPr>
              <w:spacing w:line="240" w:lineRule="auto"/>
              <w:ind w:firstLine="3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Невиконання відповідної норми Закону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4574-IX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Неефективне використання коштів на підготовку спеціалістів через неякісне виконання освітніх програм, низьку мотивацію здобувачів за відсутності єдиних підходів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переведення,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ереривання навчання, відрахування та поновлення здобувачів професійної освіти, надання їм академічної відпустки.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Додаткові витрати на забезпечення академічної мобільності. 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Низька затребуваність на ринку праці.</w:t>
            </w:r>
          </w:p>
          <w:p w:rsidR="001B1712" w:rsidRDefault="001B1712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1712" w:rsidRDefault="001B1712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</w:tcPr>
          <w:p w:rsidR="001B1712" w:rsidRDefault="006422F9">
            <w:pPr>
              <w:spacing w:line="240" w:lineRule="auto"/>
              <w:ind w:right="1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разі залишення наявної ситуації проблема продовжуватиме існувати, що не забезпечить досягнення поставленої мети.</w:t>
            </w:r>
          </w:p>
          <w:p w:rsidR="001B1712" w:rsidRDefault="001B1712">
            <w:pPr>
              <w:spacing w:line="240" w:lineRule="auto"/>
              <w:ind w:right="145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1712">
        <w:tc>
          <w:tcPr>
            <w:tcW w:w="1833" w:type="dxa"/>
          </w:tcPr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Альтернатива 2</w:t>
            </w:r>
          </w:p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Прийняття запропонованого проєкту акта</w:t>
            </w:r>
          </w:p>
        </w:tc>
        <w:tc>
          <w:tcPr>
            <w:tcW w:w="2838" w:type="dxa"/>
            <w:gridSpan w:val="2"/>
          </w:tcPr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851"/>
                <w:tab w:val="left" w:pos="3665"/>
              </w:tabs>
              <w:spacing w:line="240" w:lineRule="auto"/>
              <w:ind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Ефективне використання коштів на підготовку спеціалістів у сфері професійної освіти.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851"/>
                <w:tab w:val="left" w:pos="3665"/>
              </w:tabs>
              <w:spacing w:line="240" w:lineRule="auto"/>
              <w:ind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Зростання привабливості закладів професійної освіти, їх іміджу та авторитету.</w:t>
            </w:r>
          </w:p>
          <w:p w:rsidR="001B1712" w:rsidRDefault="006422F9">
            <w:pPr>
              <w:spacing w:line="240" w:lineRule="auto"/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Виконана вимога норми Закону № 4574-IX.</w:t>
            </w:r>
          </w:p>
          <w:p w:rsidR="001B1712" w:rsidRDefault="006422F9">
            <w:pPr>
              <w:spacing w:line="240" w:lineRule="auto"/>
              <w:ind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Організація освітнього процесу здійснюється з урахуванням єдиних вимог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переведення, переривання навчання, відрахування та поновлення здобувачів професійної освіти, надання їм академічної відпустки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B1712" w:rsidRDefault="006422F9">
            <w:pPr>
              <w:spacing w:line="240" w:lineRule="auto"/>
              <w:ind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Знижуються корупційні ризики.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851"/>
                <w:tab w:val="left" w:pos="3665"/>
              </w:tabs>
              <w:spacing w:line="240" w:lineRule="auto"/>
              <w:ind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Здобувачі професійної освіти мають вищий рівень мотивованості до професійної діяльності.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851"/>
                <w:tab w:val="left" w:pos="3665"/>
              </w:tabs>
              <w:spacing w:line="240" w:lineRule="auto"/>
              <w:ind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Випускники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закладів професійної освіти конкурентоспроможні, затребувані на ринку праці.</w:t>
            </w:r>
          </w:p>
          <w:p w:rsidR="001B1712" w:rsidRDefault="006422F9">
            <w:pPr>
              <w:spacing w:line="240" w:lineRule="auto"/>
              <w:ind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Створюються механізми мотивації до навчання і професійного удосконалення.</w:t>
            </w:r>
          </w:p>
          <w:p w:rsidR="001B1712" w:rsidRDefault="006422F9">
            <w:pPr>
              <w:spacing w:line="240" w:lineRule="auto"/>
              <w:ind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Знижуються корупційні ризики.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Створюються сприятливі умови для співпраці закладів освіти.</w:t>
            </w:r>
          </w:p>
          <w:p w:rsidR="001B1712" w:rsidRDefault="00642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Зростає якість освітніх програм підготовки здобувачів і якість надання освітніх послуг.</w:t>
            </w:r>
          </w:p>
          <w:p w:rsidR="001B1712" w:rsidRDefault="006422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Зростає популярність, авторитет, покращується репутація та імідж закладів професійної освіти серед майбутніх здобувачів та роботодавців.</w:t>
            </w:r>
          </w:p>
          <w:p w:rsidR="001B1712" w:rsidRDefault="006422F9">
            <w:pPr>
              <w:spacing w:line="240" w:lineRule="auto"/>
              <w:ind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Іміджеві та репутаційні переваг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 на ринку праці,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роботодавців і в суспільстві.</w:t>
            </w:r>
          </w:p>
        </w:tc>
        <w:tc>
          <w:tcPr>
            <w:tcW w:w="2976" w:type="dxa"/>
            <w:gridSpan w:val="2"/>
          </w:tcPr>
          <w:p w:rsidR="001B1712" w:rsidRDefault="006422F9">
            <w:pPr>
              <w:spacing w:line="240" w:lineRule="auto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Витрати, пов’язані ознайомленням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становитимуть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157 494, 33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грн. для усіх закладів освіти.</w:t>
            </w:r>
          </w:p>
          <w:p w:rsidR="001B1712" w:rsidRDefault="001B1712">
            <w:pPr>
              <w:spacing w:line="240" w:lineRule="auto"/>
              <w:ind w:right="82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</w:tcPr>
          <w:p w:rsidR="001B1712" w:rsidRDefault="006422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Цілі будуть досягнуті повною мірою. </w:t>
            </w:r>
          </w:p>
          <w:p w:rsidR="001B1712" w:rsidRDefault="001B1712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B1712" w:rsidRDefault="001B1712">
      <w:pPr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b"/>
        <w:tblW w:w="98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6"/>
        <w:gridCol w:w="4553"/>
        <w:gridCol w:w="3104"/>
      </w:tblGrid>
      <w:tr w:rsidR="001B1712">
        <w:tc>
          <w:tcPr>
            <w:tcW w:w="2236" w:type="dxa"/>
            <w:vAlign w:val="center"/>
          </w:tcPr>
          <w:p w:rsidR="001B1712" w:rsidRDefault="006422F9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Рейтинг</w:t>
            </w:r>
          </w:p>
        </w:tc>
        <w:tc>
          <w:tcPr>
            <w:tcW w:w="4553" w:type="dxa"/>
            <w:vAlign w:val="center"/>
          </w:tcPr>
          <w:p w:rsidR="001B1712" w:rsidRDefault="006422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3104" w:type="dxa"/>
            <w:vAlign w:val="center"/>
          </w:tcPr>
          <w:p w:rsidR="001B1712" w:rsidRDefault="006422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1B1712">
        <w:tc>
          <w:tcPr>
            <w:tcW w:w="2236" w:type="dxa"/>
          </w:tcPr>
          <w:p w:rsidR="001B1712" w:rsidRDefault="006422F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Альтернатива 1</w:t>
            </w:r>
          </w:p>
          <w:p w:rsidR="001B1712" w:rsidRDefault="006422F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Наявна ситуація залишається без змін</w:t>
            </w:r>
          </w:p>
        </w:tc>
        <w:tc>
          <w:tcPr>
            <w:tcW w:w="4553" w:type="dxa"/>
          </w:tcPr>
          <w:p w:rsidR="001B1712" w:rsidRDefault="006422F9">
            <w:pPr>
              <w:spacing w:line="240" w:lineRule="auto"/>
              <w:ind w:right="83" w:firstLine="3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Аргументи для переваги відсутні. Відмова від цієї альтернативи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є необхідною, оскільки збереження наявної ситуації суперечить вимогам Закону № 4574-IX, а також суперечитиме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досягненню задекларованих цілей, розвитку системи професійної освіти.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4" w:type="dxa"/>
          </w:tcPr>
          <w:p w:rsidR="001B1712" w:rsidRDefault="006422F9">
            <w:pPr>
              <w:spacing w:line="240" w:lineRule="auto"/>
              <w:ind w:firstLine="5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Вплив зовнішн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іх факторів на дію регуляторного акта не очікується.</w:t>
            </w:r>
          </w:p>
        </w:tc>
      </w:tr>
      <w:tr w:rsidR="001B1712">
        <w:tc>
          <w:tcPr>
            <w:tcW w:w="2236" w:type="dxa"/>
          </w:tcPr>
          <w:p w:rsidR="001B1712" w:rsidRDefault="006422F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Альтернатива 2</w:t>
            </w:r>
          </w:p>
          <w:p w:rsidR="001B1712" w:rsidRDefault="006422F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Прийняття запропонованого проєкту акта</w:t>
            </w:r>
          </w:p>
        </w:tc>
        <w:tc>
          <w:tcPr>
            <w:tcW w:w="4553" w:type="dxa"/>
          </w:tcPr>
          <w:p w:rsidR="001B1712" w:rsidRDefault="006422F9">
            <w:pPr>
              <w:spacing w:line="240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Причини для відмови відсутні. Обрана альтернатива є найбільш раціональним варіантом врахування інтересів всіх основних груп, на яких проблема 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равляє вплив.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B1712" w:rsidRDefault="006422F9">
            <w:pPr>
              <w:spacing w:line="240" w:lineRule="auto"/>
              <w:ind w:right="83" w:firstLine="3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Обрання альтернативи 2 забезпечує дотримання вимог частин сьомої статті 10 Закону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4574-IX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сприятиме якісній підготовці здобувачів професійної освіти.</w:t>
            </w:r>
          </w:p>
          <w:p w:rsidR="001B1712" w:rsidRDefault="006422F9">
            <w:pPr>
              <w:spacing w:line="240" w:lineRule="auto"/>
              <w:ind w:right="83" w:firstLine="3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Прийняття проєкту акта забезпечить досягнення задекларованих цілей та є єдиним необхід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 і достатнім способом вирішення проблеми.</w:t>
            </w:r>
          </w:p>
        </w:tc>
        <w:tc>
          <w:tcPr>
            <w:tcW w:w="3104" w:type="dxa"/>
          </w:tcPr>
          <w:p w:rsidR="001B1712" w:rsidRDefault="006422F9">
            <w:pPr>
              <w:spacing w:line="240" w:lineRule="auto"/>
              <w:ind w:firstLine="5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Вплив зовнішніх факторів на дію регуляторного акта не очікується.</w:t>
            </w:r>
          </w:p>
        </w:tc>
      </w:tr>
    </w:tbl>
    <w:p w:rsidR="001B1712" w:rsidRDefault="001B171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9" w:name="bookmark=id.tcergrbool28" w:colFirst="0" w:colLast="0"/>
      <w:bookmarkEnd w:id="9"/>
    </w:p>
    <w:p w:rsidR="001B1712" w:rsidRDefault="006422F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Враховуючи наведене, з метою дотримання вимог законодавства України, доцільно прийняти 2-ий альтернативний спосіб досягнення мети.</w:t>
      </w:r>
    </w:p>
    <w:p w:rsidR="001B1712" w:rsidRDefault="001B1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B1712" w:rsidRDefault="006422F9">
      <w:pPr>
        <w:tabs>
          <w:tab w:val="left" w:pos="90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white"/>
        </w:rPr>
        <w:t>V. Механізми та заходи, які забезпечать розв’язання визначеної проблеми</w:t>
      </w:r>
    </w:p>
    <w:p w:rsidR="001B1712" w:rsidRDefault="006422F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Проєкт акта спрямовано на виконання вимог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частини сьомої статті 10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Закону </w:t>
      </w:r>
      <w:r>
        <w:rPr>
          <w:rFonts w:ascii="Times New Roman" w:eastAsia="Times New Roman" w:hAnsi="Times New Roman" w:cs="Times New Roman"/>
          <w:sz w:val="24"/>
          <w:szCs w:val="24"/>
        </w:rPr>
        <w:t>№ 4574-IX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визначення основних підходів до </w:t>
      </w:r>
      <w:r>
        <w:rPr>
          <w:rFonts w:ascii="Times New Roman" w:eastAsia="Times New Roman" w:hAnsi="Times New Roman" w:cs="Times New Roman"/>
          <w:sz w:val="28"/>
          <w:szCs w:val="28"/>
        </w:rPr>
        <w:t>переведення, переривання навчання, відрахування та поновлення здобувачів професійної освіти, надання їм академічної відпустки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1712" w:rsidRDefault="006422F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Відповідно до вимог Закону України «Про засади державної регуляторної політики у сфері господарської діяльності» проєкт регулятор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ного акта –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роєкт наказу Міністерства освіти і науки України «Про затвердження </w:t>
      </w:r>
      <w:r>
        <w:rPr>
          <w:rFonts w:ascii="Times New Roman" w:eastAsia="Times New Roman" w:hAnsi="Times New Roman" w:cs="Times New Roman"/>
          <w:sz w:val="28"/>
          <w:szCs w:val="28"/>
        </w:rPr>
        <w:t>переведення, переривання навчання, відрахування та поновлення здобувачів професійної освіти, надання їм академічної відпустки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було оприлюднено у розділі «Громадське обговоренн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я» на офіційному сайті Міністерства освіти і науки України (www.mon.gov.ua) для обговорення та отримання пропозицій та зауважень від зацікавлених фізичних та юридичних осіб протягом одного місяця.</w:t>
      </w:r>
    </w:p>
    <w:p w:rsidR="001B1712" w:rsidRDefault="006422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Розв’язання визначеної проблеми проєкту забезпечується шляхом:</w:t>
      </w:r>
    </w:p>
    <w:p w:rsidR="001B1712" w:rsidRDefault="006422F9">
      <w:pPr>
        <w:tabs>
          <w:tab w:val="left" w:pos="567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lastRenderedPageBreak/>
        <w:t>урахування вимог Порядку при розробленні положення про організацію освітнього процесу в закладі професійної освіти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1B1712" w:rsidRDefault="006422F9">
      <w:pPr>
        <w:tabs>
          <w:tab w:val="left" w:pos="567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встановлення єдиних вимог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</w:rPr>
        <w:t>переведення, переривання навчання, відрахування та поновлення здобувачів професійної освіти, надання їм академічної відпустки;</w:t>
      </w:r>
    </w:p>
    <w:p w:rsidR="001B1712" w:rsidRDefault="006422F9">
      <w:pPr>
        <w:tabs>
          <w:tab w:val="left" w:pos="567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формування індивідуальної траєкторії здобувачів професійної освіти;</w:t>
      </w:r>
    </w:p>
    <w:p w:rsidR="001B1712" w:rsidRDefault="006422F9">
      <w:pPr>
        <w:tabs>
          <w:tab w:val="left" w:pos="567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забезпечення академічної мобільності.</w:t>
      </w:r>
    </w:p>
    <w:p w:rsidR="001B1712" w:rsidRDefault="001B1712">
      <w:pPr>
        <w:tabs>
          <w:tab w:val="left" w:pos="567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B1712" w:rsidRDefault="006422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VI. Оцінка виконання в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проваджувати або виконувати ці вимоги</w:t>
      </w:r>
    </w:p>
    <w:p w:rsidR="001B1712" w:rsidRDefault="006422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впровадже</w:t>
      </w:r>
      <w:r>
        <w:rPr>
          <w:rFonts w:ascii="Times New Roman" w:eastAsia="Times New Roman" w:hAnsi="Times New Roman" w:cs="Times New Roman"/>
          <w:sz w:val="28"/>
          <w:szCs w:val="28"/>
        </w:rPr>
        <w:t>ння проєкту регуляторного акта негативних наслідків не очікується.</w:t>
      </w:r>
    </w:p>
    <w:p w:rsidR="001B1712" w:rsidRDefault="006422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Реалізація проєкту регуляторного акта не потребує додаткових витрат з державного бюджету України, тому розрахунок бюджетних витрат не здійснювався.</w:t>
      </w:r>
    </w:p>
    <w:p w:rsidR="001B1712" w:rsidRDefault="006422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Враховуючи, що питома вага суб’єктів мало</w:t>
      </w:r>
      <w:r>
        <w:rPr>
          <w:rFonts w:ascii="Times New Roman" w:eastAsia="Times New Roman" w:hAnsi="Times New Roman" w:cs="Times New Roman"/>
          <w:sz w:val="28"/>
          <w:szCs w:val="28"/>
        </w:rPr>
        <w:t>го підприємництва у загальній кількості суб’єктів господарювання, на яких поширюється регулювання, перевищує 10 відсотків, здійснюється розрахунок витрат від  запровадження державного регулювання для суб’єктів малого підприємництва згідно з додатком 4 до М</w:t>
      </w:r>
      <w:r>
        <w:rPr>
          <w:rFonts w:ascii="Times New Roman" w:eastAsia="Times New Roman" w:hAnsi="Times New Roman" w:cs="Times New Roman"/>
          <w:sz w:val="28"/>
          <w:szCs w:val="28"/>
        </w:rPr>
        <w:t>етодики проведення аналізу впливу регуляторного акта (Тест малого підприємництва).</w:t>
      </w:r>
    </w:p>
    <w:p w:rsidR="001B1712" w:rsidRDefault="006422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Державне регулювання не передбачає утворення нового державного органу (або нового структурного підрозділу діючого органу) та не передбачає збільшення граничної чисельності п</w:t>
      </w:r>
      <w:r>
        <w:rPr>
          <w:rFonts w:ascii="Times New Roman" w:eastAsia="Times New Roman" w:hAnsi="Times New Roman" w:cs="Times New Roman"/>
          <w:sz w:val="28"/>
          <w:szCs w:val="28"/>
        </w:rPr>
        <w:t>рацівників закладів професійної освіти.</w:t>
      </w:r>
    </w:p>
    <w:p w:rsidR="001B1712" w:rsidRDefault="006422F9">
      <w:pPr>
        <w:ind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зв’язку з тим, що запропоноване регулювання фактично є реалізацією державної політики у сфері освіти, компенсатори (корегуючі (пом’якшувальні) заходи) для малого підприємництва не розроблялись.</w:t>
      </w:r>
    </w:p>
    <w:p w:rsidR="001B1712" w:rsidRDefault="001B1712">
      <w:pPr>
        <w:ind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712" w:rsidRDefault="006422F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VII. Обґрунтування запропонованого строку дії регуляторного акта</w:t>
      </w:r>
    </w:p>
    <w:p w:rsidR="001B1712" w:rsidRDefault="006422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Строк дії регуляторного акта не обмежується в часі, що дасть змогу досягти цілей державного регулювання.</w:t>
      </w:r>
    </w:p>
    <w:p w:rsidR="001B1712" w:rsidRDefault="006422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Зміна строку дії акта можлива в разі зміни правових актів, на вимогах яких базується п</w:t>
      </w:r>
      <w:r>
        <w:rPr>
          <w:rFonts w:ascii="Times New Roman" w:eastAsia="Times New Roman" w:hAnsi="Times New Roman" w:cs="Times New Roman"/>
          <w:sz w:val="28"/>
          <w:szCs w:val="28"/>
        </w:rPr>
        <w:t>роєкт регуляторного акта.</w:t>
      </w:r>
    </w:p>
    <w:p w:rsidR="001B1712" w:rsidRDefault="006422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Проєкт регуляторного акта набирає чинності з дня його офіційного опублікування.</w:t>
      </w:r>
    </w:p>
    <w:p w:rsidR="001B1712" w:rsidRDefault="001B1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B1712" w:rsidRDefault="006422F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white"/>
        </w:rPr>
        <w:t>VIII. Визначення показників результативності дії регуляторного акта</w:t>
      </w:r>
    </w:p>
    <w:p w:rsidR="001B1712" w:rsidRDefault="00CE7CFA" w:rsidP="00CE7CF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</w:t>
      </w:r>
      <w:r w:rsidR="006422F9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Прогнозними значеннями показників результативності регуляторного акта є:</w:t>
      </w:r>
    </w:p>
    <w:p w:rsidR="001B1712" w:rsidRDefault="006422F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Розмір надходжень до державного та місцевих бюджетів і державних цільових фондів, пов’язаних із дією акта – не передбачається.</w:t>
      </w:r>
    </w:p>
    <w:p w:rsidR="001B1712" w:rsidRDefault="006422F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Кількість суб’єктів господарювання – 1491.</w:t>
      </w:r>
    </w:p>
    <w:p w:rsidR="001B1712" w:rsidRDefault="006422F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Розмір коштів і час, які витрачаються суб’єктами господарювання у зв’язку із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виконанням вимог акта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157 494, 33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грн.</w:t>
      </w:r>
    </w:p>
    <w:p w:rsidR="001B1712" w:rsidRDefault="006422F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Кількість часу, який витрачатиметься суб’єктом господарювання у зв’язку із виконанням вимог акта – один місяць.</w:t>
      </w:r>
    </w:p>
    <w:p w:rsidR="001B1712" w:rsidRDefault="006422F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Рівень поінформованості здобувачів освіти з основних положень акта – середній, оскільки </w:t>
      </w:r>
      <w:r>
        <w:rPr>
          <w:rFonts w:ascii="Times New Roman" w:eastAsia="Times New Roman" w:hAnsi="Times New Roman" w:cs="Times New Roman"/>
          <w:sz w:val="28"/>
          <w:szCs w:val="28"/>
        </w:rPr>
        <w:t>Міністерство</w:t>
      </w:r>
      <w:r>
        <w:rPr>
          <w:rFonts w:ascii="Times New Roman" w:eastAsia="Times New Roman" w:hAnsi="Times New Roman" w:cs="Times New Roman"/>
          <w:sz w:val="28"/>
          <w:szCs w:val="28"/>
        </w:rPr>
        <w:t>м освіти і науки України забезпечується оприлюднення його у встановленому законодавством порядку, зокрема на офіційному вебсайті Міністерства освіти і науки (http://mon.gov.ua) у розділі «Регуляторна політика».</w:t>
      </w:r>
    </w:p>
    <w:p w:rsidR="001B1712" w:rsidRDefault="006422F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Кількісними показниками результативності акта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є:</w:t>
      </w:r>
    </w:p>
    <w:p w:rsidR="001B1712" w:rsidRDefault="006422F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кількість закладів професійної освіти, що розробили власні положення на основі положення про організацію освітнього процесу з урахуванням вимог до затвердженого Порядку;</w:t>
      </w:r>
    </w:p>
    <w:p w:rsidR="001B1712" w:rsidRDefault="006422F9">
      <w:pPr>
        <w:tabs>
          <w:tab w:val="left" w:pos="851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кількість здобувачів професійної освіти, які можуть здобувати освіту з урахува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нням вимог Порядку.</w:t>
      </w:r>
    </w:p>
    <w:p w:rsidR="001B1712" w:rsidRDefault="001B17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B1712" w:rsidRDefault="006422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IX. Визначення заходів, за допомогою яких здійснюватиметься відстеження результативності дії регуляторного акта</w:t>
      </w:r>
    </w:p>
    <w:p w:rsidR="001B1712" w:rsidRDefault="006422F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Відстеження результативності проєкту акта буде здійснюватися розробником регуляторного акта відповідно до вимог статті 10 Закону України «Про засади державної регуляторної політики у сфері господарської діяльності» та Методики відстеження результативності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регуляторного акта, затвердженої постановою Кабінету Міністрів України від 11.03.2004 № 308 «Про затвердження методик проведення аналізу впливу та відстеження результативності регуляторного акта» (із змінами від 16.12.2015 № 1151).</w:t>
      </w:r>
    </w:p>
    <w:p w:rsidR="001B1712" w:rsidRDefault="006422F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Базове відстеження резул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ьтативності буде проведено через рік після набрання чинності проєкту акта.</w:t>
      </w:r>
    </w:p>
    <w:p w:rsidR="001B1712" w:rsidRDefault="006422F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Повторне відстеження - буде проведено через рік після базового відстеження.</w:t>
      </w:r>
    </w:p>
    <w:p w:rsidR="001B1712" w:rsidRDefault="006422F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Періодичне відстеження результативності проєкту акта буде здійснюватися раз на кожні три роки, починаючи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дня закінчення заходів з повторного відстеження результативності цього акта.</w:t>
      </w:r>
    </w:p>
    <w:p w:rsidR="001B1712" w:rsidRDefault="006422F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Відстеження результативності даного акта буде здійснюватися статистичним та соціологічним методами.</w:t>
      </w:r>
    </w:p>
    <w:p w:rsidR="001B1712" w:rsidRDefault="001B171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Style w:val="afc"/>
        <w:tblW w:w="962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5"/>
      </w:tblGrid>
      <w:tr w:rsidR="001B1712">
        <w:tc>
          <w:tcPr>
            <w:tcW w:w="4814" w:type="dxa"/>
          </w:tcPr>
          <w:p w:rsidR="001B1712" w:rsidRDefault="006422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Міністр освіти і науки України</w:t>
            </w:r>
          </w:p>
        </w:tc>
        <w:tc>
          <w:tcPr>
            <w:tcW w:w="4815" w:type="dxa"/>
          </w:tcPr>
          <w:p w:rsidR="001B1712" w:rsidRDefault="006422F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Оксен ЛІСОВИЙ</w:t>
            </w:r>
          </w:p>
        </w:tc>
      </w:tr>
    </w:tbl>
    <w:p w:rsidR="00CE7CFA" w:rsidRDefault="00CE7CF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1712" w:rsidRDefault="00CE7CF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_____________ 2026</w:t>
      </w:r>
      <w:bookmarkStart w:id="10" w:name="_GoBack"/>
      <w:bookmarkEnd w:id="10"/>
    </w:p>
    <w:sectPr w:rsidR="001B1712" w:rsidSect="00CE7CFA">
      <w:headerReference w:type="default" r:id="rId8"/>
      <w:pgSz w:w="11906" w:h="16838"/>
      <w:pgMar w:top="850" w:right="850" w:bottom="1843" w:left="1417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2F9" w:rsidRDefault="006422F9" w:rsidP="00CE7CFA">
      <w:pPr>
        <w:spacing w:line="240" w:lineRule="auto"/>
      </w:pPr>
      <w:r>
        <w:separator/>
      </w:r>
    </w:p>
  </w:endnote>
  <w:endnote w:type="continuationSeparator" w:id="0">
    <w:p w:rsidR="006422F9" w:rsidRDefault="006422F9" w:rsidP="00CE7C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4E6C5365-C8C9-4A39-B30E-5C43A62B08BA}"/>
  </w:font>
  <w:font w:name="Apto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2F9" w:rsidRDefault="006422F9" w:rsidP="00CE7CFA">
      <w:pPr>
        <w:spacing w:line="240" w:lineRule="auto"/>
      </w:pPr>
      <w:r>
        <w:separator/>
      </w:r>
    </w:p>
  </w:footnote>
  <w:footnote w:type="continuationSeparator" w:id="0">
    <w:p w:rsidR="006422F9" w:rsidRDefault="006422F9" w:rsidP="00CE7C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6888978"/>
      <w:docPartObj>
        <w:docPartGallery w:val="Page Numbers (Top of Page)"/>
        <w:docPartUnique/>
      </w:docPartObj>
    </w:sdtPr>
    <w:sdtContent>
      <w:p w:rsidR="00CE7CFA" w:rsidRDefault="00CE7CFA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E7CFA">
          <w:rPr>
            <w:noProof/>
            <w:lang w:val="uk-UA"/>
          </w:rPr>
          <w:t>11</w:t>
        </w:r>
        <w:r>
          <w:fldChar w:fldCharType="end"/>
        </w:r>
      </w:p>
    </w:sdtContent>
  </w:sdt>
  <w:p w:rsidR="00CE7CFA" w:rsidRDefault="00CE7CFA">
    <w:pPr>
      <w:pStyle w:val="af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12"/>
    <w:rsid w:val="001B1712"/>
    <w:rsid w:val="006422F9"/>
    <w:rsid w:val="00C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1B58"/>
  <w15:docId w15:val="{5E74DF3D-2269-42C2-A3EC-7FE4012E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160" w:after="80" w:line="278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160" w:after="80" w:line="278" w:lineRule="auto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80" w:after="40" w:line="278" w:lineRule="auto"/>
      <w:outlineLvl w:val="3"/>
    </w:pPr>
    <w:rPr>
      <w:rFonts w:ascii="Aptos" w:eastAsia="Aptos" w:hAnsi="Aptos" w:cs="Aptos"/>
      <w:i/>
      <w:iCs/>
      <w:color w:val="0F4761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80" w:after="40" w:line="278" w:lineRule="auto"/>
      <w:outlineLvl w:val="4"/>
    </w:pPr>
    <w:rPr>
      <w:rFonts w:ascii="Aptos" w:eastAsia="Aptos" w:hAnsi="Aptos" w:cs="Aptos"/>
      <w:color w:val="0F4761"/>
      <w:sz w:val="24"/>
      <w:szCs w:val="24"/>
    </w:rPr>
  </w:style>
  <w:style w:type="paragraph" w:styleId="6">
    <w:name w:val="heading 6"/>
    <w:basedOn w:val="a"/>
    <w:next w:val="a"/>
    <w:pPr>
      <w:keepNext/>
      <w:keepLines/>
      <w:spacing w:before="40" w:line="278" w:lineRule="auto"/>
      <w:outlineLvl w:val="5"/>
    </w:pPr>
    <w:rPr>
      <w:rFonts w:ascii="Aptos" w:eastAsia="Aptos" w:hAnsi="Aptos" w:cs="Aptos"/>
      <w:i/>
      <w:iCs/>
      <w:color w:val="595959"/>
      <w:sz w:val="24"/>
      <w:szCs w:val="24"/>
    </w:rPr>
  </w:style>
  <w:style w:type="paragraph" w:styleId="7">
    <w:name w:val="heading 7"/>
    <w:link w:val="70"/>
    <w:uiPriority w:val="9"/>
    <w:semiHidden/>
    <w:unhideWhenUsed/>
    <w:qFormat/>
    <w:rsid w:val="007664D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8">
    <w:name w:val="heading 8"/>
    <w:link w:val="80"/>
    <w:uiPriority w:val="9"/>
    <w:semiHidden/>
    <w:unhideWhenUsed/>
    <w:qFormat/>
    <w:rsid w:val="007664D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9">
    <w:name w:val="heading 9"/>
    <w:link w:val="90"/>
    <w:uiPriority w:val="9"/>
    <w:semiHidden/>
    <w:unhideWhenUsed/>
    <w:qFormat/>
    <w:rsid w:val="007664D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after="80" w:line="240" w:lineRule="auto"/>
    </w:pPr>
    <w:rPr>
      <w:rFonts w:ascii="Play" w:eastAsia="Play" w:hAnsi="Play" w:cs="Play"/>
      <w:color w:val="000000"/>
      <w:sz w:val="56"/>
      <w:szCs w:val="56"/>
    </w:rPr>
  </w:style>
  <w:style w:type="character" w:customStyle="1" w:styleId="10">
    <w:name w:val="Заголовок 1 Знак"/>
    <w:basedOn w:val="a0"/>
    <w:uiPriority w:val="9"/>
    <w:rsid w:val="00766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766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766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7664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7664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7664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64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64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64DD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uiPriority w:val="10"/>
    <w:rsid w:val="00766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ідзаголовок Знак"/>
    <w:basedOn w:val="a0"/>
    <w:uiPriority w:val="11"/>
    <w:rsid w:val="00766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7664D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a7">
    <w:name w:val="Цитата Знак"/>
    <w:basedOn w:val="a0"/>
    <w:link w:val="a6"/>
    <w:uiPriority w:val="29"/>
    <w:rsid w:val="007664DD"/>
    <w:rPr>
      <w:i/>
      <w:iCs/>
      <w:color w:val="404040" w:themeColor="text1" w:themeTint="BF"/>
    </w:rPr>
  </w:style>
  <w:style w:type="paragraph" w:styleId="a8">
    <w:name w:val="List Paragraph"/>
    <w:link w:val="a9"/>
    <w:uiPriority w:val="34"/>
    <w:qFormat/>
    <w:rsid w:val="007664D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aa">
    <w:name w:val="Intense Emphasis"/>
    <w:basedOn w:val="a0"/>
    <w:uiPriority w:val="21"/>
    <w:qFormat/>
    <w:rsid w:val="007664DD"/>
    <w:rPr>
      <w:i/>
      <w:iCs/>
      <w:color w:val="0F4761" w:themeColor="accent1" w:themeShade="BF"/>
    </w:rPr>
  </w:style>
  <w:style w:type="paragraph" w:styleId="ab">
    <w:name w:val="Intense Quote"/>
    <w:link w:val="ac"/>
    <w:uiPriority w:val="30"/>
    <w:qFormat/>
    <w:rsid w:val="00766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</w:rPr>
  </w:style>
  <w:style w:type="character" w:customStyle="1" w:styleId="ac">
    <w:name w:val="Насичена цитата Знак"/>
    <w:basedOn w:val="a0"/>
    <w:link w:val="ab"/>
    <w:uiPriority w:val="30"/>
    <w:rsid w:val="007664D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64DD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rsid w:val="0054074C"/>
    <w:pPr>
      <w:spacing w:after="140" w:line="288" w:lineRule="auto"/>
    </w:pPr>
  </w:style>
  <w:style w:type="paragraph" w:customStyle="1" w:styleId="11">
    <w:name w:val="1"/>
    <w:rsid w:val="00474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0"/>
    <w:uiPriority w:val="99"/>
    <w:unhideWhenUsed/>
    <w:rsid w:val="004A6F37"/>
    <w:rPr>
      <w:color w:val="467886" w:themeColor="hyperlink"/>
      <w:u w:val="single"/>
    </w:rPr>
  </w:style>
  <w:style w:type="paragraph" w:customStyle="1" w:styleId="TableContents">
    <w:name w:val="Table Contents"/>
    <w:rsid w:val="00C57C8A"/>
    <w:pPr>
      <w:textAlignment w:val="baseline"/>
    </w:pPr>
  </w:style>
  <w:style w:type="character" w:customStyle="1" w:styleId="rvts0">
    <w:name w:val="rvts0"/>
    <w:rsid w:val="003D5D00"/>
  </w:style>
  <w:style w:type="character" w:customStyle="1" w:styleId="a9">
    <w:name w:val="Абзац списку Знак"/>
    <w:link w:val="a8"/>
    <w:uiPriority w:val="34"/>
    <w:rsid w:val="003D5D00"/>
  </w:style>
  <w:style w:type="paragraph" w:styleId="af">
    <w:name w:val="Normal (Web)"/>
    <w:uiPriority w:val="99"/>
    <w:unhideWhenUsed/>
    <w:rsid w:val="005C5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39"/>
    <w:rsid w:val="000314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Subtitle"/>
    <w:basedOn w:val="a"/>
    <w:next w:val="a"/>
    <w:pPr>
      <w:spacing w:after="160" w:line="278" w:lineRule="auto"/>
    </w:pPr>
    <w:rPr>
      <w:rFonts w:ascii="Aptos" w:eastAsia="Aptos" w:hAnsi="Aptos" w:cs="Aptos"/>
      <w:color w:val="595959"/>
      <w:sz w:val="28"/>
      <w:szCs w:val="28"/>
    </w:r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1">
    <w:name w:val="header"/>
    <w:basedOn w:val="a"/>
    <w:link w:val="aff2"/>
    <w:uiPriority w:val="99"/>
    <w:unhideWhenUsed/>
    <w:rsid w:val="00CE7CFA"/>
    <w:pPr>
      <w:tabs>
        <w:tab w:val="center" w:pos="4819"/>
        <w:tab w:val="right" w:pos="9639"/>
      </w:tabs>
      <w:spacing w:line="240" w:lineRule="auto"/>
    </w:pPr>
  </w:style>
  <w:style w:type="character" w:customStyle="1" w:styleId="aff2">
    <w:name w:val="Верхній колонтитул Знак"/>
    <w:basedOn w:val="a0"/>
    <w:link w:val="aff1"/>
    <w:uiPriority w:val="99"/>
    <w:rsid w:val="00CE7CFA"/>
  </w:style>
  <w:style w:type="paragraph" w:styleId="aff3">
    <w:name w:val="footer"/>
    <w:basedOn w:val="a"/>
    <w:link w:val="aff4"/>
    <w:uiPriority w:val="99"/>
    <w:unhideWhenUsed/>
    <w:rsid w:val="00CE7CFA"/>
    <w:pPr>
      <w:tabs>
        <w:tab w:val="center" w:pos="4819"/>
        <w:tab w:val="right" w:pos="9639"/>
      </w:tabs>
      <w:spacing w:line="240" w:lineRule="auto"/>
    </w:pPr>
  </w:style>
  <w:style w:type="character" w:customStyle="1" w:styleId="aff4">
    <w:name w:val="Нижній колонтитул Знак"/>
    <w:basedOn w:val="a0"/>
    <w:link w:val="aff3"/>
    <w:uiPriority w:val="99"/>
    <w:rsid w:val="00CE7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gistry.edbo.gov.ua/opendata/universitie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giR5wWdCXmXrdfazgosGh/TfnQ==">CgMxLjAyD2lkLmxyMXdzb2dzbWdmYTIPaWQuZWZsMXo2d25uZ3hxMg9pZC5odDgyOHRnMXcxd2MyD2lkLjNkMHo2aWlkbXlqcDIPaWQuYTBnMThlaGt2dnRxMg9pZC5peDdhZDBnOGx5bGcyD2lkLmMxeXdlZGk0NHI2NjIPaWQucjJ2N3poeXhpNWt2Mg9pZC4xMGMxbGVyeXN3a2oyD2lkLnRjZXJncmJvb2wyODgAciExTWs4cTlKUF80NVlFMWN2R2NKMTdpVGx1TWhCVGI5Q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13877</Words>
  <Characters>7911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Kanya</dc:creator>
  <cp:lastModifiedBy>Ісмакаєва Ірина Миколаївна</cp:lastModifiedBy>
  <cp:revision>2</cp:revision>
  <dcterms:created xsi:type="dcterms:W3CDTF">2026-05-15T08:12:00Z</dcterms:created>
  <dcterms:modified xsi:type="dcterms:W3CDTF">2026-05-15T08:12:00Z</dcterms:modified>
</cp:coreProperties>
</file>