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49" w:rsidRDefault="009E4D0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bookmarkStart w:id="0" w:name="_GoBack"/>
      <w:r>
        <w:rPr>
          <w:rFonts w:ascii="Times New Roman" w:eastAsia="Times New Roman" w:hAnsi="Times New Roman" w:cs="Times New Roman"/>
          <w:b/>
          <w:bCs/>
          <w:sz w:val="28"/>
          <w:szCs w:val="28"/>
        </w:rPr>
        <w:t>АНАЛІЗ РЕГУЛЯТОРНОГО ВПЛИВУ</w:t>
      </w:r>
    </w:p>
    <w:bookmarkEnd w:id="0"/>
    <w:p w:rsidR="00EF7D49" w:rsidRDefault="009E4D0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до проєкту постанови Кабінету Міністрів України </w:t>
      </w:r>
    </w:p>
    <w:p w:rsidR="00EF7D49" w:rsidRDefault="009E4D0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 затвердження стандарту професійної освіти”</w:t>
      </w:r>
    </w:p>
    <w:p w:rsidR="00EF7D49" w:rsidRDefault="00EF7D49">
      <w:pPr>
        <w:spacing w:after="0" w:line="240" w:lineRule="auto"/>
        <w:jc w:val="center"/>
        <w:rPr>
          <w:rFonts w:ascii="Times New Roman" w:eastAsia="Times New Roman" w:hAnsi="Times New Roman" w:cs="Times New Roman"/>
          <w:b/>
          <w:bCs/>
          <w:sz w:val="28"/>
          <w:szCs w:val="28"/>
        </w:rPr>
      </w:pPr>
    </w:p>
    <w:p w:rsidR="00EF7D49" w:rsidRDefault="009E4D0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І. Визначення проблеми</w:t>
      </w:r>
    </w:p>
    <w:p w:rsidR="00EF7D49" w:rsidRDefault="009E4D0B">
      <w:pPr>
        <w:keepNext/>
        <w:keepLines/>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вересня 2025 року набрав чинності Закон України “</w:t>
      </w:r>
      <w:r>
        <w:rPr>
          <w:rFonts w:ascii="Times New Roman" w:eastAsia="Times New Roman" w:hAnsi="Times New Roman" w:cs="Times New Roman"/>
          <w:sz w:val="28"/>
          <w:szCs w:val="28"/>
        </w:rPr>
        <w:t>Про професійну освіту” від 21 серпня 2025 року № 4574-IX (далі – Закон). Проєкт постанови Кабінету Міністрів України “Про затвердження стандарту професійної освіти” (далі – проєкт постанови) розроблено з метою реалізації положень статті 48 Закону щодо запр</w:t>
      </w:r>
      <w:r>
        <w:rPr>
          <w:rFonts w:ascii="Times New Roman" w:eastAsia="Times New Roman" w:hAnsi="Times New Roman" w:cs="Times New Roman"/>
          <w:sz w:val="28"/>
          <w:szCs w:val="28"/>
        </w:rPr>
        <w:t>овадження стандарту професійної освіти, що розробляється центральним органом виконавчої влади у сфері освіти і науки та затверджується Кабінетом Міністрів України.</w:t>
      </w:r>
    </w:p>
    <w:p w:rsidR="00EF7D49" w:rsidRDefault="009E4D0B">
      <w:pPr>
        <w:keepNext/>
        <w:keepLines/>
        <w:shd w:val="clear" w:color="auto" w:fill="FFFFFF"/>
        <w:spacing w:after="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Необхідність прийняття акта зумовлена впровадженням нової моделі професійної освіти, орієнто</w:t>
      </w:r>
      <w:r>
        <w:rPr>
          <w:rFonts w:ascii="Times New Roman" w:eastAsia="Times New Roman" w:hAnsi="Times New Roman" w:cs="Times New Roman"/>
          <w:sz w:val="28"/>
          <w:szCs w:val="28"/>
        </w:rPr>
        <w:t>ваної на результати навчання, компетентнісний підхід, гнучкі освітні траєкторії та інтеграцію освіти з потребами ринку праці. Запропонований стандарт професійної освіти визначає вимоги до обов’язкових компетентностей і результатів навчання здобувача профес</w:t>
      </w:r>
      <w:r>
        <w:rPr>
          <w:rFonts w:ascii="Times New Roman" w:eastAsia="Times New Roman" w:hAnsi="Times New Roman" w:cs="Times New Roman"/>
          <w:sz w:val="28"/>
          <w:szCs w:val="28"/>
        </w:rPr>
        <w:t>ійної освіти та обсяг кредитів ЄКТС, необхідний для присудження освітньої кваліфікації “спеціаліст”.</w:t>
      </w:r>
    </w:p>
    <w:p w:rsidR="00EF7D49" w:rsidRDefault="009E4D0B">
      <w:pPr>
        <w:keepNext/>
        <w:keepLines/>
        <w:shd w:val="clear" w:color="auto" w:fill="FFFFFF"/>
        <w:spacing w:after="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Чинний Державний стандарт професійної (професійно-технічної) освіти, затверджений постановою Кабінету Міністрів України від 20 жовтня 2021 р. № 1077, не ві</w:t>
      </w:r>
      <w:r>
        <w:rPr>
          <w:rFonts w:ascii="Times New Roman" w:eastAsia="Times New Roman" w:hAnsi="Times New Roman" w:cs="Times New Roman"/>
          <w:sz w:val="28"/>
          <w:szCs w:val="28"/>
        </w:rPr>
        <w:t xml:space="preserve">дповідає оновленому законодавству, сучасним підходам до здобуття професійної освіти та професійних кваліфікацій та рекомендаціям Європейського Союзу щодо формування національної системи професійної освіти. </w:t>
      </w:r>
    </w:p>
    <w:p w:rsidR="00EF7D49" w:rsidRDefault="009E4D0B">
      <w:pPr>
        <w:shd w:val="clear" w:color="auto" w:fill="FFFFFF"/>
        <w:spacing w:after="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Проєктом постанови передбачається затвердження ст</w:t>
      </w:r>
      <w:r>
        <w:rPr>
          <w:rFonts w:ascii="Times New Roman" w:eastAsia="Times New Roman" w:hAnsi="Times New Roman" w:cs="Times New Roman"/>
          <w:sz w:val="28"/>
          <w:szCs w:val="28"/>
        </w:rPr>
        <w:t xml:space="preserve">андарту професійної освіти та визнання такою, що втратила чинність, постанови Кабінету Міністрів України від 20 жовтня 2021 р. № 1077 “Про затвердження Державного стандарту професійної (професійно-технічної) освіти”. </w:t>
      </w:r>
    </w:p>
    <w:p w:rsidR="00EF7D49" w:rsidRDefault="009E4D0B">
      <w:pPr>
        <w:keepNext/>
        <w:keepLines/>
        <w:shd w:val="clear" w:color="auto" w:fill="FFFFFF"/>
        <w:spacing w:after="0" w:line="240" w:lineRule="auto"/>
        <w:ind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проєкту постанови забезпечит</w:t>
      </w:r>
      <w:r>
        <w:rPr>
          <w:rFonts w:ascii="Times New Roman" w:eastAsia="Times New Roman" w:hAnsi="Times New Roman" w:cs="Times New Roman"/>
          <w:sz w:val="28"/>
          <w:szCs w:val="28"/>
        </w:rPr>
        <w:t xml:space="preserve">ь гармонізацію професійної освіти з актуальними вимогами законодавства та створить нормативні передумови для підвищення закладами професійної освіти якості професійної освіти, мобільності здобувачів освіти та конкурентоспроможності їх випускників на ринку </w:t>
      </w:r>
      <w:r>
        <w:rPr>
          <w:rFonts w:ascii="Times New Roman" w:eastAsia="Times New Roman" w:hAnsi="Times New Roman" w:cs="Times New Roman"/>
          <w:sz w:val="28"/>
          <w:szCs w:val="28"/>
        </w:rPr>
        <w:t>праці.</w:t>
      </w:r>
    </w:p>
    <w:p w:rsidR="00EF7D49" w:rsidRDefault="009E4D0B">
      <w:pPr>
        <w:spacing w:after="0" w:line="240" w:lineRule="auto"/>
        <w:ind w:right="-2" w:firstLine="708"/>
        <w:jc w:val="both"/>
        <w:rPr>
          <w:rFonts w:ascii="Roboto" w:eastAsia="Roboto" w:hAnsi="Roboto" w:cs="Roboto"/>
          <w:sz w:val="21"/>
          <w:szCs w:val="21"/>
        </w:rPr>
      </w:pPr>
      <w:r>
        <w:rPr>
          <w:rFonts w:ascii="Times New Roman" w:eastAsia="Times New Roman" w:hAnsi="Times New Roman" w:cs="Times New Roman"/>
          <w:sz w:val="28"/>
          <w:szCs w:val="28"/>
        </w:rPr>
        <w:t>Стандарт професійної освіти буде обов’язковим для використання закладами професійної освіти, крім закладів професійної освіти зі специфічними умовами навчання, військових закладів професійної освіти, що використовують стандарти спеціалізованої освіт</w:t>
      </w:r>
      <w:r>
        <w:rPr>
          <w:rFonts w:ascii="Times New Roman" w:eastAsia="Times New Roman" w:hAnsi="Times New Roman" w:cs="Times New Roman"/>
          <w:sz w:val="28"/>
          <w:szCs w:val="28"/>
        </w:rPr>
        <w:t xml:space="preserve">и військового або </w:t>
      </w:r>
      <w:proofErr w:type="spellStart"/>
      <w:r>
        <w:rPr>
          <w:rFonts w:ascii="Times New Roman" w:eastAsia="Times New Roman" w:hAnsi="Times New Roman" w:cs="Times New Roman"/>
          <w:sz w:val="28"/>
          <w:szCs w:val="28"/>
        </w:rPr>
        <w:t>безпекового</w:t>
      </w:r>
      <w:proofErr w:type="spellEnd"/>
      <w:r>
        <w:rPr>
          <w:rFonts w:ascii="Times New Roman" w:eastAsia="Times New Roman" w:hAnsi="Times New Roman" w:cs="Times New Roman"/>
          <w:sz w:val="28"/>
          <w:szCs w:val="28"/>
        </w:rPr>
        <w:t xml:space="preserve"> спрямування, затверджені центральними органами виконавчої влади, до сфери управління яких належать відповідні заклади освіти.</w:t>
      </w:r>
      <w:r>
        <w:rPr>
          <w:rFonts w:ascii="Roboto" w:eastAsia="Roboto" w:hAnsi="Roboto" w:cs="Roboto"/>
          <w:sz w:val="21"/>
          <w:szCs w:val="21"/>
        </w:rPr>
        <w:t xml:space="preserve"> </w:t>
      </w:r>
    </w:p>
    <w:p w:rsidR="00EF7D49" w:rsidRDefault="009E4D0B">
      <w:pPr>
        <w:spacing w:after="0" w:line="240" w:lineRule="auto"/>
        <w:ind w:right="-2"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даними Реєстру суб'єктів освітньої діяльності (</w:t>
      </w:r>
      <w:hyperlink r:id="rId6">
        <w:r>
          <w:rPr>
            <w:rFonts w:ascii="Times New Roman" w:eastAsia="Times New Roman" w:hAnsi="Times New Roman" w:cs="Times New Roman"/>
            <w:color w:val="1155CC"/>
            <w:sz w:val="28"/>
            <w:szCs w:val="28"/>
            <w:u w:val="single"/>
          </w:rPr>
          <w:t>https://registry.edbo.gov.ua/opendata/universities/</w:t>
        </w:r>
      </w:hyperlink>
      <w:r>
        <w:rPr>
          <w:rFonts w:ascii="Times New Roman" w:eastAsia="Times New Roman" w:hAnsi="Times New Roman" w:cs="Times New Roman"/>
          <w:sz w:val="28"/>
          <w:szCs w:val="28"/>
        </w:rPr>
        <w:t xml:space="preserve">) станом на січень 2026 року, в </w:t>
      </w:r>
      <w:r>
        <w:rPr>
          <w:rFonts w:ascii="Times New Roman" w:eastAsia="Times New Roman" w:hAnsi="Times New Roman" w:cs="Times New Roman"/>
          <w:sz w:val="28"/>
          <w:szCs w:val="28"/>
        </w:rPr>
        <w:lastRenderedPageBreak/>
        <w:t>Україні функціонує 640 закладів професійної освіти, на які буде поширюватися стандарт професійної освіти.</w:t>
      </w:r>
    </w:p>
    <w:p w:rsidR="00EF7D49" w:rsidRDefault="00EF7D49">
      <w:pPr>
        <w:spacing w:after="0" w:line="240" w:lineRule="auto"/>
        <w:ind w:right="-2" w:firstLine="708"/>
        <w:jc w:val="both"/>
        <w:rPr>
          <w:rFonts w:ascii="Times New Roman" w:eastAsia="Times New Roman" w:hAnsi="Times New Roman" w:cs="Times New Roman"/>
          <w:sz w:val="28"/>
          <w:szCs w:val="28"/>
        </w:rPr>
      </w:pPr>
    </w:p>
    <w:p w:rsidR="00EF7D49" w:rsidRDefault="009E4D0B">
      <w:pPr>
        <w:spacing w:after="0" w:line="240" w:lineRule="auto"/>
        <w:ind w:firstLine="540"/>
        <w:jc w:val="center"/>
        <w:rPr>
          <w:rFonts w:ascii="Times New Roman" w:eastAsia="Times New Roman" w:hAnsi="Times New Roman" w:cs="Times New Roman"/>
          <w:b/>
          <w:bCs/>
          <w:sz w:val="16"/>
          <w:szCs w:val="16"/>
        </w:rPr>
      </w:pPr>
      <w:r>
        <w:rPr>
          <w:rFonts w:ascii="Times New Roman" w:eastAsia="Times New Roman" w:hAnsi="Times New Roman" w:cs="Times New Roman"/>
          <w:b/>
          <w:bCs/>
          <w:sz w:val="28"/>
          <w:szCs w:val="28"/>
        </w:rPr>
        <w:t>Основні групи (підгрупи), на які проблема сп</w:t>
      </w:r>
      <w:r>
        <w:rPr>
          <w:rFonts w:ascii="Times New Roman" w:eastAsia="Times New Roman" w:hAnsi="Times New Roman" w:cs="Times New Roman"/>
          <w:b/>
          <w:bCs/>
          <w:sz w:val="28"/>
          <w:szCs w:val="28"/>
        </w:rPr>
        <w:t>равляє вплив</w:t>
      </w:r>
    </w:p>
    <w:tbl>
      <w:tblPr>
        <w:tblStyle w:val="aff9"/>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9"/>
        <w:gridCol w:w="2018"/>
        <w:gridCol w:w="1807"/>
      </w:tblGrid>
      <w:tr w:rsidR="00EF7D49">
        <w:tc>
          <w:tcPr>
            <w:tcW w:w="5519"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Групи (підгрупи)</w:t>
            </w:r>
          </w:p>
        </w:tc>
        <w:tc>
          <w:tcPr>
            <w:tcW w:w="2018"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Так</w:t>
            </w:r>
          </w:p>
        </w:tc>
        <w:tc>
          <w:tcPr>
            <w:tcW w:w="1807"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Ні</w:t>
            </w:r>
          </w:p>
        </w:tc>
      </w:tr>
      <w:tr w:rsidR="00EF7D49">
        <w:trPr>
          <w:trHeight w:val="258"/>
        </w:trPr>
        <w:tc>
          <w:tcPr>
            <w:tcW w:w="5519" w:type="dxa"/>
          </w:tcPr>
          <w:p w:rsidR="00EF7D49" w:rsidRDefault="009E4D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Громадяни</w:t>
            </w:r>
          </w:p>
        </w:tc>
        <w:tc>
          <w:tcPr>
            <w:tcW w:w="2018"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807"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EF7D49">
        <w:trPr>
          <w:trHeight w:val="223"/>
        </w:trPr>
        <w:tc>
          <w:tcPr>
            <w:tcW w:w="5519" w:type="dxa"/>
          </w:tcPr>
          <w:p w:rsidR="00EF7D49" w:rsidRDefault="009E4D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Держава </w:t>
            </w:r>
          </w:p>
        </w:tc>
        <w:tc>
          <w:tcPr>
            <w:tcW w:w="2018"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807"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EF7D49">
        <w:tc>
          <w:tcPr>
            <w:tcW w:w="5519" w:type="dxa"/>
          </w:tcPr>
          <w:p w:rsidR="00EF7D49" w:rsidRDefault="009E4D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Суб'єкти господарювання</w:t>
            </w:r>
          </w:p>
        </w:tc>
        <w:tc>
          <w:tcPr>
            <w:tcW w:w="2018"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807"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EF7D49">
        <w:tc>
          <w:tcPr>
            <w:tcW w:w="5519" w:type="dxa"/>
          </w:tcPr>
          <w:p w:rsidR="00EF7D49" w:rsidRDefault="009E4D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тому числі суб’єкти малого підприємництва</w:t>
            </w:r>
          </w:p>
        </w:tc>
        <w:tc>
          <w:tcPr>
            <w:tcW w:w="2018"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807" w:type="dxa"/>
          </w:tcPr>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Проблема невідповідності чинного стандарту вимогам Закону не може бути вирішена за допомогою ринкових механізмів, оскільки такі механізми відсутні. Стандарт професійної освіти має бути чітко затверджений законодавством, що забезпечить уніфіковані вимоги до</w:t>
      </w:r>
      <w:r>
        <w:rPr>
          <w:rFonts w:ascii="Times New Roman" w:eastAsia="Times New Roman" w:hAnsi="Times New Roman" w:cs="Times New Roman"/>
          <w:sz w:val="28"/>
          <w:szCs w:val="28"/>
        </w:rPr>
        <w:t xml:space="preserve"> обов’язкових компетентностей і результатів навчання здобувача професійної освіти, освітніх програм та обсягу кредитів ЄКТС, необхідного для присудження освітньої кваліфікації “спеціаліст”.</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Проблема також не може бути розв’язана за допомогою чинних регуляторних актів у зв’язку з тим, що на сьогодні відсутні такі регуляторні акти, які б вирішували зазначену проблему та відповідали нормам чинного законодавства.</w:t>
      </w:r>
    </w:p>
    <w:p w:rsidR="00EF7D49" w:rsidRDefault="00EF7D49">
      <w:pPr>
        <w:spacing w:after="0" w:line="240" w:lineRule="auto"/>
        <w:ind w:firstLine="709"/>
        <w:jc w:val="both"/>
        <w:rPr>
          <w:rFonts w:ascii="Times New Roman" w:eastAsia="Times New Roman" w:hAnsi="Times New Roman" w:cs="Times New Roman"/>
          <w:sz w:val="28"/>
          <w:szCs w:val="28"/>
        </w:rPr>
      </w:pPr>
    </w:p>
    <w:p w:rsidR="00EF7D49" w:rsidRDefault="009E4D0B">
      <w:pPr>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ІІ. Цілі державного регулювання</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цілями державного регулювання є:</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запровадження компетентнісного підходу та орієнтації на результати навчання як основи побудови освітніх програм підготовки спеціаліста;</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встановлення єдиних вимог до обсягу навчального навантаження в кредитах ЄКТС </w:t>
      </w:r>
      <w:r>
        <w:rPr>
          <w:rFonts w:ascii="Times New Roman" w:eastAsia="Times New Roman" w:hAnsi="Times New Roman" w:cs="Times New Roman"/>
          <w:sz w:val="28"/>
          <w:szCs w:val="28"/>
        </w:rPr>
        <w:t>для здобуття освітньої кваліфікації “спеціаліст” за відповідною професійною кваліфікацією (професійними кваліфікаціями) 3, 4, 5 рівня Національної рамки кваліфікацій;</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гармонізацію системи професійної освіти з Державним стандартом профільної середньої освіт</w:t>
      </w:r>
      <w:r>
        <w:rPr>
          <w:rFonts w:ascii="Times New Roman" w:eastAsia="Times New Roman" w:hAnsi="Times New Roman" w:cs="Times New Roman"/>
          <w:sz w:val="28"/>
          <w:szCs w:val="28"/>
        </w:rPr>
        <w:t>и та освітніми стандартами фахової передвищої і вищої освіти;</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нормативних передумов для визнання результатів неформальної та інформальної освіти, запровадження гнучких освітніх траєкторій;</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інтеграцію системи професійної освіти України до Європейс</w:t>
      </w:r>
      <w:r>
        <w:rPr>
          <w:rFonts w:ascii="Times New Roman" w:eastAsia="Times New Roman" w:hAnsi="Times New Roman" w:cs="Times New Roman"/>
          <w:sz w:val="28"/>
          <w:szCs w:val="28"/>
        </w:rPr>
        <w:t>ького освітнього простору відповідно до рекомендацій ЄС.</w:t>
      </w:r>
    </w:p>
    <w:p w:rsidR="00EF7D49" w:rsidRDefault="00EF7D49">
      <w:pPr>
        <w:spacing w:after="0" w:line="240" w:lineRule="auto"/>
        <w:jc w:val="both"/>
        <w:rPr>
          <w:rFonts w:ascii="Times New Roman" w:eastAsia="Times New Roman" w:hAnsi="Times New Roman" w:cs="Times New Roman"/>
          <w:sz w:val="28"/>
          <w:szCs w:val="28"/>
        </w:rPr>
      </w:pPr>
    </w:p>
    <w:p w:rsidR="004F2967" w:rsidRDefault="004F2967">
      <w:pPr>
        <w:spacing w:after="0" w:line="240" w:lineRule="auto"/>
        <w:ind w:firstLine="709"/>
        <w:jc w:val="center"/>
        <w:rPr>
          <w:rFonts w:ascii="Times New Roman" w:eastAsia="Times New Roman" w:hAnsi="Times New Roman" w:cs="Times New Roman"/>
          <w:b/>
          <w:bCs/>
          <w:sz w:val="28"/>
          <w:szCs w:val="28"/>
        </w:rPr>
      </w:pPr>
    </w:p>
    <w:p w:rsidR="004F2967" w:rsidRDefault="004F2967">
      <w:pPr>
        <w:spacing w:after="0" w:line="240" w:lineRule="auto"/>
        <w:ind w:firstLine="709"/>
        <w:jc w:val="center"/>
        <w:rPr>
          <w:rFonts w:ascii="Times New Roman" w:eastAsia="Times New Roman" w:hAnsi="Times New Roman" w:cs="Times New Roman"/>
          <w:b/>
          <w:bCs/>
          <w:sz w:val="28"/>
          <w:szCs w:val="28"/>
        </w:rPr>
      </w:pPr>
    </w:p>
    <w:p w:rsidR="004F2967" w:rsidRDefault="004F2967">
      <w:pPr>
        <w:spacing w:after="0" w:line="240" w:lineRule="auto"/>
        <w:ind w:firstLine="709"/>
        <w:jc w:val="center"/>
        <w:rPr>
          <w:rFonts w:ascii="Times New Roman" w:eastAsia="Times New Roman" w:hAnsi="Times New Roman" w:cs="Times New Roman"/>
          <w:b/>
          <w:bCs/>
          <w:sz w:val="28"/>
          <w:szCs w:val="28"/>
        </w:rPr>
      </w:pPr>
    </w:p>
    <w:p w:rsidR="004F2967" w:rsidRDefault="004F2967">
      <w:pPr>
        <w:spacing w:after="0" w:line="240" w:lineRule="auto"/>
        <w:ind w:firstLine="709"/>
        <w:jc w:val="center"/>
        <w:rPr>
          <w:rFonts w:ascii="Times New Roman" w:eastAsia="Times New Roman" w:hAnsi="Times New Roman" w:cs="Times New Roman"/>
          <w:b/>
          <w:bCs/>
          <w:sz w:val="28"/>
          <w:szCs w:val="28"/>
        </w:rPr>
      </w:pPr>
    </w:p>
    <w:p w:rsidR="00EF7D49" w:rsidRDefault="009E4D0B">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ІІІ. Визначення та оцінка прийнятих альтернативних способів</w:t>
      </w:r>
    </w:p>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досягнення цілей</w:t>
      </w:r>
    </w:p>
    <w:p w:rsidR="00EF7D49" w:rsidRDefault="009E4D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Визначення альтернативних способів досягнення цілей</w:t>
      </w:r>
    </w:p>
    <w:tbl>
      <w:tblPr>
        <w:tblStyle w:val="affa"/>
        <w:tblW w:w="9629" w:type="dxa"/>
        <w:tblInd w:w="0" w:type="dxa"/>
        <w:tblLayout w:type="fixed"/>
        <w:tblLook w:val="0400" w:firstRow="0" w:lastRow="0" w:firstColumn="0" w:lastColumn="0" w:noHBand="0" w:noVBand="1"/>
      </w:tblPr>
      <w:tblGrid>
        <w:gridCol w:w="2673"/>
        <w:gridCol w:w="6956"/>
      </w:tblGrid>
      <w:tr w:rsidR="00EF7D49">
        <w:trPr>
          <w:trHeight w:val="353"/>
        </w:trPr>
        <w:tc>
          <w:tcPr>
            <w:tcW w:w="2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F7D49" w:rsidRDefault="009E4D0B">
            <w:pPr>
              <w:spacing w:after="0" w:line="240" w:lineRule="auto"/>
              <w:ind w:firstLine="708"/>
              <w:jc w:val="center"/>
              <w:rPr>
                <w:rFonts w:ascii="Times New Roman" w:eastAsia="Times New Roman" w:hAnsi="Times New Roman" w:cs="Times New Roman"/>
              </w:rPr>
            </w:pPr>
            <w:r>
              <w:rPr>
                <w:rFonts w:ascii="Times New Roman" w:eastAsia="Times New Roman" w:hAnsi="Times New Roman" w:cs="Times New Roman"/>
                <w:b/>
                <w:bCs/>
              </w:rPr>
              <w:t>Вид альтернативи</w:t>
            </w:r>
          </w:p>
        </w:tc>
        <w:tc>
          <w:tcPr>
            <w:tcW w:w="6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F7D49" w:rsidRDefault="009E4D0B">
            <w:pPr>
              <w:spacing w:after="0" w:line="240" w:lineRule="auto"/>
              <w:ind w:firstLine="708"/>
              <w:jc w:val="center"/>
              <w:rPr>
                <w:rFonts w:ascii="Times New Roman" w:eastAsia="Times New Roman" w:hAnsi="Times New Roman" w:cs="Times New Roman"/>
              </w:rPr>
            </w:pPr>
            <w:r>
              <w:rPr>
                <w:rFonts w:ascii="Times New Roman" w:eastAsia="Times New Roman" w:hAnsi="Times New Roman" w:cs="Times New Roman"/>
                <w:b/>
                <w:bCs/>
              </w:rPr>
              <w:t>Опис альтернативи</w:t>
            </w:r>
          </w:p>
        </w:tc>
      </w:tr>
      <w:tr w:rsidR="00EF7D49">
        <w:tc>
          <w:tcPr>
            <w:tcW w:w="2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Альтернатива 1</w:t>
            </w: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Збереження чинного регулювання</w:t>
            </w:r>
          </w:p>
        </w:tc>
        <w:tc>
          <w:tcPr>
            <w:tcW w:w="6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7D49" w:rsidRDefault="009E4D0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Залишити чинне правове регулювання без змін.</w:t>
            </w:r>
          </w:p>
          <w:p w:rsidR="00EF7D49" w:rsidRDefault="009E4D0B">
            <w:pPr>
              <w:pBdr>
                <w:top w:val="nil"/>
                <w:left w:val="nil"/>
                <w:bottom w:val="nil"/>
                <w:right w:val="nil"/>
                <w:between w:val="nil"/>
              </w:pBd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Цей варіант не забезпечує виконання вимог Закону України “Про професійну освіту”: </w:t>
            </w:r>
            <w:r>
              <w:rPr>
                <w:rFonts w:ascii="Times New Roman" w:eastAsia="Times New Roman" w:hAnsi="Times New Roman" w:cs="Times New Roman"/>
                <w:sz w:val="25"/>
                <w:szCs w:val="25"/>
              </w:rPr>
              <w:t xml:space="preserve">не передбачає </w:t>
            </w:r>
            <w:r>
              <w:rPr>
                <w:rFonts w:ascii="Times New Roman" w:eastAsia="Times New Roman" w:hAnsi="Times New Roman" w:cs="Times New Roman"/>
              </w:rPr>
              <w:t>різну тривалість навчання здобувача освіти залежно від форми здобуття освіти, визнання обсягу визнання результатів навчання, повних та/або часткових професійних кваліфікацій, раніше здобутих шляхом формальної, неформальної та/або інформальної освіти та інш</w:t>
            </w:r>
            <w:r>
              <w:rPr>
                <w:rFonts w:ascii="Times New Roman" w:eastAsia="Times New Roman" w:hAnsi="Times New Roman" w:cs="Times New Roman"/>
              </w:rPr>
              <w:t xml:space="preserve">их факторів. </w:t>
            </w:r>
          </w:p>
          <w:p w:rsidR="00EF7D49" w:rsidRDefault="009E4D0B">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Відсутня можливість використання рекомендацій ЄС щодо впровадження Європейської кредитної трансферно-накопичувальної системи та можливостей навчання впродовж життя. </w:t>
            </w:r>
          </w:p>
          <w:p w:rsidR="00EF7D49" w:rsidRDefault="009E4D0B">
            <w:pPr>
              <w:pBdr>
                <w:top w:val="nil"/>
                <w:left w:val="nil"/>
                <w:bottom w:val="nil"/>
                <w:right w:val="nil"/>
                <w:between w:val="nil"/>
              </w:pBd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Для розроблення освітніх програм залишається потреба в оновленні/розробленні державних освітніх стандартів за конкретними професіями (до 9 місяців). Заклади професійної освіти та здобувачі освіти продовжують працювати у застарілому нормативному полі.</w:t>
            </w:r>
          </w:p>
          <w:p w:rsidR="00EF7D49" w:rsidRDefault="009E4D0B">
            <w:pPr>
              <w:pBdr>
                <w:top w:val="nil"/>
                <w:left w:val="nil"/>
                <w:bottom w:val="nil"/>
                <w:right w:val="nil"/>
                <w:between w:val="nil"/>
              </w:pBd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Для з</w:t>
            </w:r>
            <w:r>
              <w:rPr>
                <w:rFonts w:ascii="Times New Roman" w:eastAsia="Times New Roman" w:hAnsi="Times New Roman" w:cs="Times New Roman"/>
              </w:rPr>
              <w:t>добувачів освіти відсутня можливість здобути часткову професійну кваліфікацію у разі дострокового виходу з освітньої програми.</w:t>
            </w:r>
          </w:p>
        </w:tc>
      </w:tr>
      <w:tr w:rsidR="00EF7D49">
        <w:tc>
          <w:tcPr>
            <w:tcW w:w="2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Альтернатива 2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Прийняття проєкту акта</w:t>
            </w:r>
          </w:p>
        </w:tc>
        <w:tc>
          <w:tcPr>
            <w:tcW w:w="6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7D49" w:rsidRDefault="009E4D0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Затвердження стандарту професійної освіти постановою Кабінету Міністрів України. </w:t>
            </w:r>
          </w:p>
          <w:p w:rsidR="00EF7D49" w:rsidRDefault="009E4D0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Забезпечить приведення нормативного регулювання у відповідність із Законом України “Про професійну освіту”, визначає рівень НРК для професійної кваліфікації “спеціаліст”, визнання результатів формальної, неформальної, інформальної освіти та нових форм здоб</w:t>
            </w:r>
            <w:r>
              <w:rPr>
                <w:rFonts w:ascii="Times New Roman" w:eastAsia="Times New Roman" w:hAnsi="Times New Roman" w:cs="Times New Roman"/>
              </w:rPr>
              <w:t xml:space="preserve">уття освіти для зміни тривалості навчання. </w:t>
            </w:r>
          </w:p>
          <w:p w:rsidR="00EF7D49" w:rsidRDefault="009E4D0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Розроблення освітніх програм не потребує додаткових державних освітніх стандартів з конкретних професій, які потребують часу на розроблення або оновлення. </w:t>
            </w:r>
          </w:p>
          <w:p w:rsidR="00EF7D49" w:rsidRDefault="009E4D0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Здобувачі освіти отримають можливість здобути часткову п</w:t>
            </w:r>
            <w:r>
              <w:rPr>
                <w:rFonts w:ascii="Times New Roman" w:eastAsia="Times New Roman" w:hAnsi="Times New Roman" w:cs="Times New Roman"/>
              </w:rPr>
              <w:t>рофесійну кваліфікацію у разі дострокового виходу з освітньої програми.</w:t>
            </w:r>
          </w:p>
          <w:p w:rsidR="00EF7D49" w:rsidRDefault="00EF7D49">
            <w:pPr>
              <w:spacing w:after="0" w:line="240" w:lineRule="auto"/>
              <w:ind w:firstLine="708"/>
              <w:jc w:val="both"/>
              <w:rPr>
                <w:rFonts w:ascii="Times New Roman" w:eastAsia="Times New Roman" w:hAnsi="Times New Roman" w:cs="Times New Roman"/>
              </w:rPr>
            </w:pPr>
          </w:p>
        </w:tc>
      </w:tr>
    </w:tbl>
    <w:p w:rsidR="00EF7D49" w:rsidRDefault="00EF7D49">
      <w:pPr>
        <w:spacing w:after="0" w:line="240" w:lineRule="auto"/>
        <w:rPr>
          <w:rFonts w:ascii="Times New Roman" w:eastAsia="Times New Roman" w:hAnsi="Times New Roman" w:cs="Times New Roman"/>
          <w:b/>
          <w:bCs/>
          <w:sz w:val="28"/>
          <w:szCs w:val="28"/>
        </w:rPr>
      </w:pPr>
    </w:p>
    <w:p w:rsidR="00EF7D49" w:rsidRDefault="009E4D0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Оцінка вибраних альтернативних способів досягнення цілей</w:t>
      </w:r>
    </w:p>
    <w:p w:rsidR="00EF7D49" w:rsidRDefault="009E4D0B">
      <w:pPr>
        <w:spacing w:after="0" w:line="240" w:lineRule="auto"/>
        <w:ind w:firstLine="540"/>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Оцінка впливу на сферу інтересів держави</w:t>
      </w:r>
    </w:p>
    <w:tbl>
      <w:tblPr>
        <w:tblStyle w:val="affb"/>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3289"/>
        <w:gridCol w:w="3969"/>
      </w:tblGrid>
      <w:tr w:rsidR="00EF7D49">
        <w:tc>
          <w:tcPr>
            <w:tcW w:w="2376" w:type="dxa"/>
          </w:tcPr>
          <w:p w:rsidR="00EF7D49" w:rsidRDefault="009E4D0B">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Вид альтернативи</w:t>
            </w:r>
          </w:p>
        </w:tc>
        <w:tc>
          <w:tcPr>
            <w:tcW w:w="3289" w:type="dxa"/>
          </w:tcPr>
          <w:p w:rsidR="00EF7D49" w:rsidRDefault="009E4D0B">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Вигоди</w:t>
            </w:r>
          </w:p>
        </w:tc>
        <w:tc>
          <w:tcPr>
            <w:tcW w:w="3969" w:type="dxa"/>
          </w:tcPr>
          <w:p w:rsidR="00EF7D49" w:rsidRDefault="009E4D0B">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Витрати</w:t>
            </w:r>
          </w:p>
        </w:tc>
      </w:tr>
      <w:tr w:rsidR="00EF7D49">
        <w:tc>
          <w:tcPr>
            <w:tcW w:w="2376"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Альтернатива 1</w:t>
            </w:r>
          </w:p>
        </w:tc>
        <w:tc>
          <w:tcPr>
            <w:tcW w:w="3289"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Вигоди відсутні.</w:t>
            </w: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Збереження чинного стандарту не відповідає нормам Закону.</w:t>
            </w:r>
          </w:p>
        </w:tc>
        <w:tc>
          <w:tcPr>
            <w:tcW w:w="3969" w:type="dxa"/>
          </w:tcPr>
          <w:p w:rsidR="00EF7D49" w:rsidRDefault="009E4D0B">
            <w:pPr>
              <w:widowControl w:val="0"/>
              <w:pBdr>
                <w:top w:val="nil"/>
                <w:left w:val="nil"/>
                <w:bottom w:val="nil"/>
                <w:right w:val="nil"/>
                <w:between w:val="nil"/>
              </w:pBdr>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Витрати, пов’язані із необхідністю опрацьовувати звернення закладів та окремих фізичних осіб.</w:t>
            </w:r>
          </w:p>
          <w:p w:rsidR="00EF7D49" w:rsidRDefault="009E4D0B">
            <w:pPr>
              <w:widowControl w:val="0"/>
              <w:pBdr>
                <w:top w:val="nil"/>
                <w:left w:val="nil"/>
                <w:bottom w:val="nil"/>
                <w:right w:val="nil"/>
                <w:between w:val="nil"/>
              </w:pBdr>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Орієнтовно 640 звернень × 1 год × </w:t>
            </w:r>
            <w:r>
              <w:rPr>
                <w:rFonts w:ascii="Times New Roman" w:eastAsia="Times New Roman" w:hAnsi="Times New Roman" w:cs="Times New Roman"/>
              </w:rPr>
              <w:lastRenderedPageBreak/>
              <w:t>176,15 грн/год = 112 736 грн на рік.</w:t>
            </w:r>
          </w:p>
        </w:tc>
      </w:tr>
      <w:tr w:rsidR="00EF7D49">
        <w:trPr>
          <w:trHeight w:val="1118"/>
        </w:trPr>
        <w:tc>
          <w:tcPr>
            <w:tcW w:w="2376"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Альтернатива 2</w:t>
            </w:r>
          </w:p>
        </w:tc>
        <w:tc>
          <w:tcPr>
            <w:tcW w:w="3289"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Виконання вимог Закону.</w:t>
            </w: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Чітке нормативне підґрунтя для розроблення освітніх програм. Мінімізація звернень щодо роз’яснень.</w:t>
            </w:r>
          </w:p>
          <w:p w:rsidR="00EF7D49" w:rsidRDefault="00EF7D49">
            <w:pPr>
              <w:spacing w:after="0" w:line="240" w:lineRule="auto"/>
              <w:jc w:val="both"/>
              <w:rPr>
                <w:rFonts w:ascii="Times New Roman" w:eastAsia="Times New Roman" w:hAnsi="Times New Roman" w:cs="Times New Roman"/>
                <w:strike/>
              </w:rPr>
            </w:pP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Будуть мінімізовані витрати часу на опрацювання звернень.</w:t>
            </w:r>
          </w:p>
          <w:p w:rsidR="00EF7D49" w:rsidRDefault="00EF7D49">
            <w:pPr>
              <w:spacing w:after="0" w:line="240" w:lineRule="auto"/>
              <w:ind w:firstLine="321"/>
              <w:jc w:val="both"/>
              <w:rPr>
                <w:rFonts w:ascii="Times New Roman" w:eastAsia="Times New Roman" w:hAnsi="Times New Roman" w:cs="Times New Roman"/>
              </w:rPr>
            </w:pPr>
          </w:p>
          <w:p w:rsidR="00EF7D49" w:rsidRDefault="00EF7D49">
            <w:pPr>
              <w:spacing w:after="0" w:line="240" w:lineRule="auto"/>
              <w:ind w:firstLine="321"/>
              <w:jc w:val="both"/>
              <w:rPr>
                <w:rFonts w:ascii="Times New Roman" w:eastAsia="Times New Roman" w:hAnsi="Times New Roman" w:cs="Times New Roman"/>
              </w:rPr>
            </w:pPr>
          </w:p>
          <w:p w:rsidR="00EF7D49" w:rsidRDefault="00EF7D49">
            <w:pPr>
              <w:spacing w:after="0" w:line="240" w:lineRule="auto"/>
              <w:jc w:val="both"/>
              <w:rPr>
                <w:rFonts w:ascii="Times New Roman" w:eastAsia="Times New Roman" w:hAnsi="Times New Roman" w:cs="Times New Roman"/>
              </w:rPr>
            </w:pPr>
          </w:p>
        </w:tc>
        <w:tc>
          <w:tcPr>
            <w:tcW w:w="3969" w:type="dxa"/>
          </w:tcPr>
          <w:p w:rsidR="00EF7D49" w:rsidRDefault="009E4D0B">
            <w:pPr>
              <w:widowControl w:val="0"/>
              <w:pBdr>
                <w:top w:val="nil"/>
                <w:left w:val="nil"/>
                <w:bottom w:val="nil"/>
                <w:right w:val="nil"/>
                <w:between w:val="nil"/>
              </w:pBdr>
              <w:tabs>
                <w:tab w:val="left" w:pos="1416"/>
                <w:tab w:val="left" w:pos="2606"/>
                <w:tab w:val="left" w:pos="341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Реалізація проєкту акта не потребуватиме додаткових витрат з державного та місцевих бюджетів.</w:t>
            </w:r>
          </w:p>
          <w:p w:rsidR="00EF7D49" w:rsidRDefault="009E4D0B">
            <w:pPr>
              <w:widowControl w:val="0"/>
              <w:pBdr>
                <w:top w:val="nil"/>
                <w:left w:val="nil"/>
                <w:bottom w:val="nil"/>
                <w:right w:val="nil"/>
                <w:between w:val="nil"/>
              </w:pBdr>
              <w:tabs>
                <w:tab w:val="left" w:pos="1416"/>
                <w:tab w:val="left" w:pos="2606"/>
                <w:tab w:val="left" w:pos="341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Витрати на інформування закладів ПО: </w:t>
            </w:r>
          </w:p>
          <w:p w:rsidR="00EF7D49" w:rsidRDefault="009E4D0B">
            <w:pPr>
              <w:spacing w:after="200" w:line="276" w:lineRule="auto"/>
              <w:ind w:firstLine="343"/>
              <w:jc w:val="both"/>
              <w:rPr>
                <w:rFonts w:ascii="Times New Roman" w:eastAsia="Times New Roman" w:hAnsi="Times New Roman" w:cs="Times New Roman"/>
              </w:rPr>
            </w:pPr>
            <w:r>
              <w:rPr>
                <w:rFonts w:ascii="Times New Roman" w:eastAsia="Times New Roman" w:hAnsi="Times New Roman" w:cs="Times New Roman"/>
              </w:rPr>
              <w:t>одна онлайн-нарада та одна публікація інформації на вебсайтах та сторінках соціальних мереж МОН:</w:t>
            </w:r>
          </w:p>
          <w:p w:rsidR="00EF7D49" w:rsidRDefault="009E4D0B">
            <w:pPr>
              <w:spacing w:after="200" w:line="276" w:lineRule="auto"/>
              <w:ind w:firstLine="343"/>
              <w:jc w:val="both"/>
              <w:rPr>
                <w:rFonts w:ascii="Times New Roman" w:eastAsia="Times New Roman" w:hAnsi="Times New Roman" w:cs="Times New Roman"/>
              </w:rPr>
            </w:pPr>
            <w:r>
              <w:rPr>
                <w:rFonts w:ascii="Times New Roman" w:eastAsia="Times New Roman" w:hAnsi="Times New Roman" w:cs="Times New Roman"/>
              </w:rPr>
              <w:t>2 год х 176,15 грн/год = 35</w:t>
            </w:r>
            <w:r>
              <w:rPr>
                <w:rFonts w:ascii="Times New Roman" w:eastAsia="Times New Roman" w:hAnsi="Times New Roman" w:cs="Times New Roman"/>
              </w:rPr>
              <w:t>2,30 грн*</w:t>
            </w:r>
          </w:p>
          <w:p w:rsidR="00EF7D49" w:rsidRDefault="009E4D0B">
            <w:pPr>
              <w:spacing w:after="200" w:line="276" w:lineRule="auto"/>
              <w:ind w:firstLine="343"/>
              <w:jc w:val="both"/>
              <w:rPr>
                <w:rFonts w:ascii="Times New Roman" w:eastAsia="Times New Roman" w:hAnsi="Times New Roman" w:cs="Times New Roman"/>
              </w:rPr>
            </w:pPr>
            <w:r>
              <w:rPr>
                <w:rFonts w:ascii="Times New Roman" w:eastAsia="Times New Roman" w:hAnsi="Times New Roman" w:cs="Times New Roman"/>
              </w:rPr>
              <w:t>Усього: 352,30 грн</w:t>
            </w:r>
          </w:p>
        </w:tc>
      </w:tr>
    </w:tbl>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i/>
          <w:iCs/>
          <w:sz w:val="28"/>
          <w:szCs w:val="28"/>
        </w:rPr>
        <w:t>*</w:t>
      </w:r>
      <w:r>
        <w:rPr>
          <w:rFonts w:ascii="Times New Roman" w:eastAsia="Times New Roman" w:hAnsi="Times New Roman" w:cs="Times New Roman"/>
          <w:b/>
          <w:bCs/>
        </w:rPr>
        <w:t xml:space="preserve"> </w:t>
      </w:r>
      <w:r>
        <w:rPr>
          <w:rFonts w:ascii="Times New Roman" w:eastAsia="Times New Roman" w:hAnsi="Times New Roman" w:cs="Times New Roman"/>
        </w:rPr>
        <w:t>Державна служба статистики України. Середньомісячна заробітна плата за видами економічної діяльності за період з початку року. Кодекс законів про працю України (стаття 50).</w:t>
      </w:r>
    </w:p>
    <w:p w:rsidR="00EF7D49" w:rsidRDefault="00EF7D49">
      <w:pPr>
        <w:spacing w:after="0" w:line="240" w:lineRule="auto"/>
        <w:ind w:firstLine="540"/>
        <w:jc w:val="center"/>
        <w:rPr>
          <w:rFonts w:ascii="Times New Roman" w:eastAsia="Times New Roman" w:hAnsi="Times New Roman" w:cs="Times New Roman"/>
          <w:i/>
          <w:iCs/>
          <w:sz w:val="28"/>
          <w:szCs w:val="28"/>
        </w:rPr>
      </w:pPr>
    </w:p>
    <w:p w:rsidR="00EF7D49" w:rsidRDefault="009E4D0B">
      <w:pPr>
        <w:spacing w:after="0" w:line="240" w:lineRule="auto"/>
        <w:ind w:firstLine="540"/>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Оцінка впливу на сферу інтересів громадян</w:t>
      </w:r>
    </w:p>
    <w:tbl>
      <w:tblPr>
        <w:tblStyle w:val="affc"/>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3544"/>
        <w:gridCol w:w="3714"/>
      </w:tblGrid>
      <w:tr w:rsidR="00EF7D49">
        <w:tc>
          <w:tcPr>
            <w:tcW w:w="2376" w:type="dxa"/>
          </w:tcPr>
          <w:p w:rsidR="00EF7D49" w:rsidRDefault="009E4D0B">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Вид альтернативи</w:t>
            </w:r>
          </w:p>
        </w:tc>
        <w:tc>
          <w:tcPr>
            <w:tcW w:w="3544" w:type="dxa"/>
          </w:tcPr>
          <w:p w:rsidR="00EF7D49" w:rsidRDefault="009E4D0B">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Вигоди</w:t>
            </w:r>
          </w:p>
        </w:tc>
        <w:tc>
          <w:tcPr>
            <w:tcW w:w="3714" w:type="dxa"/>
          </w:tcPr>
          <w:p w:rsidR="00EF7D49" w:rsidRDefault="009E4D0B">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Витрати</w:t>
            </w:r>
          </w:p>
        </w:tc>
      </w:tr>
      <w:tr w:rsidR="00EF7D49">
        <w:trPr>
          <w:trHeight w:val="558"/>
        </w:trPr>
        <w:tc>
          <w:tcPr>
            <w:tcW w:w="2376"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Альтернатива 1</w:t>
            </w:r>
          </w:p>
          <w:p w:rsidR="00EF7D49" w:rsidRDefault="00EF7D49">
            <w:pPr>
              <w:spacing w:after="0" w:line="240" w:lineRule="auto"/>
              <w:jc w:val="both"/>
              <w:rPr>
                <w:rFonts w:ascii="Times New Roman" w:eastAsia="Times New Roman" w:hAnsi="Times New Roman" w:cs="Times New Roman"/>
              </w:rPr>
            </w:pPr>
          </w:p>
        </w:tc>
        <w:tc>
          <w:tcPr>
            <w:tcW w:w="3544"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Вигоди відсутні. </w:t>
            </w:r>
          </w:p>
          <w:p w:rsidR="00EF7D49" w:rsidRDefault="009E4D0B">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Здобувачі освіти позбавлені можливості навчатися за сучасними програмами, орієнтованими на ринок праці, отримувати повні та/або часткові професійні кваліфікації.</w:t>
            </w:r>
          </w:p>
        </w:tc>
        <w:tc>
          <w:tcPr>
            <w:tcW w:w="3714" w:type="dxa"/>
          </w:tcPr>
          <w:p w:rsidR="00EF7D49" w:rsidRDefault="009E4D0B">
            <w:pPr>
              <w:widowControl w:val="0"/>
              <w:pBdr>
                <w:top w:val="nil"/>
                <w:left w:val="nil"/>
                <w:bottom w:val="nil"/>
                <w:right w:val="nil"/>
                <w:between w:val="nil"/>
              </w:pBdr>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Здобувачі не мають можливості здобувати “спеціаліста” за гнучкими освітніми траєкторіями, що знижує їхню конкурентоспроможність на ринку праці, переносити або визнавати/зараховувати свої набуті результати навчання в інші освітні програми. </w:t>
            </w:r>
          </w:p>
        </w:tc>
      </w:tr>
      <w:tr w:rsidR="00EF7D49">
        <w:tc>
          <w:tcPr>
            <w:tcW w:w="2376"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Альтернатива 2</w:t>
            </w:r>
          </w:p>
        </w:tc>
        <w:tc>
          <w:tcPr>
            <w:tcW w:w="3544"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Підвищення якості освіти та конкурентоспроможності здобувачів освіти.</w:t>
            </w: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Можливість визнання результатів неформальної та інформальної освіти. Гнучкі освітні траєкторії. Зростання шансів на працевлаштування та мобільності на ринку праці, отримання часткових пр</w:t>
            </w:r>
            <w:r>
              <w:rPr>
                <w:rFonts w:ascii="Times New Roman" w:eastAsia="Times New Roman" w:hAnsi="Times New Roman" w:cs="Times New Roman"/>
              </w:rPr>
              <w:t>офесійних кваліфікації за рахунок вибіркових освітніх компонентів освітньої програми.</w:t>
            </w:r>
          </w:p>
        </w:tc>
        <w:tc>
          <w:tcPr>
            <w:tcW w:w="3714" w:type="dxa"/>
          </w:tcPr>
          <w:p w:rsidR="00EF7D49" w:rsidRDefault="009E4D0B">
            <w:pPr>
              <w:widowControl w:val="0"/>
              <w:tabs>
                <w:tab w:val="left" w:pos="1819"/>
                <w:tab w:val="left" w:pos="311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Здобувачі мають можливість: здобувати “спеціаліста” за гнучкими освітніми траєкторіями, що підвищує їхню конкурентоспроможність на ринку праці; переносити або визнавати/зараховувати та накопичувати свої набуті результати навчання в інші освітні програми;</w:t>
            </w:r>
          </w:p>
          <w:p w:rsidR="00EF7D49" w:rsidRDefault="009E4D0B">
            <w:pPr>
              <w:tabs>
                <w:tab w:val="left" w:pos="1819"/>
                <w:tab w:val="left" w:pos="311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з</w:t>
            </w:r>
            <w:r>
              <w:rPr>
                <w:rFonts w:ascii="Times New Roman" w:eastAsia="Times New Roman" w:hAnsi="Times New Roman" w:cs="Times New Roman"/>
              </w:rPr>
              <w:t>добувати додаткові часткові професійні кваліфікації за рахунок вибіркових освітніх компонентів освітньої програми.</w:t>
            </w:r>
          </w:p>
        </w:tc>
      </w:tr>
    </w:tbl>
    <w:p w:rsidR="00EF7D49" w:rsidRDefault="00EF7D49">
      <w:pPr>
        <w:spacing w:after="0" w:line="240" w:lineRule="auto"/>
        <w:jc w:val="center"/>
        <w:rPr>
          <w:rFonts w:ascii="Times New Roman" w:eastAsia="Times New Roman" w:hAnsi="Times New Roman" w:cs="Times New Roman"/>
          <w:i/>
          <w:iCs/>
        </w:rPr>
      </w:pPr>
    </w:p>
    <w:p w:rsidR="004F2967" w:rsidRDefault="004F2967">
      <w:pPr>
        <w:spacing w:after="0" w:line="240" w:lineRule="auto"/>
        <w:jc w:val="center"/>
        <w:rPr>
          <w:rFonts w:ascii="Times New Roman" w:eastAsia="Times New Roman" w:hAnsi="Times New Roman" w:cs="Times New Roman"/>
          <w:i/>
          <w:iCs/>
          <w:sz w:val="28"/>
          <w:szCs w:val="28"/>
        </w:rPr>
      </w:pPr>
    </w:p>
    <w:p w:rsidR="004F2967" w:rsidRDefault="004F2967">
      <w:pPr>
        <w:spacing w:after="0" w:line="240" w:lineRule="auto"/>
        <w:jc w:val="center"/>
        <w:rPr>
          <w:rFonts w:ascii="Times New Roman" w:eastAsia="Times New Roman" w:hAnsi="Times New Roman" w:cs="Times New Roman"/>
          <w:i/>
          <w:iCs/>
          <w:sz w:val="28"/>
          <w:szCs w:val="28"/>
        </w:rPr>
      </w:pPr>
    </w:p>
    <w:p w:rsidR="00EF7D49" w:rsidRDefault="009E4D0B">
      <w:pPr>
        <w:spacing w:after="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Оцінка впливу на сферу інтересів суб’єктів господарювання</w:t>
      </w:r>
    </w:p>
    <w:p w:rsidR="00EF7D49" w:rsidRDefault="009E4D0B">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ролі суб’єктів господарювання, на яких створює вплив проєкт акта, виступають 64</w:t>
      </w:r>
      <w:r>
        <w:rPr>
          <w:rFonts w:ascii="Times New Roman" w:eastAsia="Times New Roman" w:hAnsi="Times New Roman" w:cs="Times New Roman"/>
          <w:sz w:val="28"/>
          <w:szCs w:val="28"/>
        </w:rPr>
        <w:t>0 закладів професійної освіти (за статистичними даними станом на грудень 2025 року).</w:t>
      </w:r>
    </w:p>
    <w:tbl>
      <w:tblPr>
        <w:tblStyle w:val="affd"/>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2"/>
        <w:gridCol w:w="1103"/>
        <w:gridCol w:w="1119"/>
        <w:gridCol w:w="1075"/>
        <w:gridCol w:w="1094"/>
        <w:gridCol w:w="1181"/>
      </w:tblGrid>
      <w:tr w:rsidR="00EF7D49">
        <w:tc>
          <w:tcPr>
            <w:tcW w:w="3772"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Показник</w:t>
            </w:r>
          </w:p>
        </w:tc>
        <w:tc>
          <w:tcPr>
            <w:tcW w:w="1103"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Великі</w:t>
            </w:r>
          </w:p>
        </w:tc>
        <w:tc>
          <w:tcPr>
            <w:tcW w:w="111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Середні</w:t>
            </w:r>
          </w:p>
        </w:tc>
        <w:tc>
          <w:tcPr>
            <w:tcW w:w="107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Малі</w:t>
            </w:r>
          </w:p>
        </w:tc>
        <w:tc>
          <w:tcPr>
            <w:tcW w:w="109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Мікро</w:t>
            </w:r>
          </w:p>
        </w:tc>
        <w:tc>
          <w:tcPr>
            <w:tcW w:w="1181"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Разом</w:t>
            </w:r>
          </w:p>
        </w:tc>
      </w:tr>
      <w:tr w:rsidR="00EF7D49">
        <w:tc>
          <w:tcPr>
            <w:tcW w:w="3772"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Кількість суб’єктів господарювання, що підпадають під дію регулювання, одиниць</w:t>
            </w:r>
          </w:p>
        </w:tc>
        <w:tc>
          <w:tcPr>
            <w:tcW w:w="1103" w:type="dxa"/>
          </w:tcPr>
          <w:p w:rsidR="00EF7D49" w:rsidRDefault="00EF7D49">
            <w:pPr>
              <w:spacing w:after="0" w:line="240" w:lineRule="auto"/>
              <w:jc w:val="center"/>
              <w:rPr>
                <w:rFonts w:ascii="Times New Roman" w:eastAsia="Times New Roman" w:hAnsi="Times New Roman" w:cs="Times New Roman"/>
              </w:rPr>
            </w:pPr>
          </w:p>
        </w:tc>
        <w:tc>
          <w:tcPr>
            <w:tcW w:w="1119" w:type="dxa"/>
          </w:tcPr>
          <w:p w:rsidR="00EF7D49" w:rsidRDefault="00EF7D49">
            <w:pPr>
              <w:spacing w:after="0" w:line="240" w:lineRule="auto"/>
              <w:jc w:val="center"/>
              <w:rPr>
                <w:rFonts w:ascii="Times New Roman" w:eastAsia="Times New Roman" w:hAnsi="Times New Roman" w:cs="Times New Roman"/>
              </w:rPr>
            </w:pPr>
          </w:p>
        </w:tc>
        <w:tc>
          <w:tcPr>
            <w:tcW w:w="107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c>
          <w:tcPr>
            <w:tcW w:w="1094" w:type="dxa"/>
          </w:tcPr>
          <w:p w:rsidR="00EF7D49" w:rsidRDefault="00EF7D49">
            <w:pPr>
              <w:spacing w:after="0" w:line="240" w:lineRule="auto"/>
              <w:jc w:val="center"/>
              <w:rPr>
                <w:rFonts w:ascii="Times New Roman" w:eastAsia="Times New Roman" w:hAnsi="Times New Roman" w:cs="Times New Roman"/>
              </w:rPr>
            </w:pPr>
          </w:p>
        </w:tc>
        <w:tc>
          <w:tcPr>
            <w:tcW w:w="1181"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r>
      <w:tr w:rsidR="00EF7D49">
        <w:tc>
          <w:tcPr>
            <w:tcW w:w="3772"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Питома вага групи у загальній кількості, відсотків</w:t>
            </w:r>
          </w:p>
        </w:tc>
        <w:tc>
          <w:tcPr>
            <w:tcW w:w="1103" w:type="dxa"/>
          </w:tcPr>
          <w:p w:rsidR="00EF7D49" w:rsidRDefault="00EF7D49">
            <w:pPr>
              <w:spacing w:after="0" w:line="240" w:lineRule="auto"/>
              <w:jc w:val="center"/>
              <w:rPr>
                <w:rFonts w:ascii="Times New Roman" w:eastAsia="Times New Roman" w:hAnsi="Times New Roman" w:cs="Times New Roman"/>
              </w:rPr>
            </w:pPr>
          </w:p>
        </w:tc>
        <w:tc>
          <w:tcPr>
            <w:tcW w:w="1119" w:type="dxa"/>
          </w:tcPr>
          <w:p w:rsidR="00EF7D49" w:rsidRDefault="00EF7D49">
            <w:pPr>
              <w:spacing w:after="0" w:line="240" w:lineRule="auto"/>
              <w:jc w:val="center"/>
              <w:rPr>
                <w:rFonts w:ascii="Times New Roman" w:eastAsia="Times New Roman" w:hAnsi="Times New Roman" w:cs="Times New Roman"/>
              </w:rPr>
            </w:pPr>
          </w:p>
        </w:tc>
        <w:tc>
          <w:tcPr>
            <w:tcW w:w="107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1094" w:type="dxa"/>
          </w:tcPr>
          <w:p w:rsidR="00EF7D49" w:rsidRDefault="00EF7D49">
            <w:pPr>
              <w:spacing w:after="0" w:line="240" w:lineRule="auto"/>
              <w:jc w:val="center"/>
              <w:rPr>
                <w:rFonts w:ascii="Times New Roman" w:eastAsia="Times New Roman" w:hAnsi="Times New Roman" w:cs="Times New Roman"/>
              </w:rPr>
            </w:pPr>
          </w:p>
        </w:tc>
        <w:tc>
          <w:tcPr>
            <w:tcW w:w="1181"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r>
    </w:tbl>
    <w:p w:rsidR="00EF7D49" w:rsidRDefault="00EF7D49">
      <w:pPr>
        <w:spacing w:after="0" w:line="240" w:lineRule="auto"/>
        <w:rPr>
          <w:rFonts w:ascii="Times New Roman" w:eastAsia="Times New Roman" w:hAnsi="Times New Roman" w:cs="Times New Roman"/>
        </w:rPr>
      </w:pPr>
    </w:p>
    <w:tbl>
      <w:tblPr>
        <w:tblStyle w:val="aff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3770"/>
        <w:gridCol w:w="3913"/>
      </w:tblGrid>
      <w:tr w:rsidR="00EF7D49">
        <w:trPr>
          <w:trHeight w:val="476"/>
        </w:trPr>
        <w:tc>
          <w:tcPr>
            <w:tcW w:w="1951" w:type="dxa"/>
          </w:tcPr>
          <w:p w:rsidR="00EF7D49" w:rsidRDefault="009E4D0B">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Вид альтернативи</w:t>
            </w:r>
          </w:p>
        </w:tc>
        <w:tc>
          <w:tcPr>
            <w:tcW w:w="3770" w:type="dxa"/>
          </w:tcPr>
          <w:p w:rsidR="00EF7D49" w:rsidRDefault="009E4D0B">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Вигоди</w:t>
            </w:r>
          </w:p>
        </w:tc>
        <w:tc>
          <w:tcPr>
            <w:tcW w:w="3913" w:type="dxa"/>
          </w:tcPr>
          <w:p w:rsidR="00EF7D49" w:rsidRDefault="009E4D0B">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Витрати</w:t>
            </w:r>
          </w:p>
        </w:tc>
      </w:tr>
      <w:tr w:rsidR="00EF7D49">
        <w:trPr>
          <w:trHeight w:val="414"/>
        </w:trPr>
        <w:tc>
          <w:tcPr>
            <w:tcW w:w="1951"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Альтернатива 1</w:t>
            </w:r>
          </w:p>
        </w:tc>
        <w:tc>
          <w:tcPr>
            <w:tcW w:w="3770" w:type="dxa"/>
            <w:tcBorders>
              <w:bottom w:val="single" w:sz="4" w:space="0" w:color="000000"/>
            </w:tcBorders>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Вигоди відсутні, оскільки чинні норми не забезпечують практичного регуляторного ефекту.</w:t>
            </w: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Суб’єкти господарювання (зокрема, заклади професійної освіти) продовжують працювати в застарілому правовому полі, що ускладнює розроблення сучасних освітніх програм.</w:t>
            </w:r>
          </w:p>
        </w:tc>
        <w:tc>
          <w:tcPr>
            <w:tcW w:w="3913" w:type="dxa"/>
            <w:tcBorders>
              <w:bottom w:val="single" w:sz="4" w:space="0" w:color="000000"/>
            </w:tcBorders>
          </w:tcPr>
          <w:p w:rsidR="00EF7D49" w:rsidRDefault="009E4D0B">
            <w:pPr>
              <w:widowControl w:val="0"/>
              <w:pBdr>
                <w:top w:val="nil"/>
                <w:left w:val="nil"/>
                <w:bottom w:val="nil"/>
                <w:right w:val="nil"/>
                <w:between w:val="nil"/>
              </w:pBdr>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Надання роз’яснень закладами професійної освіти щодо застосування застарілого стандарту.</w:t>
            </w:r>
          </w:p>
          <w:p w:rsidR="00EF7D49" w:rsidRDefault="009E4D0B">
            <w:pPr>
              <w:widowControl w:val="0"/>
              <w:pBdr>
                <w:top w:val="nil"/>
                <w:left w:val="nil"/>
                <w:bottom w:val="nil"/>
                <w:right w:val="nil"/>
                <w:between w:val="nil"/>
              </w:pBdr>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П</w:t>
            </w:r>
            <w:r>
              <w:rPr>
                <w:rFonts w:ascii="Times New Roman" w:eastAsia="Times New Roman" w:hAnsi="Times New Roman" w:cs="Times New Roman"/>
              </w:rPr>
              <w:t xml:space="preserve">ередбачається, що кількість звернень до закладів професійної освіти складе сумарно до 2000 протягом наступних двох років. Надання роз'яснень: </w:t>
            </w:r>
          </w:p>
          <w:p w:rsidR="00EF7D49" w:rsidRDefault="009E4D0B">
            <w:pPr>
              <w:widowControl w:val="0"/>
              <w:pBdr>
                <w:top w:val="nil"/>
                <w:left w:val="nil"/>
                <w:bottom w:val="nil"/>
                <w:right w:val="nil"/>
                <w:between w:val="nil"/>
              </w:pBdr>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до 2 000 год. × 105,63 грн* = 211 260,00 грн</w:t>
            </w:r>
          </w:p>
          <w:p w:rsidR="00EF7D49" w:rsidRDefault="009E4D0B">
            <w:pPr>
              <w:spacing w:after="0" w:line="240" w:lineRule="auto"/>
              <w:ind w:firstLine="264"/>
              <w:jc w:val="both"/>
              <w:rPr>
                <w:rFonts w:ascii="Times New Roman" w:eastAsia="Times New Roman" w:hAnsi="Times New Roman" w:cs="Times New Roman"/>
              </w:rPr>
            </w:pPr>
            <w:r>
              <w:rPr>
                <w:rFonts w:ascii="Times New Roman" w:eastAsia="Times New Roman" w:hAnsi="Times New Roman" w:cs="Times New Roman"/>
              </w:rPr>
              <w:t>Усього: 211 260,00 грн</w:t>
            </w:r>
          </w:p>
        </w:tc>
      </w:tr>
      <w:tr w:rsidR="00EF7D49">
        <w:tc>
          <w:tcPr>
            <w:tcW w:w="1951"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Альтернатива 2</w:t>
            </w:r>
          </w:p>
        </w:tc>
        <w:tc>
          <w:tcPr>
            <w:tcW w:w="3770"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Чітка нормативна основа для розроблення освітніх програм “спеціаліст”. Можливість гнучкого формування програм залежно від потреб ринку праці. Правова основа для визнання неформальної освіти.</w:t>
            </w:r>
          </w:p>
        </w:tc>
        <w:tc>
          <w:tcPr>
            <w:tcW w:w="3913"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Одноразові витрати на отримання первинної інформації (ознайомленн</w:t>
            </w:r>
            <w:r>
              <w:rPr>
                <w:rFonts w:ascii="Times New Roman" w:eastAsia="Times New Roman" w:hAnsi="Times New Roman" w:cs="Times New Roman"/>
              </w:rPr>
              <w:t xml:space="preserve">я з вимогами нового Стандарту): </w:t>
            </w: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год × 105,63 грн/год × 640 закладів = 67 603,20 грн</w:t>
            </w: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Реалізація у межах наявного ресурсного забезпечення.</w:t>
            </w:r>
          </w:p>
        </w:tc>
      </w:tr>
    </w:tbl>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i/>
          <w:iCs/>
          <w:sz w:val="28"/>
          <w:szCs w:val="28"/>
        </w:rPr>
        <w:t>*</w:t>
      </w:r>
      <w:r>
        <w:rPr>
          <w:rFonts w:ascii="Times New Roman" w:eastAsia="Times New Roman" w:hAnsi="Times New Roman" w:cs="Times New Roman"/>
          <w:b/>
          <w:bCs/>
        </w:rPr>
        <w:t xml:space="preserve"> </w:t>
      </w:r>
      <w:r>
        <w:rPr>
          <w:rFonts w:ascii="Times New Roman" w:eastAsia="Times New Roman" w:hAnsi="Times New Roman" w:cs="Times New Roman"/>
        </w:rPr>
        <w:t xml:space="preserve">Державна служба статистики України. Середньомісячна заробітна плата за видами економічної діяльності за період з </w:t>
      </w:r>
      <w:r>
        <w:rPr>
          <w:rFonts w:ascii="Times New Roman" w:eastAsia="Times New Roman" w:hAnsi="Times New Roman" w:cs="Times New Roman"/>
        </w:rPr>
        <w:t>початку року (</w:t>
      </w:r>
      <w:hyperlink r:id="rId7">
        <w:r>
          <w:rPr>
            <w:rFonts w:ascii="Times New Roman" w:eastAsia="Times New Roman" w:hAnsi="Times New Roman" w:cs="Times New Roman"/>
            <w:color w:val="1155CC"/>
            <w:u w:val="single"/>
          </w:rPr>
          <w:t>https://www.ukrstat.gov.ua/operativ/operativ2005/gdn/Zarp_ek_m/Zp_ek_m_u/arh_zpm_u.html</w:t>
        </w:r>
      </w:hyperlink>
      <w:r>
        <w:rPr>
          <w:rFonts w:ascii="Times New Roman" w:eastAsia="Times New Roman" w:hAnsi="Times New Roman" w:cs="Times New Roman"/>
        </w:rPr>
        <w:t>)   Кодекс законів про працю України (стаття 50)</w:t>
      </w:r>
      <w:r>
        <w:rPr>
          <w:rFonts w:ascii="Times New Roman" w:eastAsia="Times New Roman" w:hAnsi="Times New Roman" w:cs="Times New Roman"/>
        </w:rPr>
        <w:t>.</w:t>
      </w:r>
    </w:p>
    <w:p w:rsidR="00EF7D49" w:rsidRDefault="00EF7D49">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p>
    <w:p w:rsidR="00EF7D49" w:rsidRDefault="009E4D0B">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які будуть виникати внаслідок дії регуляторного акта на сферу інтересів суб’єктів господарювання великого, середнього та малого підприємництва.</w:t>
      </w:r>
    </w:p>
    <w:p w:rsidR="00EF7D49" w:rsidRDefault="00EF7D49">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p>
    <w:tbl>
      <w:tblPr>
        <w:tblStyle w:val="afff"/>
        <w:tblW w:w="956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4"/>
        <w:gridCol w:w="3600"/>
      </w:tblGrid>
      <w:tr w:rsidR="00EF7D49">
        <w:tc>
          <w:tcPr>
            <w:tcW w:w="5964"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b/>
                <w:bCs/>
              </w:rPr>
              <w:t>Сумарні витрати за альтернативами</w:t>
            </w:r>
          </w:p>
        </w:tc>
        <w:tc>
          <w:tcPr>
            <w:tcW w:w="360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b/>
                <w:bCs/>
              </w:rPr>
              <w:t>Сума витрат, гривень</w:t>
            </w:r>
          </w:p>
        </w:tc>
      </w:tr>
      <w:tr w:rsidR="00EF7D49">
        <w:tc>
          <w:tcPr>
            <w:tcW w:w="596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Альтернатива 1. Сумарні витрати для закладів ПО</w:t>
            </w:r>
          </w:p>
        </w:tc>
        <w:tc>
          <w:tcPr>
            <w:tcW w:w="3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211 260,00</w:t>
            </w:r>
          </w:p>
        </w:tc>
      </w:tr>
      <w:tr w:rsidR="00EF7D49">
        <w:tc>
          <w:tcPr>
            <w:tcW w:w="5964" w:type="dxa"/>
            <w:tcBorders>
              <w:top w:val="single" w:sz="4" w:space="0" w:color="000000"/>
              <w:left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Альтернатива 2. Витрати на ознайомлення (перший рік)</w:t>
            </w:r>
          </w:p>
        </w:tc>
        <w:tc>
          <w:tcPr>
            <w:tcW w:w="3600" w:type="dxa"/>
            <w:tcBorders>
              <w:top w:val="single" w:sz="4" w:space="0" w:color="000000"/>
              <w:left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67 603,20</w:t>
            </w:r>
          </w:p>
        </w:tc>
      </w:tr>
    </w:tbl>
    <w:p w:rsidR="00EF7D49" w:rsidRDefault="00EF7D49">
      <w:pPr>
        <w:spacing w:after="0" w:line="240" w:lineRule="auto"/>
        <w:ind w:firstLine="709"/>
        <w:jc w:val="center"/>
        <w:rPr>
          <w:rFonts w:ascii="Times New Roman" w:eastAsia="Times New Roman" w:hAnsi="Times New Roman" w:cs="Times New Roman"/>
          <w:b/>
          <w:bCs/>
          <w:sz w:val="28"/>
          <w:szCs w:val="28"/>
        </w:rPr>
      </w:pPr>
    </w:p>
    <w:p w:rsidR="00EF7D49" w:rsidRDefault="00EF7D49">
      <w:pPr>
        <w:spacing w:after="0" w:line="240" w:lineRule="auto"/>
        <w:ind w:firstLine="709"/>
        <w:jc w:val="center"/>
        <w:rPr>
          <w:rFonts w:ascii="Times New Roman" w:eastAsia="Times New Roman" w:hAnsi="Times New Roman" w:cs="Times New Roman"/>
          <w:b/>
          <w:bCs/>
          <w:sz w:val="28"/>
          <w:szCs w:val="28"/>
        </w:rPr>
      </w:pPr>
    </w:p>
    <w:p w:rsidR="00EF7D49" w:rsidRDefault="009E4D0B">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IV. Вибір найбільш оптимального альтернативного способу</w:t>
      </w:r>
    </w:p>
    <w:p w:rsidR="00EF7D49" w:rsidRDefault="009E4D0B">
      <w:pPr>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досягнення цілей</w:t>
      </w:r>
    </w:p>
    <w:p w:rsidR="00EF7D49" w:rsidRDefault="009E4D0B">
      <w:pPr>
        <w:pBdr>
          <w:top w:val="nil"/>
          <w:left w:val="nil"/>
          <w:bottom w:val="nil"/>
          <w:right w:val="nil"/>
          <w:between w:val="nil"/>
        </w:pBdr>
        <w:spacing w:after="0" w:line="240" w:lineRule="auto"/>
        <w:ind w:firstLine="5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Здійснити вибір оптимального альтернативного способу з урахуванням системи бальної оцінки ступеня досягнення визначених цілей.</w:t>
      </w:r>
    </w:p>
    <w:p w:rsidR="00EF7D49" w:rsidRDefault="009E4D0B">
      <w:pPr>
        <w:pBdr>
          <w:top w:val="nil"/>
          <w:left w:val="nil"/>
          <w:bottom w:val="nil"/>
          <w:right w:val="nil"/>
          <w:between w:val="nil"/>
        </w:pBdr>
        <w:spacing w:after="0" w:line="240" w:lineRule="auto"/>
        <w:ind w:firstLine="5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Вартість балів визначається за чотирибальною системою оцінки ступеня досягнення визначених цілей, де:</w:t>
      </w:r>
    </w:p>
    <w:p w:rsidR="00EF7D49" w:rsidRDefault="009E4D0B">
      <w:pPr>
        <w:pBdr>
          <w:top w:val="nil"/>
          <w:left w:val="nil"/>
          <w:bottom w:val="nil"/>
          <w:right w:val="nil"/>
          <w:between w:val="nil"/>
        </w:pBdr>
        <w:spacing w:after="0" w:line="240" w:lineRule="auto"/>
        <w:ind w:firstLine="5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 цілі прийняття регулято</w:t>
      </w:r>
      <w:r>
        <w:rPr>
          <w:rFonts w:ascii="Times New Roman" w:eastAsia="Times New Roman" w:hAnsi="Times New Roman" w:cs="Times New Roman"/>
          <w:sz w:val="28"/>
          <w:szCs w:val="28"/>
        </w:rPr>
        <w:t>рного акта, які можуть бути досягнуті повною мірою (проблема буде повністю усунута);</w:t>
      </w:r>
    </w:p>
    <w:p w:rsidR="00EF7D49" w:rsidRDefault="009E4D0B">
      <w:pPr>
        <w:pBdr>
          <w:top w:val="nil"/>
          <w:left w:val="nil"/>
          <w:bottom w:val="nil"/>
          <w:right w:val="nil"/>
          <w:between w:val="nil"/>
        </w:pBdr>
        <w:spacing w:after="0" w:line="240" w:lineRule="auto"/>
        <w:ind w:firstLine="5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 цілі прийняття регуляторного акта, які можуть бути досягнуті майже повною мірою (всі важливі аспекти проблеми будуть повністю усунуті);</w:t>
      </w:r>
    </w:p>
    <w:p w:rsidR="00EF7D49" w:rsidRDefault="009E4D0B">
      <w:pPr>
        <w:pBdr>
          <w:top w:val="nil"/>
          <w:left w:val="nil"/>
          <w:bottom w:val="nil"/>
          <w:right w:val="nil"/>
          <w:between w:val="nil"/>
        </w:pBdr>
        <w:spacing w:after="0" w:line="240" w:lineRule="auto"/>
        <w:ind w:firstLine="5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EF7D49" w:rsidRDefault="009E4D0B">
      <w:pPr>
        <w:pBdr>
          <w:top w:val="nil"/>
          <w:left w:val="nil"/>
          <w:bottom w:val="nil"/>
          <w:right w:val="nil"/>
          <w:between w:val="nil"/>
        </w:pBdr>
        <w:spacing w:after="0" w:line="240" w:lineRule="auto"/>
        <w:ind w:firstLine="5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 цілі прийняття регуляторного акта, які не можуть бути досягнуті (проблема продов</w:t>
      </w:r>
      <w:r>
        <w:rPr>
          <w:rFonts w:ascii="Times New Roman" w:eastAsia="Times New Roman" w:hAnsi="Times New Roman" w:cs="Times New Roman"/>
          <w:sz w:val="28"/>
          <w:szCs w:val="28"/>
        </w:rPr>
        <w:t>жує існувати).</w:t>
      </w:r>
    </w:p>
    <w:p w:rsidR="00EF7D49" w:rsidRDefault="00EF7D49">
      <w:pPr>
        <w:pBdr>
          <w:top w:val="nil"/>
          <w:left w:val="nil"/>
          <w:bottom w:val="nil"/>
          <w:right w:val="nil"/>
          <w:between w:val="nil"/>
        </w:pBdr>
        <w:spacing w:after="0" w:line="240" w:lineRule="auto"/>
        <w:ind w:firstLine="580"/>
        <w:jc w:val="both"/>
        <w:rPr>
          <w:rFonts w:ascii="Times New Roman" w:eastAsia="Times New Roman" w:hAnsi="Times New Roman" w:cs="Times New Roman"/>
          <w:sz w:val="28"/>
          <w:szCs w:val="28"/>
        </w:rPr>
      </w:pPr>
    </w:p>
    <w:tbl>
      <w:tblPr>
        <w:tblStyle w:val="afff0"/>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4"/>
        <w:gridCol w:w="2216"/>
        <w:gridCol w:w="4574"/>
      </w:tblGrid>
      <w:tr w:rsidR="00EF7D49">
        <w:tc>
          <w:tcPr>
            <w:tcW w:w="2554" w:type="dxa"/>
            <w:vAlign w:val="cente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Рейтинг результативності (досягнення цілей під час вирішення проблеми)</w:t>
            </w:r>
          </w:p>
        </w:tc>
        <w:tc>
          <w:tcPr>
            <w:tcW w:w="2216" w:type="dxa"/>
            <w:vAlign w:val="center"/>
          </w:tcPr>
          <w:p w:rsidR="00EF7D49" w:rsidRDefault="009E4D0B">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rPr>
              <w:t>Бал результативності (за чотирибальною системою оцінки)</w:t>
            </w:r>
          </w:p>
        </w:tc>
        <w:tc>
          <w:tcPr>
            <w:tcW w:w="4574" w:type="dxa"/>
            <w:vAlign w:val="cente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Коментарі щодо присвоєння </w:t>
            </w:r>
          </w:p>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відповідного </w:t>
            </w:r>
            <w:proofErr w:type="spellStart"/>
            <w:r>
              <w:rPr>
                <w:rFonts w:ascii="Times New Roman" w:eastAsia="Times New Roman" w:hAnsi="Times New Roman" w:cs="Times New Roman"/>
              </w:rPr>
              <w:t>бала</w:t>
            </w:r>
            <w:proofErr w:type="spellEnd"/>
          </w:p>
          <w:p w:rsidR="00EF7D49" w:rsidRDefault="00EF7D49">
            <w:pPr>
              <w:spacing w:after="0" w:line="240" w:lineRule="auto"/>
              <w:jc w:val="center"/>
              <w:rPr>
                <w:rFonts w:ascii="Times New Roman" w:eastAsia="Times New Roman" w:hAnsi="Times New Roman" w:cs="Times New Roman"/>
              </w:rPr>
            </w:pPr>
          </w:p>
        </w:tc>
      </w:tr>
      <w:tr w:rsidR="00EF7D49">
        <w:tc>
          <w:tcPr>
            <w:tcW w:w="2554" w:type="dxa"/>
            <w:vAlign w:val="cente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Альтернатива 1</w:t>
            </w:r>
          </w:p>
        </w:tc>
        <w:tc>
          <w:tcPr>
            <w:tcW w:w="2216" w:type="dxa"/>
            <w:vAlign w:val="cente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574" w:type="dxa"/>
            <w:vAlign w:val="cente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Збереження чинного стандарту не відповідає вимогам Закону України “Про професійну освіту”. Цілі державного регулювання не можуть бути досягнуті. Проблема продовжує існувати.</w:t>
            </w:r>
          </w:p>
        </w:tc>
      </w:tr>
      <w:tr w:rsidR="00EF7D49">
        <w:tc>
          <w:tcPr>
            <w:tcW w:w="2554" w:type="dxa"/>
            <w:vAlign w:val="cente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Альтернатива 2</w:t>
            </w:r>
          </w:p>
        </w:tc>
        <w:tc>
          <w:tcPr>
            <w:tcW w:w="2216" w:type="dxa"/>
            <w:vAlign w:val="cente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574" w:type="dxa"/>
            <w:vAlign w:val="cente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Цілі державного регулювання будуть досягнуті повною мірою. Станд</w:t>
            </w:r>
            <w:r>
              <w:rPr>
                <w:rFonts w:ascii="Times New Roman" w:eastAsia="Times New Roman" w:hAnsi="Times New Roman" w:cs="Times New Roman"/>
              </w:rPr>
              <w:t>арт відповідає вимогам Закону, компетентнісному підходу та рекомендаціям ЄС.</w:t>
            </w:r>
          </w:p>
        </w:tc>
      </w:tr>
    </w:tbl>
    <w:p w:rsidR="00EF7D49" w:rsidRDefault="00EF7D49">
      <w:pPr>
        <w:pBdr>
          <w:top w:val="nil"/>
          <w:left w:val="nil"/>
          <w:bottom w:val="nil"/>
          <w:right w:val="nil"/>
          <w:between w:val="nil"/>
        </w:pBdr>
        <w:spacing w:after="0" w:line="240" w:lineRule="auto"/>
        <w:jc w:val="both"/>
        <w:rPr>
          <w:rFonts w:ascii="Times New Roman" w:eastAsia="Times New Roman" w:hAnsi="Times New Roman" w:cs="Times New Roman"/>
          <w:sz w:val="10"/>
          <w:szCs w:val="10"/>
        </w:rPr>
      </w:pPr>
    </w:p>
    <w:p w:rsidR="00EF7D49" w:rsidRDefault="00EF7D49">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tbl>
      <w:tblPr>
        <w:tblStyle w:val="afff1"/>
        <w:tblW w:w="9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2550"/>
        <w:gridCol w:w="2625"/>
        <w:gridCol w:w="2115"/>
      </w:tblGrid>
      <w:tr w:rsidR="00EF7D49">
        <w:tc>
          <w:tcPr>
            <w:tcW w:w="204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Рейтинг результативності</w:t>
            </w:r>
          </w:p>
        </w:tc>
        <w:tc>
          <w:tcPr>
            <w:tcW w:w="255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Вигоди (підсумок)</w:t>
            </w:r>
          </w:p>
        </w:tc>
        <w:tc>
          <w:tcPr>
            <w:tcW w:w="262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Витрати (підсумок)</w:t>
            </w:r>
          </w:p>
        </w:tc>
        <w:tc>
          <w:tcPr>
            <w:tcW w:w="211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Обґрунтування відповідного місця альтернативи у рейтингу</w:t>
            </w:r>
          </w:p>
        </w:tc>
      </w:tr>
      <w:tr w:rsidR="00EF7D49">
        <w:tc>
          <w:tcPr>
            <w:tcW w:w="204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Альтернатива 1</w:t>
            </w:r>
          </w:p>
        </w:tc>
        <w:tc>
          <w:tcPr>
            <w:tcW w:w="2550" w:type="dxa"/>
            <w:vAlign w:val="cente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Для держави:</w:t>
            </w:r>
            <w:r>
              <w:rPr>
                <w:rFonts w:ascii="Times New Roman" w:eastAsia="Times New Roman" w:hAnsi="Times New Roman" w:cs="Times New Roman"/>
              </w:rPr>
              <w:t xml:space="preserve">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Вигоди відсутні.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Для громадян:</w:t>
            </w:r>
            <w:r>
              <w:rPr>
                <w:rFonts w:ascii="Times New Roman" w:eastAsia="Times New Roman" w:hAnsi="Times New Roman" w:cs="Times New Roman"/>
              </w:rPr>
              <w:t xml:space="preserve">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Вигоди відсутні, здобувачі освіти отримують підготовку </w:t>
            </w:r>
            <w:r>
              <w:rPr>
                <w:rFonts w:ascii="Times New Roman" w:eastAsia="Times New Roman" w:hAnsi="Times New Roman" w:cs="Times New Roman"/>
              </w:rPr>
              <w:lastRenderedPageBreak/>
              <w:t xml:space="preserve">за застарілими вимогами.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Для суб'єктів господарювання:</w:t>
            </w:r>
            <w:r>
              <w:rPr>
                <w:rFonts w:ascii="Times New Roman" w:eastAsia="Times New Roman" w:hAnsi="Times New Roman" w:cs="Times New Roman"/>
              </w:rPr>
              <w:t xml:space="preserve"> вигоди відсутні.</w:t>
            </w:r>
          </w:p>
        </w:tc>
        <w:tc>
          <w:tcPr>
            <w:tcW w:w="2625" w:type="dxa"/>
            <w:vAlign w:val="cente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lastRenderedPageBreak/>
              <w:t>Для держави:</w:t>
            </w:r>
            <w:r>
              <w:rPr>
                <w:rFonts w:ascii="Times New Roman" w:eastAsia="Times New Roman" w:hAnsi="Times New Roman" w:cs="Times New Roman"/>
              </w:rPr>
              <w:t xml:space="preserve">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112 736 грн/рік на опрацювання звернень.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Для громадян:</w:t>
            </w:r>
            <w:r>
              <w:rPr>
                <w:rFonts w:ascii="Times New Roman" w:eastAsia="Times New Roman" w:hAnsi="Times New Roman" w:cs="Times New Roman"/>
              </w:rPr>
              <w:t xml:space="preserve">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Часові витрати на пошук роз’яснень. </w:t>
            </w:r>
          </w:p>
          <w:p w:rsidR="00EF7D49" w:rsidRDefault="009E4D0B">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Для суб’єктів господарювання: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211 260,00 грн на роз'яснення.</w:t>
            </w:r>
          </w:p>
        </w:tc>
        <w:tc>
          <w:tcPr>
            <w:tcW w:w="2115" w:type="dxa"/>
            <w:vAlign w:val="cente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Проблема продовжує існувати. Відсутні переваги.</w:t>
            </w:r>
          </w:p>
        </w:tc>
      </w:tr>
      <w:tr w:rsidR="00EF7D49">
        <w:tc>
          <w:tcPr>
            <w:tcW w:w="204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Альтернатива 2</w:t>
            </w:r>
          </w:p>
        </w:tc>
        <w:tc>
          <w:tcPr>
            <w:tcW w:w="2550" w:type="dxa"/>
          </w:tcPr>
          <w:p w:rsidR="00EF7D49" w:rsidRDefault="009E4D0B">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Для держави:</w:t>
            </w: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Виконання вимог Закону, чітка нормативна база.</w:t>
            </w:r>
          </w:p>
          <w:p w:rsidR="00EF7D49" w:rsidRDefault="009E4D0B">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Для громадян: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Якісна освіта, мобільність, працевлаштування. </w:t>
            </w:r>
            <w:r>
              <w:rPr>
                <w:rFonts w:ascii="Times New Roman" w:eastAsia="Times New Roman" w:hAnsi="Times New Roman" w:cs="Times New Roman"/>
                <w:u w:val="single"/>
              </w:rPr>
              <w:t>Для суб'є</w:t>
            </w:r>
            <w:r>
              <w:rPr>
                <w:rFonts w:ascii="Times New Roman" w:eastAsia="Times New Roman" w:hAnsi="Times New Roman" w:cs="Times New Roman"/>
                <w:u w:val="single"/>
              </w:rPr>
              <w:t xml:space="preserve">ктів господарювання: </w:t>
            </w: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Правова основа для сучасних освітніх програм.</w:t>
            </w:r>
          </w:p>
          <w:p w:rsidR="00EF7D49" w:rsidRDefault="00EF7D49">
            <w:pPr>
              <w:spacing w:after="0" w:line="240" w:lineRule="auto"/>
              <w:jc w:val="both"/>
              <w:rPr>
                <w:rFonts w:ascii="Times New Roman" w:eastAsia="Times New Roman" w:hAnsi="Times New Roman" w:cs="Times New Roman"/>
              </w:rPr>
            </w:pPr>
          </w:p>
        </w:tc>
        <w:tc>
          <w:tcPr>
            <w:tcW w:w="2625" w:type="dxa"/>
          </w:tcPr>
          <w:p w:rsidR="00EF7D49" w:rsidRDefault="009E4D0B">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Держава: 352,30 грн </w:t>
            </w:r>
          </w:p>
          <w:p w:rsidR="00EF7D49" w:rsidRDefault="009E4D0B">
            <w:pPr>
              <w:keepNext/>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rPr>
              <w:t>витрати на інформування закладів ПО (одна онлайн-нарада та одна публікація інформації на вебсайтах та сторінках соціальних мереж МОН)</w:t>
            </w:r>
          </w:p>
          <w:p w:rsidR="00EF7D49" w:rsidRDefault="009E4D0B">
            <w:pPr>
              <w:keepNext/>
              <w:keepLines/>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Громадяни: без витрат. СГ: 67 603,20 грн витрати на отримання первинної інформації (ознайомлення з вимогами нового Стандарту) </w:t>
            </w:r>
          </w:p>
        </w:tc>
        <w:tc>
          <w:tcPr>
            <w:tcW w:w="2115"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Цілі будуть досягнуті повною мірою. </w:t>
            </w: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Альтернатива 2 є найбільш обґрунтованою.</w:t>
            </w:r>
          </w:p>
          <w:p w:rsidR="00EF7D49" w:rsidRDefault="00EF7D49">
            <w:pPr>
              <w:spacing w:after="0" w:line="240" w:lineRule="auto"/>
              <w:jc w:val="both"/>
              <w:rPr>
                <w:rFonts w:ascii="Times New Roman" w:eastAsia="Times New Roman" w:hAnsi="Times New Roman" w:cs="Times New Roman"/>
              </w:rPr>
            </w:pPr>
          </w:p>
          <w:p w:rsidR="00EF7D49" w:rsidRDefault="00EF7D49">
            <w:pPr>
              <w:spacing w:after="0" w:line="240" w:lineRule="auto"/>
              <w:ind w:firstLine="248"/>
              <w:jc w:val="both"/>
              <w:rPr>
                <w:rFonts w:ascii="Times New Roman" w:eastAsia="Times New Roman" w:hAnsi="Times New Roman" w:cs="Times New Roman"/>
              </w:rPr>
            </w:pPr>
          </w:p>
        </w:tc>
      </w:tr>
    </w:tbl>
    <w:p w:rsidR="00EF7D49" w:rsidRDefault="00EF7D49">
      <w:pPr>
        <w:spacing w:after="0" w:line="240" w:lineRule="auto"/>
        <w:jc w:val="both"/>
        <w:rPr>
          <w:rFonts w:ascii="Times New Roman" w:eastAsia="Times New Roman" w:hAnsi="Times New Roman" w:cs="Times New Roman"/>
          <w:sz w:val="28"/>
          <w:szCs w:val="28"/>
        </w:rPr>
      </w:pPr>
    </w:p>
    <w:tbl>
      <w:tblPr>
        <w:tblStyle w:val="afff2"/>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0"/>
        <w:gridCol w:w="3654"/>
        <w:gridCol w:w="3840"/>
      </w:tblGrid>
      <w:tr w:rsidR="00EF7D49">
        <w:tc>
          <w:tcPr>
            <w:tcW w:w="185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Рейтинг</w:t>
            </w:r>
          </w:p>
        </w:tc>
        <w:tc>
          <w:tcPr>
            <w:tcW w:w="3654"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Аргументи щодо переваги обраної альтернативи / причини відмови від альтернативи</w:t>
            </w:r>
          </w:p>
        </w:tc>
        <w:tc>
          <w:tcPr>
            <w:tcW w:w="3840" w:type="dxa"/>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Оцінка ризику зовнішніх чинників на дію запропонованого регуляторного акта</w:t>
            </w:r>
          </w:p>
        </w:tc>
      </w:tr>
      <w:tr w:rsidR="00EF7D49">
        <w:tc>
          <w:tcPr>
            <w:tcW w:w="185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Альтернатива 1</w:t>
            </w:r>
          </w:p>
        </w:tc>
        <w:tc>
          <w:tcPr>
            <w:tcW w:w="3654" w:type="dxa"/>
            <w:vAlign w:val="cente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Відмова від прийняття акта не є можливою, оскільки збереження чинного стандарту супер</w:t>
            </w:r>
            <w:r>
              <w:rPr>
                <w:rFonts w:ascii="Times New Roman" w:eastAsia="Times New Roman" w:hAnsi="Times New Roman" w:cs="Times New Roman"/>
              </w:rPr>
              <w:t>ечить вимогам Закону України “Про професійну освіту”.</w:t>
            </w:r>
          </w:p>
        </w:tc>
        <w:tc>
          <w:tcPr>
            <w:tcW w:w="3840" w:type="dxa"/>
            <w:vAlign w:val="cente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Суттєвого впливу зовнішніх чинників на дію регуляторного акта не прогнозується.</w:t>
            </w:r>
          </w:p>
        </w:tc>
      </w:tr>
      <w:tr w:rsidR="00EF7D49">
        <w:tc>
          <w:tcPr>
            <w:tcW w:w="185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Альтернатива 2</w:t>
            </w:r>
          </w:p>
        </w:tc>
        <w:tc>
          <w:tcPr>
            <w:tcW w:w="3654" w:type="dxa"/>
            <w:vAlign w:val="cente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Прийняття проєкту акта є єдиним необхідним способом вирішення проблеми. Забезпечує реалізацію вимог Закону, запроваджує компетентнісний підхід та інтеграцію з ЄС.</w:t>
            </w:r>
          </w:p>
        </w:tc>
        <w:tc>
          <w:tcPr>
            <w:tcW w:w="3840" w:type="dxa"/>
            <w:vAlign w:val="cente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Ризики пов'язані із перехідним періодом реформи (1 вересня 2026 р.), проте вони мінімізуються</w:t>
            </w:r>
            <w:r>
              <w:rPr>
                <w:rFonts w:ascii="Times New Roman" w:eastAsia="Times New Roman" w:hAnsi="Times New Roman" w:cs="Times New Roman"/>
              </w:rPr>
              <w:t xml:space="preserve"> методичним супроводом МОН.</w:t>
            </w:r>
          </w:p>
        </w:tc>
      </w:tr>
    </w:tbl>
    <w:p w:rsidR="00EF7D49" w:rsidRDefault="00EF7D49">
      <w:pPr>
        <w:pBdr>
          <w:top w:val="nil"/>
          <w:left w:val="nil"/>
          <w:bottom w:val="nil"/>
          <w:right w:val="nil"/>
          <w:between w:val="nil"/>
        </w:pBdr>
        <w:spacing w:after="0" w:line="240" w:lineRule="auto"/>
        <w:ind w:firstLine="580"/>
        <w:jc w:val="both"/>
        <w:rPr>
          <w:rFonts w:ascii="Times New Roman" w:eastAsia="Times New Roman" w:hAnsi="Times New Roman" w:cs="Times New Roman"/>
          <w:sz w:val="28"/>
          <w:szCs w:val="28"/>
        </w:rPr>
      </w:pPr>
    </w:p>
    <w:p w:rsidR="00EF7D49" w:rsidRDefault="009E4D0B">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 Механізми та заходи, які забезпечать розв’язання визначеної проблеми</w:t>
      </w:r>
    </w:p>
    <w:p w:rsidR="00EF7D49" w:rsidRDefault="00EF7D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rsidR="00EF7D49" w:rsidRDefault="009E4D0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Реалізація поставлених цілей забезпечується шляхом прийняття нормативно-правового акта, яким буде забезпечено приведення відповідного нормативного регулювання у відповідність із Законом України “Про професійну освіту”. </w:t>
      </w:r>
    </w:p>
    <w:p w:rsidR="00EF7D49" w:rsidRDefault="00EF7D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rsidR="004F2967" w:rsidRDefault="004F2967">
      <w:pPr>
        <w:pBdr>
          <w:top w:val="nil"/>
          <w:left w:val="nil"/>
          <w:bottom w:val="nil"/>
          <w:right w:val="nil"/>
          <w:between w:val="nil"/>
        </w:pBdr>
        <w:spacing w:after="0" w:line="240" w:lineRule="auto"/>
        <w:ind w:firstLine="580"/>
        <w:jc w:val="both"/>
        <w:rPr>
          <w:rFonts w:ascii="Times New Roman" w:eastAsia="Times New Roman" w:hAnsi="Times New Roman" w:cs="Times New Roman"/>
          <w:b/>
          <w:bCs/>
          <w:sz w:val="28"/>
          <w:szCs w:val="28"/>
        </w:rPr>
      </w:pPr>
    </w:p>
    <w:p w:rsidR="00EF7D49" w:rsidRDefault="009E4D0B">
      <w:pPr>
        <w:pBdr>
          <w:top w:val="nil"/>
          <w:left w:val="nil"/>
          <w:bottom w:val="nil"/>
          <w:right w:val="nil"/>
          <w:between w:val="nil"/>
        </w:pBdr>
        <w:spacing w:after="0" w:line="240" w:lineRule="auto"/>
        <w:ind w:firstLine="5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Організаційні засади для впроваджен</w:t>
      </w:r>
      <w:r>
        <w:rPr>
          <w:rFonts w:ascii="Times New Roman" w:eastAsia="Times New Roman" w:hAnsi="Times New Roman" w:cs="Times New Roman"/>
          <w:b/>
          <w:bCs/>
          <w:sz w:val="28"/>
          <w:szCs w:val="28"/>
        </w:rPr>
        <w:t>ня регуляторного акта в дію</w:t>
      </w:r>
    </w:p>
    <w:p w:rsidR="00EF7D49" w:rsidRDefault="00EF7D49">
      <w:pPr>
        <w:pBdr>
          <w:top w:val="nil"/>
          <w:left w:val="nil"/>
          <w:bottom w:val="nil"/>
          <w:right w:val="nil"/>
          <w:between w:val="nil"/>
        </w:pBdr>
        <w:spacing w:after="0" w:line="240" w:lineRule="auto"/>
        <w:ind w:firstLine="620"/>
        <w:jc w:val="both"/>
        <w:rPr>
          <w:rFonts w:ascii="Times New Roman" w:eastAsia="Times New Roman" w:hAnsi="Times New Roman" w:cs="Times New Roman"/>
          <w:i/>
          <w:iCs/>
          <w:sz w:val="28"/>
          <w:szCs w:val="28"/>
        </w:rPr>
      </w:pPr>
    </w:p>
    <w:p w:rsidR="00EF7D49" w:rsidRDefault="009E4D0B">
      <w:pPr>
        <w:pBdr>
          <w:top w:val="nil"/>
          <w:left w:val="nil"/>
          <w:bottom w:val="nil"/>
          <w:right w:val="nil"/>
          <w:between w:val="nil"/>
        </w:pBdr>
        <w:spacing w:after="0" w:line="240" w:lineRule="auto"/>
        <w:ind w:firstLine="6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Заходи, які необхідно здійснити органам влади:</w:t>
      </w:r>
    </w:p>
    <w:p w:rsidR="00EF7D49" w:rsidRDefault="009E4D0B">
      <w:pPr>
        <w:numPr>
          <w:ilvl w:val="0"/>
          <w:numId w:val="1"/>
        </w:numPr>
        <w:pBdr>
          <w:top w:val="nil"/>
          <w:left w:val="nil"/>
          <w:bottom w:val="nil"/>
          <w:right w:val="nil"/>
          <w:between w:val="nil"/>
        </w:pBdr>
        <w:spacing w:after="0" w:line="240" w:lineRule="auto"/>
        <w:ind w:left="0" w:firstLine="566"/>
        <w:jc w:val="both"/>
        <w:rPr>
          <w:sz w:val="28"/>
          <w:szCs w:val="28"/>
        </w:rPr>
      </w:pPr>
      <w:r>
        <w:rPr>
          <w:rFonts w:ascii="Times New Roman" w:eastAsia="Times New Roman" w:hAnsi="Times New Roman" w:cs="Times New Roman"/>
          <w:sz w:val="28"/>
          <w:szCs w:val="28"/>
        </w:rPr>
        <w:t xml:space="preserve">оприлюднити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тандарт професійної осв</w:t>
      </w:r>
      <w:r>
        <w:rPr>
          <w:rFonts w:ascii="Times New Roman" w:eastAsia="Times New Roman" w:hAnsi="Times New Roman" w:cs="Times New Roman"/>
          <w:sz w:val="28"/>
          <w:szCs w:val="28"/>
        </w:rPr>
        <w:t>іти</w:t>
      </w:r>
      <w:r>
        <w:rPr>
          <w:rFonts w:ascii="Times New Roman" w:eastAsia="Times New Roman" w:hAnsi="Times New Roman" w:cs="Times New Roman"/>
          <w:sz w:val="28"/>
          <w:szCs w:val="28"/>
        </w:rPr>
        <w:t xml:space="preserve"> та роз'яснювальні матеріали на вебсайті МОН;</w:t>
      </w:r>
    </w:p>
    <w:p w:rsidR="00EF7D49" w:rsidRDefault="009E4D0B">
      <w:pPr>
        <w:numPr>
          <w:ilvl w:val="0"/>
          <w:numId w:val="1"/>
        </w:numPr>
        <w:pBdr>
          <w:top w:val="nil"/>
          <w:left w:val="nil"/>
          <w:bottom w:val="nil"/>
          <w:right w:val="nil"/>
          <w:between w:val="nil"/>
        </w:pBdr>
        <w:spacing w:after="0" w:line="240" w:lineRule="auto"/>
        <w:ind w:left="0" w:firstLine="566"/>
        <w:jc w:val="both"/>
        <w:rPr>
          <w:sz w:val="28"/>
          <w:szCs w:val="28"/>
        </w:rPr>
      </w:pPr>
      <w:r>
        <w:rPr>
          <w:rFonts w:ascii="Times New Roman" w:eastAsia="Times New Roman" w:hAnsi="Times New Roman" w:cs="Times New Roman"/>
          <w:sz w:val="28"/>
          <w:szCs w:val="28"/>
        </w:rPr>
        <w:t xml:space="preserve">провести навчальні вебінари для керівних та педагогічних </w:t>
      </w:r>
      <w:r>
        <w:rPr>
          <w:rFonts w:ascii="Times New Roman" w:eastAsia="Times New Roman" w:hAnsi="Times New Roman" w:cs="Times New Roman"/>
          <w:sz w:val="28"/>
          <w:szCs w:val="28"/>
        </w:rPr>
        <w:t>працівників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закладів професійної освіти</w:t>
      </w:r>
      <w:r>
        <w:rPr>
          <w:rFonts w:ascii="Times New Roman" w:eastAsia="Times New Roman" w:hAnsi="Times New Roman" w:cs="Times New Roman"/>
          <w:sz w:val="28"/>
          <w:szCs w:val="28"/>
        </w:rPr>
        <w:t>;</w:t>
      </w:r>
    </w:p>
    <w:p w:rsidR="00EF7D49" w:rsidRDefault="009E4D0B">
      <w:pPr>
        <w:numPr>
          <w:ilvl w:val="0"/>
          <w:numId w:val="1"/>
        </w:numPr>
        <w:pBdr>
          <w:top w:val="nil"/>
          <w:left w:val="nil"/>
          <w:bottom w:val="nil"/>
          <w:right w:val="nil"/>
          <w:between w:val="nil"/>
        </w:pBdr>
        <w:spacing w:after="0" w:line="240" w:lineRule="auto"/>
        <w:ind w:left="0" w:firstLine="566"/>
        <w:jc w:val="both"/>
        <w:rPr>
          <w:sz w:val="28"/>
          <w:szCs w:val="28"/>
        </w:rPr>
      </w:pPr>
      <w:r>
        <w:rPr>
          <w:rFonts w:ascii="Times New Roman" w:eastAsia="Times New Roman" w:hAnsi="Times New Roman" w:cs="Times New Roman"/>
          <w:sz w:val="28"/>
          <w:szCs w:val="28"/>
        </w:rPr>
        <w:t>розробити та затвердити методичні рекомендації щодо розроблення освітніх програм;</w:t>
      </w:r>
    </w:p>
    <w:p w:rsidR="00EF7D49" w:rsidRDefault="009E4D0B">
      <w:pPr>
        <w:numPr>
          <w:ilvl w:val="0"/>
          <w:numId w:val="1"/>
        </w:numPr>
        <w:pBdr>
          <w:top w:val="nil"/>
          <w:left w:val="nil"/>
          <w:bottom w:val="nil"/>
          <w:right w:val="nil"/>
          <w:between w:val="nil"/>
        </w:pBdr>
        <w:spacing w:after="0" w:line="240" w:lineRule="auto"/>
        <w:ind w:left="0" w:firstLine="566"/>
        <w:jc w:val="both"/>
        <w:rPr>
          <w:sz w:val="28"/>
          <w:szCs w:val="28"/>
        </w:rPr>
      </w:pPr>
      <w:r>
        <w:rPr>
          <w:rFonts w:ascii="Times New Roman" w:eastAsia="Times New Roman" w:hAnsi="Times New Roman" w:cs="Times New Roman"/>
          <w:sz w:val="28"/>
          <w:szCs w:val="28"/>
        </w:rPr>
        <w:t xml:space="preserve">забезпечити координацію платформи взаємодії </w:t>
      </w:r>
      <w:r>
        <w:rPr>
          <w:rFonts w:ascii="Times New Roman" w:eastAsia="Times New Roman" w:hAnsi="Times New Roman" w:cs="Times New Roman"/>
          <w:sz w:val="28"/>
          <w:szCs w:val="28"/>
        </w:rPr>
        <w:t>закладів професійної освіти</w:t>
      </w:r>
      <w:r>
        <w:rPr>
          <w:rFonts w:ascii="Times New Roman" w:eastAsia="Times New Roman" w:hAnsi="Times New Roman" w:cs="Times New Roman"/>
          <w:sz w:val="28"/>
          <w:szCs w:val="28"/>
        </w:rPr>
        <w:t xml:space="preserve"> з роботодавцями.</w:t>
      </w:r>
    </w:p>
    <w:p w:rsidR="00EF7D49" w:rsidRDefault="00EF7D49">
      <w:pPr>
        <w:pBdr>
          <w:top w:val="nil"/>
          <w:left w:val="nil"/>
          <w:bottom w:val="nil"/>
          <w:right w:val="nil"/>
          <w:between w:val="nil"/>
        </w:pBdr>
        <w:spacing w:after="0" w:line="240" w:lineRule="auto"/>
        <w:ind w:firstLine="566"/>
        <w:jc w:val="both"/>
        <w:rPr>
          <w:rFonts w:ascii="Times New Roman" w:eastAsia="Times New Roman" w:hAnsi="Times New Roman" w:cs="Times New Roman"/>
          <w:i/>
          <w:iCs/>
          <w:sz w:val="28"/>
          <w:szCs w:val="28"/>
        </w:rPr>
      </w:pPr>
    </w:p>
    <w:p w:rsidR="00EF7D49" w:rsidRDefault="009E4D0B">
      <w:pPr>
        <w:pBdr>
          <w:top w:val="nil"/>
          <w:left w:val="nil"/>
          <w:bottom w:val="nil"/>
          <w:right w:val="nil"/>
          <w:between w:val="nil"/>
        </w:pBdr>
        <w:spacing w:after="0" w:line="240" w:lineRule="auto"/>
        <w:ind w:firstLine="566"/>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Заходи, які необхідно здійснити закладам професійної освіти: </w:t>
      </w:r>
    </w:p>
    <w:p w:rsidR="00EF7D49" w:rsidRDefault="009E4D0B">
      <w:pPr>
        <w:numPr>
          <w:ilvl w:val="0"/>
          <w:numId w:val="2"/>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ознайомитися з вимогами нового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тандарту професійної освіти;</w:t>
      </w:r>
    </w:p>
    <w:p w:rsidR="00EF7D49" w:rsidRDefault="009E4D0B">
      <w:pPr>
        <w:numPr>
          <w:ilvl w:val="0"/>
          <w:numId w:val="2"/>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розробити освітні програми відповідно до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тандарту професійної освіти – до 31 </w:t>
      </w:r>
      <w:r>
        <w:rPr>
          <w:rFonts w:ascii="Times New Roman" w:eastAsia="Times New Roman" w:hAnsi="Times New Roman" w:cs="Times New Roman"/>
          <w:sz w:val="28"/>
          <w:szCs w:val="28"/>
        </w:rPr>
        <w:t>жовтня</w:t>
      </w:r>
      <w:r>
        <w:rPr>
          <w:rFonts w:ascii="Times New Roman" w:eastAsia="Times New Roman" w:hAnsi="Times New Roman" w:cs="Times New Roman"/>
          <w:sz w:val="28"/>
          <w:szCs w:val="28"/>
        </w:rPr>
        <w:t xml:space="preserve"> 2026 р.</w:t>
      </w:r>
    </w:p>
    <w:p w:rsidR="00EF7D49" w:rsidRDefault="009E4D0B">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Ризиків впливу зовнішніх факторів на дію регуляторного акта немає.</w:t>
      </w:r>
    </w:p>
    <w:p w:rsidR="00EF7D49" w:rsidRDefault="009E4D0B">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Можливої шкоди у разі очікуваних наслідків дії акта не прогнозується.</w:t>
      </w:r>
    </w:p>
    <w:p w:rsidR="00EF7D49" w:rsidRDefault="00EF7D49">
      <w:pPr>
        <w:spacing w:after="0" w:line="240" w:lineRule="auto"/>
        <w:ind w:firstLine="566"/>
        <w:jc w:val="both"/>
        <w:rPr>
          <w:rFonts w:ascii="Times New Roman" w:eastAsia="Times New Roman" w:hAnsi="Times New Roman" w:cs="Times New Roman"/>
          <w:sz w:val="28"/>
          <w:szCs w:val="28"/>
        </w:rPr>
      </w:pPr>
    </w:p>
    <w:p w:rsidR="00EF7D49" w:rsidRDefault="009E4D0B">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VІ. Оцінка виконання вимог регуляторного акта залежно від ресурсів, якими розпоряджаються органи виконавчої влади чи о</w:t>
      </w:r>
      <w:r>
        <w:rPr>
          <w:rFonts w:ascii="Times New Roman" w:eastAsia="Times New Roman" w:hAnsi="Times New Roman" w:cs="Times New Roman"/>
          <w:b/>
          <w:bCs/>
          <w:sz w:val="28"/>
          <w:szCs w:val="28"/>
        </w:rPr>
        <w:t>ргани місцевого самоврядування, фізичні та юридичні особи, які повинні проваджувати або виконувати ці вимоги</w:t>
      </w:r>
    </w:p>
    <w:p w:rsidR="00EF7D49" w:rsidRDefault="009E4D0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впровадження проєкту регуляторного акта негативних наслідків не очікується.</w:t>
      </w:r>
    </w:p>
    <w:p w:rsidR="00EF7D49" w:rsidRDefault="009E4D0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проєкту регуляторного акта не потребує додаткових витрат</w:t>
      </w:r>
      <w:r>
        <w:rPr>
          <w:rFonts w:ascii="Times New Roman" w:eastAsia="Times New Roman" w:hAnsi="Times New Roman" w:cs="Times New Roman"/>
          <w:sz w:val="28"/>
          <w:szCs w:val="28"/>
        </w:rPr>
        <w:t xml:space="preserve"> з державного бюджету України, тому розрахунок бюджетних витрат не здійснювався.</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Враховуючи, що питома вага суб’єктів малого підприємництва у загальній кількості суб’єктів господарювання, на яких поширюється регулювання, перевищує 10 відсотків, здійснюєтьс</w:t>
      </w:r>
      <w:r>
        <w:rPr>
          <w:rFonts w:ascii="Times New Roman" w:eastAsia="Times New Roman" w:hAnsi="Times New Roman" w:cs="Times New Roman"/>
          <w:sz w:val="28"/>
          <w:szCs w:val="28"/>
        </w:rPr>
        <w:t>я розрахунок витрат від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rsidR="00EF7D49" w:rsidRDefault="009E4D0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Державне регулювання не передбачає утворення нового </w:t>
      </w:r>
      <w:r>
        <w:rPr>
          <w:rFonts w:ascii="Times New Roman" w:eastAsia="Times New Roman" w:hAnsi="Times New Roman" w:cs="Times New Roman"/>
          <w:sz w:val="28"/>
          <w:szCs w:val="28"/>
        </w:rPr>
        <w:t>державного органу (або нового структурного підрозділу діючого органу) та не передбачає збільшення граничної чисельності працівників закладів професійної освіти.</w:t>
      </w:r>
    </w:p>
    <w:p w:rsidR="00EF7D49" w:rsidRDefault="009E4D0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тим, що запропоноване регулювання фактично є реалізацією державної політики у сфері</w:t>
      </w:r>
      <w:r>
        <w:rPr>
          <w:rFonts w:ascii="Times New Roman" w:eastAsia="Times New Roman" w:hAnsi="Times New Roman" w:cs="Times New Roman"/>
          <w:sz w:val="28"/>
          <w:szCs w:val="28"/>
        </w:rPr>
        <w:t xml:space="preserve"> освіти, компенсатори (коригуючі (пом’якшувальні) заходи) для малого підприємництва не розроблялися.</w:t>
      </w:r>
    </w:p>
    <w:p w:rsidR="004F2967" w:rsidRDefault="004F2967">
      <w:pPr>
        <w:spacing w:after="0" w:line="240" w:lineRule="auto"/>
        <w:ind w:firstLine="567"/>
        <w:jc w:val="both"/>
        <w:rPr>
          <w:rFonts w:ascii="Times New Roman" w:eastAsia="Times New Roman" w:hAnsi="Times New Roman" w:cs="Times New Roman"/>
          <w:b/>
          <w:bCs/>
          <w:sz w:val="28"/>
          <w:szCs w:val="28"/>
        </w:rPr>
      </w:pPr>
    </w:p>
    <w:p w:rsidR="00EF7D49" w:rsidRDefault="009E4D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Порівняльний аналіз чинного та стандарту професійної освіти і вплив на освітній процес</w:t>
      </w:r>
    </w:p>
    <w:p w:rsidR="00EF7D49" w:rsidRDefault="009E4D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Нижче наведено порівняння ключових параметрів чинного Державного ста</w:t>
      </w:r>
      <w:r>
        <w:rPr>
          <w:rFonts w:ascii="Times New Roman" w:eastAsia="Times New Roman" w:hAnsi="Times New Roman" w:cs="Times New Roman"/>
          <w:sz w:val="28"/>
          <w:szCs w:val="28"/>
        </w:rPr>
        <w:t xml:space="preserve">ндарту професійної (професійно-технічної) освіти, затвердженого постановою Кабінету Міністрів України від 20 жовтня 2021 р. № 1077, та запропонованого стандарту професійної освіти. Дані щодо часових витрат є розрахунковою оцінкою розробника, здійсненою на </w:t>
      </w:r>
      <w:r>
        <w:rPr>
          <w:rFonts w:ascii="Times New Roman" w:eastAsia="Times New Roman" w:hAnsi="Times New Roman" w:cs="Times New Roman"/>
          <w:sz w:val="28"/>
          <w:szCs w:val="28"/>
        </w:rPr>
        <w:t>підставі експертного аналізу структури стандартів та консультацій із закладами ПО.</w:t>
      </w:r>
    </w:p>
    <w:p w:rsidR="00EF7D49" w:rsidRDefault="00EF7D49">
      <w:pPr>
        <w:spacing w:after="0" w:line="240" w:lineRule="auto"/>
        <w:rPr>
          <w:rFonts w:ascii="Times New Roman" w:eastAsia="Times New Roman" w:hAnsi="Times New Roman" w:cs="Times New Roman"/>
        </w:rPr>
      </w:pPr>
    </w:p>
    <w:tbl>
      <w:tblPr>
        <w:tblStyle w:val="afff3"/>
        <w:tblW w:w="9648"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0"/>
        <w:gridCol w:w="2488"/>
        <w:gridCol w:w="2700"/>
        <w:gridCol w:w="2260"/>
      </w:tblGrid>
      <w:tr w:rsidR="00EF7D49">
        <w:tc>
          <w:tcPr>
            <w:tcW w:w="220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b/>
                <w:bCs/>
              </w:rPr>
              <w:t>Показник</w:t>
            </w:r>
          </w:p>
        </w:tc>
        <w:tc>
          <w:tcPr>
            <w:tcW w:w="2488"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b/>
                <w:bCs/>
              </w:rPr>
              <w:t>Державний стандарт професійної (професійно-технічної) освіти</w:t>
            </w:r>
          </w:p>
        </w:tc>
        <w:tc>
          <w:tcPr>
            <w:tcW w:w="270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b/>
                <w:bCs/>
              </w:rPr>
              <w:t>Стандарт професійної освіти (запропонований)</w:t>
            </w:r>
          </w:p>
        </w:tc>
        <w:tc>
          <w:tcPr>
            <w:tcW w:w="226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Зміна</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Нормативна основа</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Закон України “Про професійно-технічну освіту”, 1998 р.</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Закон України “Про професійну освіту”, 2025 р.</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Оновлено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Підхід до навчання</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Знаннєвий</w:t>
            </w:r>
            <w:proofErr w:type="spellEnd"/>
            <w:r>
              <w:rPr>
                <w:rFonts w:ascii="Times New Roman" w:eastAsia="Times New Roman" w:hAnsi="Times New Roman" w:cs="Times New Roman"/>
              </w:rPr>
              <w:t xml:space="preserve"> (предметний)</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Компетентнісний, орієнтований на результати навчання</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Якісна зміна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Одиниця виміру обсягу навчального навантаження здобувачів освіти</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Академічні години </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Академічні години та кредити ЄКТС (40–180)</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додана нова одиниця виміру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Рівень НРК для освітнього рівня</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Не передбачено</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Освітній рівень професійної освіти - 4 рівень НРК </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Нова норма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Основа для розроблення освітньої програми</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Державний стандарт професійної (професійно-технічної ) освіти, державний освітній стандарт з конкретної професії на основі професійного стандарту або кваліфікаційної характеристики з конкретної професії</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Стандарт професійної освіти, професійний стандарт або</w:t>
            </w:r>
            <w:r>
              <w:rPr>
                <w:rFonts w:ascii="Times New Roman" w:eastAsia="Times New Roman" w:hAnsi="Times New Roman" w:cs="Times New Roman"/>
              </w:rPr>
              <w:t xml:space="preserve"> кваліфікаційна характеристика з конкретної професії</w:t>
            </w:r>
          </w:p>
          <w:p w:rsidR="00EF7D49" w:rsidRDefault="00EF7D49">
            <w:pPr>
              <w:spacing w:after="0" w:line="240" w:lineRule="auto"/>
              <w:rPr>
                <w:rFonts w:ascii="Times New Roman" w:eastAsia="Times New Roman" w:hAnsi="Times New Roman" w:cs="Times New Roman"/>
              </w:rPr>
            </w:pP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Якісна зміна (+) (зменшення часу на розроблення освітньої програми)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Вимоги до освітніх програм, їх тривалості</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Відсутні</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Надано </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Нова норма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rPr>
              <w:lastRenderedPageBreak/>
              <w:t>Автономія закладів ПО щодо розроблення, затвердження та р</w:t>
            </w:r>
            <w:r>
              <w:rPr>
                <w:rFonts w:ascii="Times New Roman" w:eastAsia="Times New Roman" w:hAnsi="Times New Roman" w:cs="Times New Roman"/>
              </w:rPr>
              <w:t>еалізації освітніх програм</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Зміст та тривалість освітньої програми визначаються державним освітнім стандартом з конкретної професії;</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погодження та затвердження освітньої програми здійснюється за межами закладу ПО (зовнішніми регуляторами) </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Надано автономію </w:t>
            </w:r>
            <w:r>
              <w:rPr>
                <w:rFonts w:ascii="Times New Roman" w:eastAsia="Times New Roman" w:hAnsi="Times New Roman" w:cs="Times New Roman"/>
              </w:rPr>
              <w:t>щодо визначення тривалості та змісту освітньої програми ;</w:t>
            </w:r>
          </w:p>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погодження та затвердження в закладі ПО</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Якісна зміна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Базовий навчальний план </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Відсутній</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Надано 5 зразків (у </w:t>
            </w:r>
            <w:proofErr w:type="spellStart"/>
            <w:r>
              <w:rPr>
                <w:rFonts w:ascii="Times New Roman" w:eastAsia="Times New Roman" w:hAnsi="Times New Roman" w:cs="Times New Roman"/>
              </w:rPr>
              <w:t>т.ч</w:t>
            </w:r>
            <w:proofErr w:type="spellEnd"/>
            <w:r>
              <w:rPr>
                <w:rFonts w:ascii="Times New Roman" w:eastAsia="Times New Roman" w:hAnsi="Times New Roman" w:cs="Times New Roman"/>
              </w:rPr>
              <w:t>. з поєднанням рівня профільної середньої освіти професійного спрямування)</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Нова норма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Опис та тривалість вільно обраного освітнього компонента на запити здобувача освіти</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Відсутній </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Орієнтири для змісту та до 15% від тривалості освітньої програми</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Нова норма (+)</w:t>
            </w:r>
          </w:p>
        </w:tc>
      </w:tr>
      <w:tr w:rsidR="00EF7D49" w:rsidTr="004F2967">
        <w:trPr>
          <w:trHeight w:val="479"/>
        </w:trPr>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Інші складники, визначені закладом професійної освіти</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Відсутні</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Визначено як такі, що передбачатимуть вивчення української мови, історії України, спеціального курсу про наслідки агресії російської федерації проти України та протидію російській пропаганді, подолання освітніх втрат за рівень повної загальної середньої ос</w:t>
            </w:r>
            <w:r>
              <w:rPr>
                <w:rFonts w:ascii="Times New Roman" w:eastAsia="Times New Roman" w:hAnsi="Times New Roman" w:cs="Times New Roman"/>
              </w:rPr>
              <w:t xml:space="preserve">віти, необхідних для здобуття професійної кваліфікації (професійних кваліфікацій), а також формування загальнокультурних і громадянських компетентностей, зокрема за </w:t>
            </w:r>
            <w:r>
              <w:rPr>
                <w:rFonts w:ascii="Times New Roman" w:eastAsia="Times New Roman" w:hAnsi="Times New Roman" w:cs="Times New Roman"/>
              </w:rPr>
              <w:lastRenderedPageBreak/>
              <w:t xml:space="preserve">індивідуальною освітньою траєкторією. </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Нова норма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Визнання результатів навчання неформ</w:t>
            </w:r>
            <w:r>
              <w:rPr>
                <w:rFonts w:ascii="Times New Roman" w:eastAsia="Times New Roman" w:hAnsi="Times New Roman" w:cs="Times New Roman"/>
              </w:rPr>
              <w:t>альної та інформальної освіти</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Посилання на </w:t>
            </w:r>
            <w:hyperlink r:id="rId8" w:anchor="n14">
              <w:r>
                <w:rPr>
                  <w:rFonts w:ascii="Times New Roman" w:eastAsia="Times New Roman" w:hAnsi="Times New Roman" w:cs="Times New Roman"/>
                </w:rPr>
                <w:t>Порядок проведення вхідного контролю знань, умінь та навичок для осіб, які приймаються на навчання за програмами перепідготовки або підвищен</w:t>
              </w:r>
              <w:r>
                <w:rPr>
                  <w:rFonts w:ascii="Times New Roman" w:eastAsia="Times New Roman" w:hAnsi="Times New Roman" w:cs="Times New Roman"/>
                </w:rPr>
                <w:t>ня кваліфікації до професійно-технічних навчальних закладів</w:t>
              </w:r>
            </w:hyperlink>
            <w:r>
              <w:rPr>
                <w:rFonts w:ascii="Times New Roman" w:eastAsia="Times New Roman" w:hAnsi="Times New Roman" w:cs="Times New Roman"/>
              </w:rPr>
              <w:t>, затвердженого наказом МОН</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Посилання на порядок та визначено скорочення тривалості навчання до 50% обсягу освітньої  програми</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Посилення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Гармонізація з ринком праці</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Часткова (через державні ос</w:t>
            </w:r>
            <w:r>
              <w:rPr>
                <w:rFonts w:ascii="Times New Roman" w:eastAsia="Times New Roman" w:hAnsi="Times New Roman" w:cs="Times New Roman"/>
              </w:rPr>
              <w:t>вітні стандарти з конкретних професій)</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Через </w:t>
            </w:r>
            <w:proofErr w:type="spellStart"/>
            <w:r>
              <w:rPr>
                <w:rFonts w:ascii="Times New Roman" w:eastAsia="Times New Roman" w:hAnsi="Times New Roman" w:cs="Times New Roman"/>
              </w:rPr>
              <w:t>профстандарти</w:t>
            </w:r>
            <w:proofErr w:type="spellEnd"/>
            <w:r>
              <w:rPr>
                <w:rFonts w:ascii="Times New Roman" w:eastAsia="Times New Roman" w:hAnsi="Times New Roman" w:cs="Times New Roman"/>
              </w:rPr>
              <w:t xml:space="preserve"> та КХ, з урахуванням НРК, вимог ринку праці</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Посилення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Інклюзія</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Не конкретизовано</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Визначено Корекційно-</w:t>
            </w:r>
            <w:proofErr w:type="spellStart"/>
            <w:r>
              <w:rPr>
                <w:rFonts w:ascii="Times New Roman" w:eastAsia="Times New Roman" w:hAnsi="Times New Roman" w:cs="Times New Roman"/>
              </w:rPr>
              <w:t>розвитковий</w:t>
            </w:r>
            <w:proofErr w:type="spellEnd"/>
            <w:r>
              <w:rPr>
                <w:rFonts w:ascii="Times New Roman" w:eastAsia="Times New Roman" w:hAnsi="Times New Roman" w:cs="Times New Roman"/>
              </w:rPr>
              <w:t xml:space="preserve"> складник, ІОТ</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Розширення (+)</w:t>
            </w:r>
          </w:p>
        </w:tc>
      </w:tr>
      <w:tr w:rsidR="00EF7D49" w:rsidTr="004F2967">
        <w:trPr>
          <w:trHeight w:val="2391"/>
        </w:trPr>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Гармонізація з ЄС</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Відсутня</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Рекомендації Ради ЄС: ключові компетентності та ЄКТС, можливість визнання попередньо здобутих результатів навчання, можливість навчання впродовж життя </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Нова норма (+)</w:t>
            </w:r>
          </w:p>
        </w:tc>
      </w:tr>
      <w:tr w:rsidR="00EF7D49">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Орієнтовний час на розроблення/ погодження/ затвердження 1 освітньої програми (перший рі</w:t>
            </w:r>
            <w:r>
              <w:rPr>
                <w:rFonts w:ascii="Times New Roman" w:eastAsia="Times New Roman" w:hAnsi="Times New Roman" w:cs="Times New Roman"/>
              </w:rPr>
              <w:t>к)*</w:t>
            </w:r>
          </w:p>
        </w:tc>
        <w:tc>
          <w:tcPr>
            <w:tcW w:w="24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~7-8 тижнів (експертна оцінка розробника)</w:t>
            </w:r>
          </w:p>
        </w:tc>
        <w:tc>
          <w:tcPr>
            <w:tcW w:w="2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~4 тижні (експертна оцінка розробника)</w:t>
            </w:r>
          </w:p>
        </w:tc>
        <w:tc>
          <w:tcPr>
            <w:tcW w:w="22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Скорочення часу в 2 рази в перший рік (розрахункова оцінка)</w:t>
            </w:r>
          </w:p>
        </w:tc>
      </w:tr>
    </w:tbl>
    <w:p w:rsidR="00EF7D49" w:rsidRDefault="00EF7D49">
      <w:pPr>
        <w:spacing w:after="0" w:line="240" w:lineRule="auto"/>
        <w:rPr>
          <w:rFonts w:ascii="Times New Roman" w:eastAsia="Times New Roman" w:hAnsi="Times New Roman" w:cs="Times New Roman"/>
        </w:rPr>
      </w:pPr>
    </w:p>
    <w:p w:rsidR="00EF7D49" w:rsidRDefault="009E4D0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rPr>
        <w:t>* Примітка: вихідні дані щодо часу розроблення освітніх програм є експертною оцінкою розробника на основі стр</w:t>
      </w:r>
      <w:r>
        <w:rPr>
          <w:rFonts w:ascii="Times New Roman" w:eastAsia="Times New Roman" w:hAnsi="Times New Roman" w:cs="Times New Roman"/>
          <w:i/>
          <w:iCs/>
        </w:rPr>
        <w:t xml:space="preserve">уктурного аналізу вимог державних освітніх стандартів з </w:t>
      </w:r>
      <w:r>
        <w:rPr>
          <w:rFonts w:ascii="Times New Roman" w:eastAsia="Times New Roman" w:hAnsi="Times New Roman" w:cs="Times New Roman"/>
          <w:i/>
          <w:iCs/>
        </w:rPr>
        <w:lastRenderedPageBreak/>
        <w:t>конкретних професій. Скорочення часу на розроблення освітніх програм ~+50–60% у перший рік.</w:t>
      </w:r>
    </w:p>
    <w:p w:rsidR="00EF7D49" w:rsidRDefault="009E4D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Аналіз часових витрат на розроблення освітніх програм за видами професійної діяльності з урахуванням вимог та пропозицій роботодавців</w:t>
      </w:r>
    </w:p>
    <w:p w:rsidR="00EF7D49" w:rsidRDefault="009E4D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проведено за 5 видами професійної діяльності. Вихідні дані є розрахунковою (експертною) оцінкою розробника на основ</w:t>
      </w:r>
      <w:r>
        <w:rPr>
          <w:rFonts w:ascii="Times New Roman" w:eastAsia="Times New Roman" w:hAnsi="Times New Roman" w:cs="Times New Roman"/>
          <w:sz w:val="28"/>
          <w:szCs w:val="28"/>
        </w:rPr>
        <w:t>і структурного порівняння вимог стандартів та консультацій із закладами ПО і представниками роботодавців:</w:t>
      </w:r>
    </w:p>
    <w:p w:rsidR="00EF7D49" w:rsidRDefault="00EF7D49">
      <w:pPr>
        <w:spacing w:after="0" w:line="240" w:lineRule="auto"/>
        <w:ind w:firstLine="567"/>
        <w:rPr>
          <w:rFonts w:ascii="Times New Roman" w:eastAsia="Times New Roman" w:hAnsi="Times New Roman" w:cs="Times New Roman"/>
          <w:sz w:val="28"/>
          <w:szCs w:val="28"/>
        </w:rPr>
      </w:pPr>
    </w:p>
    <w:tbl>
      <w:tblPr>
        <w:tblStyle w:val="afff4"/>
        <w:tblW w:w="9720"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2325"/>
        <w:gridCol w:w="1695"/>
        <w:gridCol w:w="1380"/>
        <w:gridCol w:w="2265"/>
      </w:tblGrid>
      <w:tr w:rsidR="00EF7D49">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Професійні кваліфікації за видами професійної діяльності: </w:t>
            </w:r>
          </w:p>
        </w:tc>
        <w:tc>
          <w:tcPr>
            <w:tcW w:w="2325"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Державний стандарт професійної (професійно-технічної) освіти, (чинний) </w:t>
            </w:r>
          </w:p>
        </w:tc>
        <w:tc>
          <w:tcPr>
            <w:tcW w:w="1695"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Запропонований стандарт професійної освіти </w:t>
            </w:r>
          </w:p>
        </w:tc>
        <w:tc>
          <w:tcPr>
            <w:tcW w:w="138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Зміна (розрахункова)</w:t>
            </w:r>
          </w:p>
        </w:tc>
        <w:tc>
          <w:tcPr>
            <w:tcW w:w="2265"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b/>
                <w:bCs/>
              </w:rPr>
              <w:t>Вимоги роботодавців (основні)</w:t>
            </w:r>
          </w:p>
        </w:tc>
      </w:tr>
      <w:tr w:rsidR="00EF7D49">
        <w:tc>
          <w:tcPr>
            <w:tcW w:w="2055" w:type="dxa"/>
            <w:tcBorders>
              <w:top w:val="single" w:sz="4" w:space="0" w:color="000000"/>
              <w:left w:val="single" w:sz="4" w:space="0" w:color="000000"/>
              <w:bottom w:val="single" w:sz="4" w:space="0" w:color="000000"/>
              <w:right w:val="single" w:sz="4" w:space="0" w:color="000000"/>
            </w:tcBorders>
            <w:shd w:val="clear" w:color="auto" w:fill="EBF0FA"/>
            <w:tcMar>
              <w:top w:w="80" w:type="dxa"/>
              <w:left w:w="120" w:type="dxa"/>
              <w:bottom w:w="80" w:type="dxa"/>
              <w:right w:w="120" w:type="dxa"/>
            </w:tcMar>
          </w:tcPr>
          <w:p w:rsidR="00EF7D49" w:rsidRDefault="009E4D0B">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Середня тривалість виходу на ринок праці спеціалістів за новими професіями та професійними кваліфікаціями</w:t>
            </w:r>
          </w:p>
        </w:tc>
        <w:tc>
          <w:tcPr>
            <w:tcW w:w="2325" w:type="dxa"/>
            <w:tcBorders>
              <w:top w:val="single" w:sz="4" w:space="0" w:color="000000"/>
              <w:left w:val="single" w:sz="4" w:space="0" w:color="000000"/>
              <w:bottom w:val="single" w:sz="4" w:space="0" w:color="000000"/>
              <w:right w:val="single" w:sz="4" w:space="0" w:color="000000"/>
            </w:tcBorders>
            <w:shd w:val="clear" w:color="auto" w:fill="EBF0FA"/>
            <w:tcMar>
              <w:top w:w="80" w:type="dxa"/>
              <w:left w:w="120" w:type="dxa"/>
              <w:bottom w:w="80" w:type="dxa"/>
              <w:right w:w="120" w:type="dxa"/>
            </w:tcMa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1 рік на розроблення професійного стандарту, 8-9 місяців на розроблення державного освітнього стандарту, 2-3 місяці розроблення освітніх програм, навчання мінімум 1 рік= 3 роки</w:t>
            </w:r>
          </w:p>
        </w:tc>
        <w:tc>
          <w:tcPr>
            <w:tcW w:w="1695" w:type="dxa"/>
            <w:tcBorders>
              <w:top w:val="single" w:sz="4" w:space="0" w:color="000000"/>
              <w:left w:val="single" w:sz="4" w:space="0" w:color="000000"/>
              <w:bottom w:val="single" w:sz="4" w:space="0" w:color="000000"/>
              <w:right w:val="single" w:sz="4" w:space="0" w:color="000000"/>
            </w:tcBorders>
            <w:shd w:val="clear" w:color="auto" w:fill="EBF0FA"/>
            <w:tcMar>
              <w:top w:w="80" w:type="dxa"/>
              <w:left w:w="120" w:type="dxa"/>
              <w:bottom w:w="80" w:type="dxa"/>
              <w:right w:w="120" w:type="dxa"/>
            </w:tcMa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1 рік на розроблення професійного стандарту, 1-2 місяці - розроблення освіт</w:t>
            </w:r>
            <w:r>
              <w:rPr>
                <w:rFonts w:ascii="Times New Roman" w:eastAsia="Times New Roman" w:hAnsi="Times New Roman" w:cs="Times New Roman"/>
              </w:rPr>
              <w:t>ніх програм, навчання мінімум 6 місяців = 1,7 років</w:t>
            </w:r>
          </w:p>
        </w:tc>
        <w:tc>
          <w:tcPr>
            <w:tcW w:w="1380" w:type="dxa"/>
            <w:tcBorders>
              <w:top w:val="single" w:sz="4" w:space="0" w:color="000000"/>
              <w:left w:val="single" w:sz="4" w:space="0" w:color="000000"/>
              <w:bottom w:val="single" w:sz="4" w:space="0" w:color="000000"/>
              <w:right w:val="single" w:sz="4" w:space="0" w:color="000000"/>
            </w:tcBorders>
            <w:shd w:val="clear" w:color="auto" w:fill="EBF0FA"/>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- 52%</w:t>
            </w:r>
          </w:p>
        </w:tc>
        <w:tc>
          <w:tcPr>
            <w:tcW w:w="2265" w:type="dxa"/>
            <w:tcBorders>
              <w:top w:val="single" w:sz="4" w:space="0" w:color="000000"/>
              <w:left w:val="single" w:sz="4" w:space="0" w:color="000000"/>
              <w:bottom w:val="single" w:sz="4" w:space="0" w:color="000000"/>
              <w:right w:val="single" w:sz="4" w:space="0" w:color="000000"/>
            </w:tcBorders>
            <w:shd w:val="clear" w:color="auto" w:fill="EBF0FA"/>
            <w:tcMar>
              <w:top w:w="80" w:type="dxa"/>
              <w:left w:w="120" w:type="dxa"/>
              <w:bottom w:w="80" w:type="dxa"/>
              <w:right w:w="120" w:type="dxa"/>
            </w:tcMa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Швидкий вихід спеціалістів на ринок праці за новими професіями, професійними кваліфікаціями</w:t>
            </w:r>
          </w:p>
        </w:tc>
      </w:tr>
      <w:tr w:rsidR="00EF7D49">
        <w:tc>
          <w:tcPr>
            <w:tcW w:w="20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pBdr>
                <w:top w:val="nil"/>
                <w:left w:val="nil"/>
                <w:bottom w:val="nil"/>
                <w:right w:val="nil"/>
                <w:between w:val="nil"/>
              </w:pBdr>
              <w:spacing w:after="0" w:line="240" w:lineRule="auto"/>
              <w:ind w:left="141"/>
              <w:rPr>
                <w:rFonts w:ascii="Times New Roman" w:eastAsia="Times New Roman" w:hAnsi="Times New Roman" w:cs="Times New Roman"/>
              </w:rPr>
            </w:pPr>
            <w:r>
              <w:rPr>
                <w:rFonts w:ascii="Times New Roman" w:eastAsia="Times New Roman" w:hAnsi="Times New Roman" w:cs="Times New Roman"/>
              </w:rPr>
              <w:t>будівництво</w:t>
            </w:r>
          </w:p>
        </w:tc>
        <w:tc>
          <w:tcPr>
            <w:tcW w:w="232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тижнів</w:t>
            </w:r>
          </w:p>
        </w:tc>
        <w:tc>
          <w:tcPr>
            <w:tcW w:w="16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тижні</w:t>
            </w:r>
          </w:p>
        </w:tc>
        <w:tc>
          <w:tcPr>
            <w:tcW w:w="13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22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Цифрові компетентності, оновлений перелік інструментів і матеріалів, БЖД відповідно до норм ЄС</w:t>
            </w:r>
          </w:p>
        </w:tc>
      </w:tr>
      <w:tr w:rsidR="00EF7D49">
        <w:tc>
          <w:tcPr>
            <w:tcW w:w="20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індустрія гостинності та подій (</w:t>
            </w:r>
            <w:proofErr w:type="spellStart"/>
            <w:r>
              <w:rPr>
                <w:rFonts w:ascii="Times New Roman" w:eastAsia="Times New Roman" w:hAnsi="Times New Roman" w:cs="Times New Roman"/>
              </w:rPr>
              <w:t>готельєри</w:t>
            </w:r>
            <w:proofErr w:type="spellEnd"/>
            <w:r>
              <w:rPr>
                <w:rFonts w:ascii="Times New Roman" w:eastAsia="Times New Roman" w:hAnsi="Times New Roman" w:cs="Times New Roman"/>
              </w:rPr>
              <w:t xml:space="preserve">, офіціанти, бармени, </w:t>
            </w:r>
            <w:proofErr w:type="spellStart"/>
            <w:r>
              <w:rPr>
                <w:rFonts w:ascii="Times New Roman" w:eastAsia="Times New Roman" w:hAnsi="Times New Roman" w:cs="Times New Roman"/>
              </w:rPr>
              <w:t>сомільє</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кухарі</w:t>
            </w:r>
            <w:proofErr w:type="spellEnd"/>
            <w:r>
              <w:rPr>
                <w:rFonts w:ascii="Times New Roman" w:eastAsia="Times New Roman" w:hAnsi="Times New Roman" w:cs="Times New Roman"/>
              </w:rPr>
              <w:t>, кондитери тощо)</w:t>
            </w:r>
          </w:p>
        </w:tc>
        <w:tc>
          <w:tcPr>
            <w:tcW w:w="232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 тижнів</w:t>
            </w:r>
          </w:p>
        </w:tc>
        <w:tc>
          <w:tcPr>
            <w:tcW w:w="16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тижні</w:t>
            </w:r>
          </w:p>
        </w:tc>
        <w:tc>
          <w:tcPr>
            <w:tcW w:w="13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w:t>
            </w:r>
          </w:p>
        </w:tc>
        <w:tc>
          <w:tcPr>
            <w:tcW w:w="22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Клієнтський сервіс, санітарні норми ЄС, ос</w:t>
            </w:r>
            <w:r>
              <w:rPr>
                <w:rFonts w:ascii="Times New Roman" w:eastAsia="Times New Roman" w:hAnsi="Times New Roman" w:cs="Times New Roman"/>
              </w:rPr>
              <w:t>нови підприємництва та самозайнятості</w:t>
            </w:r>
          </w:p>
        </w:tc>
      </w:tr>
      <w:tr w:rsidR="00EF7D49">
        <w:tc>
          <w:tcPr>
            <w:tcW w:w="2055" w:type="dxa"/>
            <w:tcMar>
              <w:top w:w="0" w:type="dxa"/>
              <w:left w:w="0" w:type="dxa"/>
              <w:bottom w:w="0" w:type="dxa"/>
              <w:right w:w="0" w:type="dxa"/>
            </w:tcMar>
          </w:tcPr>
          <w:p w:rsidR="00EF7D49" w:rsidRDefault="009E4D0B">
            <w:pPr>
              <w:widowControl w:val="0"/>
              <w:spacing w:after="0" w:line="240" w:lineRule="auto"/>
              <w:ind w:left="141"/>
              <w:rPr>
                <w:rFonts w:ascii="Times New Roman" w:eastAsia="Times New Roman" w:hAnsi="Times New Roman" w:cs="Times New Roman"/>
              </w:rPr>
            </w:pPr>
            <w:r>
              <w:rPr>
                <w:rFonts w:ascii="Times New Roman" w:eastAsia="Times New Roman" w:hAnsi="Times New Roman" w:cs="Times New Roman"/>
              </w:rPr>
              <w:lastRenderedPageBreak/>
              <w:t xml:space="preserve">цифрова інженерія та ІТ </w:t>
            </w:r>
          </w:p>
        </w:tc>
        <w:tc>
          <w:tcPr>
            <w:tcW w:w="232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 тижнів</w:t>
            </w:r>
          </w:p>
        </w:tc>
        <w:tc>
          <w:tcPr>
            <w:tcW w:w="16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тижні</w:t>
            </w:r>
          </w:p>
        </w:tc>
        <w:tc>
          <w:tcPr>
            <w:tcW w:w="13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w:t>
            </w:r>
          </w:p>
        </w:tc>
        <w:tc>
          <w:tcPr>
            <w:tcW w:w="22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Актуалізація щонайменше раз на рік; </w:t>
            </w:r>
            <w:proofErr w:type="spellStart"/>
            <w:r>
              <w:rPr>
                <w:rFonts w:ascii="Times New Roman" w:eastAsia="Times New Roman" w:hAnsi="Times New Roman" w:cs="Times New Roman"/>
              </w:rPr>
              <w:t>кібербезпека</w:t>
            </w:r>
            <w:proofErr w:type="spellEnd"/>
            <w:r>
              <w:rPr>
                <w:rFonts w:ascii="Times New Roman" w:eastAsia="Times New Roman" w:hAnsi="Times New Roman" w:cs="Times New Roman"/>
              </w:rPr>
              <w:t>, AI-грамотність, хмарні технології</w:t>
            </w:r>
          </w:p>
        </w:tc>
      </w:tr>
      <w:tr w:rsidR="00EF7D49">
        <w:tc>
          <w:tcPr>
            <w:tcW w:w="20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widowControl w:val="0"/>
              <w:spacing w:after="0" w:line="240" w:lineRule="auto"/>
              <w:ind w:left="141"/>
              <w:rPr>
                <w:rFonts w:ascii="Times New Roman" w:eastAsia="Times New Roman" w:hAnsi="Times New Roman" w:cs="Times New Roman"/>
              </w:rPr>
            </w:pPr>
            <w:r>
              <w:rPr>
                <w:rFonts w:ascii="Times New Roman" w:eastAsia="Times New Roman" w:hAnsi="Times New Roman" w:cs="Times New Roman"/>
              </w:rPr>
              <w:t xml:space="preserve">агросфера </w:t>
            </w:r>
          </w:p>
        </w:tc>
        <w:tc>
          <w:tcPr>
            <w:tcW w:w="232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тижнів</w:t>
            </w:r>
          </w:p>
        </w:tc>
        <w:tc>
          <w:tcPr>
            <w:tcW w:w="16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тижні</w:t>
            </w:r>
          </w:p>
        </w:tc>
        <w:tc>
          <w:tcPr>
            <w:tcW w:w="13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22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Агротехнології</w:t>
            </w:r>
            <w:proofErr w:type="spellEnd"/>
            <w:r>
              <w:rPr>
                <w:rFonts w:ascii="Times New Roman" w:eastAsia="Times New Roman" w:hAnsi="Times New Roman" w:cs="Times New Roman"/>
              </w:rPr>
              <w:t xml:space="preserve"> ЄС, безпечне поводження із засобами захисту рослин, цифрове фермерство</w:t>
            </w:r>
          </w:p>
        </w:tc>
      </w:tr>
      <w:tr w:rsidR="00EF7D49">
        <w:tc>
          <w:tcPr>
            <w:tcW w:w="20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транспорт і логістика</w:t>
            </w:r>
          </w:p>
        </w:tc>
        <w:tc>
          <w:tcPr>
            <w:tcW w:w="232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 тижнів</w:t>
            </w:r>
          </w:p>
        </w:tc>
        <w:tc>
          <w:tcPr>
            <w:tcW w:w="16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 тижнів</w:t>
            </w:r>
          </w:p>
        </w:tc>
        <w:tc>
          <w:tcPr>
            <w:tcW w:w="13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-55%</w:t>
            </w:r>
          </w:p>
        </w:tc>
        <w:tc>
          <w:tcPr>
            <w:tcW w:w="226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Міжнародні стандарти перевезень (ADR, AETR), цифрова логістика, екологічні вимоги</w:t>
            </w:r>
          </w:p>
        </w:tc>
      </w:tr>
      <w:tr w:rsidR="00EF7D49">
        <w:tc>
          <w:tcPr>
            <w:tcW w:w="2055" w:type="dxa"/>
            <w:tcBorders>
              <w:top w:val="single" w:sz="4" w:space="0" w:color="000000"/>
              <w:left w:val="single" w:sz="4" w:space="0" w:color="000000"/>
              <w:bottom w:val="single" w:sz="4" w:space="0" w:color="000000"/>
              <w:right w:val="single" w:sz="4" w:space="0" w:color="000000"/>
            </w:tcBorders>
            <w:shd w:val="clear" w:color="auto" w:fill="EBF0FA"/>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Середнє за всіма видами </w:t>
            </w:r>
            <w:r>
              <w:rPr>
                <w:rFonts w:ascii="Times New Roman" w:eastAsia="Times New Roman" w:hAnsi="Times New Roman" w:cs="Times New Roman"/>
                <w:b/>
                <w:bCs/>
              </w:rPr>
              <w:t>професійної діяльності.</w:t>
            </w:r>
          </w:p>
        </w:tc>
        <w:tc>
          <w:tcPr>
            <w:tcW w:w="2325" w:type="dxa"/>
            <w:tcBorders>
              <w:top w:val="single" w:sz="4" w:space="0" w:color="000000"/>
              <w:left w:val="single" w:sz="4" w:space="0" w:color="000000"/>
              <w:bottom w:val="single" w:sz="4" w:space="0" w:color="000000"/>
              <w:right w:val="single" w:sz="4" w:space="0" w:color="000000"/>
            </w:tcBorders>
            <w:shd w:val="clear" w:color="auto" w:fill="EBF0FA"/>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 тижня</w:t>
            </w:r>
          </w:p>
        </w:tc>
        <w:tc>
          <w:tcPr>
            <w:tcW w:w="1695" w:type="dxa"/>
            <w:tcBorders>
              <w:top w:val="single" w:sz="4" w:space="0" w:color="000000"/>
              <w:left w:val="single" w:sz="4" w:space="0" w:color="000000"/>
              <w:bottom w:val="single" w:sz="4" w:space="0" w:color="000000"/>
              <w:right w:val="single" w:sz="4" w:space="0" w:color="000000"/>
            </w:tcBorders>
            <w:shd w:val="clear" w:color="auto" w:fill="EBF0FA"/>
            <w:tcMar>
              <w:top w:w="80" w:type="dxa"/>
              <w:left w:w="120" w:type="dxa"/>
              <w:bottom w:w="80" w:type="dxa"/>
              <w:right w:w="120"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 тижня</w:t>
            </w:r>
          </w:p>
        </w:tc>
        <w:tc>
          <w:tcPr>
            <w:tcW w:w="1380" w:type="dxa"/>
            <w:tcBorders>
              <w:top w:val="single" w:sz="4" w:space="0" w:color="000000"/>
              <w:left w:val="single" w:sz="4" w:space="0" w:color="000000"/>
              <w:bottom w:val="single" w:sz="4" w:space="0" w:color="000000"/>
              <w:right w:val="single" w:sz="4" w:space="0" w:color="000000"/>
            </w:tcBorders>
            <w:shd w:val="clear" w:color="auto" w:fill="EBF0FA"/>
            <w:tcMar>
              <w:top w:w="80" w:type="dxa"/>
              <w:left w:w="120" w:type="dxa"/>
              <w:bottom w:w="80" w:type="dxa"/>
              <w:right w:w="120" w:type="dxa"/>
            </w:tcMar>
          </w:tcPr>
          <w:p w:rsidR="00EF7D49" w:rsidRDefault="009E4D0B">
            <w:pPr>
              <w:spacing w:after="0" w:line="240" w:lineRule="auto"/>
              <w:ind w:left="-141"/>
              <w:jc w:val="center"/>
              <w:rPr>
                <w:rFonts w:ascii="Times New Roman" w:eastAsia="Times New Roman" w:hAnsi="Times New Roman" w:cs="Times New Roman"/>
              </w:rPr>
            </w:pPr>
            <w:r>
              <w:rPr>
                <w:rFonts w:ascii="Times New Roman" w:eastAsia="Times New Roman" w:hAnsi="Times New Roman" w:cs="Times New Roman"/>
              </w:rPr>
              <w:t xml:space="preserve">-48% </w:t>
            </w:r>
          </w:p>
        </w:tc>
        <w:tc>
          <w:tcPr>
            <w:tcW w:w="2265" w:type="dxa"/>
            <w:tcBorders>
              <w:top w:val="single" w:sz="4" w:space="0" w:color="000000"/>
              <w:left w:val="single" w:sz="4" w:space="0" w:color="000000"/>
              <w:bottom w:val="single" w:sz="4" w:space="0" w:color="000000"/>
              <w:right w:val="single" w:sz="4" w:space="0" w:color="000000"/>
            </w:tcBorders>
            <w:shd w:val="clear" w:color="auto" w:fill="EBF0FA"/>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Зростання швидкості розроблення, погодження та затвердження освітніх програм за рахунок наданої автономії закладам професійної освіти</w:t>
            </w:r>
          </w:p>
        </w:tc>
      </w:tr>
    </w:tbl>
    <w:p w:rsidR="00EF7D49" w:rsidRDefault="00EF7D49">
      <w:pPr>
        <w:spacing w:after="0" w:line="240" w:lineRule="auto"/>
        <w:rPr>
          <w:rFonts w:ascii="Times New Roman" w:eastAsia="Times New Roman" w:hAnsi="Times New Roman" w:cs="Times New Roman"/>
        </w:rPr>
      </w:pPr>
    </w:p>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i/>
          <w:iCs/>
        </w:rPr>
        <w:t>Примітка: усі показники годин та відсотків є розрахунковими (експертними) оцінками розробника. Вони не є офіційними статистичними даними та підлягають уточненню за результатами базового відстеження результативності акта (вересень 2027 р.).</w:t>
      </w:r>
    </w:p>
    <w:p w:rsidR="00EF7D49" w:rsidRDefault="00EF7D49">
      <w:pPr>
        <w:spacing w:after="0" w:line="240" w:lineRule="auto"/>
        <w:ind w:firstLine="567"/>
        <w:rPr>
          <w:rFonts w:ascii="Times New Roman" w:eastAsia="Times New Roman" w:hAnsi="Times New Roman" w:cs="Times New Roman"/>
          <w:sz w:val="28"/>
          <w:szCs w:val="28"/>
        </w:rPr>
      </w:pPr>
    </w:p>
    <w:p w:rsidR="00EF7D49" w:rsidRDefault="009E4D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Середнє зменшен</w:t>
      </w:r>
      <w:r>
        <w:rPr>
          <w:rFonts w:ascii="Times New Roman" w:eastAsia="Times New Roman" w:hAnsi="Times New Roman" w:cs="Times New Roman"/>
          <w:sz w:val="28"/>
          <w:szCs w:val="28"/>
        </w:rPr>
        <w:t>ня часових витрат на розроблення освітньої програми у перший рік становить орієнтовно від 42% до 55% залежно від виду професійної діяльності. Це є позитивним наслідком підвищення швидкості виходу спеціалістів на ринок праці, створення умов розроблення гнуч</w:t>
      </w:r>
      <w:r>
        <w:rPr>
          <w:rFonts w:ascii="Times New Roman" w:eastAsia="Times New Roman" w:hAnsi="Times New Roman" w:cs="Times New Roman"/>
          <w:sz w:val="28"/>
          <w:szCs w:val="28"/>
        </w:rPr>
        <w:t>ких освітніх програм для навчання впродовж життя.</w:t>
      </w:r>
    </w:p>
    <w:p w:rsidR="00EF7D49" w:rsidRDefault="009E4D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забезпечення реалістичного впровадження стандарту професійної освіти закладами ПО передбачаються такі преференції.</w:t>
      </w:r>
    </w:p>
    <w:p w:rsidR="00EF7D49" w:rsidRDefault="00EF7D49">
      <w:pPr>
        <w:spacing w:after="0" w:line="240" w:lineRule="auto"/>
        <w:ind w:firstLine="567"/>
        <w:rPr>
          <w:rFonts w:ascii="Times New Roman" w:eastAsia="Times New Roman" w:hAnsi="Times New Roman" w:cs="Times New Roman"/>
          <w:sz w:val="28"/>
          <w:szCs w:val="28"/>
        </w:rPr>
      </w:pPr>
    </w:p>
    <w:tbl>
      <w:tblPr>
        <w:tblStyle w:val="afff5"/>
        <w:tblW w:w="953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0"/>
        <w:gridCol w:w="4531"/>
        <w:gridCol w:w="3000"/>
      </w:tblGrid>
      <w:tr w:rsidR="00EF7D49">
        <w:tc>
          <w:tcPr>
            <w:tcW w:w="200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b/>
                <w:bCs/>
              </w:rPr>
              <w:t>Вид преференції</w:t>
            </w:r>
          </w:p>
        </w:tc>
        <w:tc>
          <w:tcPr>
            <w:tcW w:w="4531"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b/>
                <w:bCs/>
              </w:rPr>
              <w:t>Зміст</w:t>
            </w:r>
          </w:p>
        </w:tc>
        <w:tc>
          <w:tcPr>
            <w:tcW w:w="300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b/>
                <w:bCs/>
              </w:rPr>
              <w:t>Очікуваний ефект</w:t>
            </w:r>
          </w:p>
        </w:tc>
      </w:tr>
      <w:tr w:rsidR="00EF7D49">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Методична підтримка МОН</w:t>
            </w:r>
          </w:p>
        </w:tc>
        <w:tc>
          <w:tcPr>
            <w:tcW w:w="453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МОН розробляє та безоплатно надає типові шаблони освітніх програм; </w:t>
            </w:r>
            <w:r>
              <w:rPr>
                <w:rFonts w:ascii="Times New Roman" w:eastAsia="Times New Roman" w:hAnsi="Times New Roman" w:cs="Times New Roman"/>
              </w:rPr>
              <w:lastRenderedPageBreak/>
              <w:t xml:space="preserve">покроковий алгоритм розроблення освітньої програми; </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Скорочення часових витрат на розроблення програм на ~40%</w:t>
            </w:r>
          </w:p>
        </w:tc>
      </w:tr>
      <w:tr w:rsidR="00EF7D49">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Безоплатні вебінари</w:t>
            </w:r>
          </w:p>
        </w:tc>
        <w:tc>
          <w:tcPr>
            <w:tcW w:w="453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Проведення безоплатних онлайн-</w:t>
            </w:r>
            <w:proofErr w:type="spellStart"/>
            <w:r>
              <w:rPr>
                <w:rFonts w:ascii="Times New Roman" w:eastAsia="Times New Roman" w:hAnsi="Times New Roman" w:cs="Times New Roman"/>
              </w:rPr>
              <w:t>вебінарів</w:t>
            </w:r>
            <w:proofErr w:type="spellEnd"/>
            <w:r>
              <w:rPr>
                <w:rFonts w:ascii="Times New Roman" w:eastAsia="Times New Roman" w:hAnsi="Times New Roman" w:cs="Times New Roman"/>
              </w:rPr>
              <w:t xml:space="preserve"> та навчальних курсів для педпрацівників і методистів закладів професійної освіти щодо впровадження стандарту професійної освіти.</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Скорочення витрат на підготовку персоналу на ~70%</w:t>
            </w:r>
          </w:p>
        </w:tc>
      </w:tr>
      <w:tr w:rsidR="00EF7D49">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Спрощення погодження програм</w:t>
            </w:r>
          </w:p>
        </w:tc>
        <w:tc>
          <w:tcPr>
            <w:tcW w:w="453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Заклад </w:t>
            </w:r>
            <w:r>
              <w:rPr>
                <w:rFonts w:ascii="Times New Roman" w:eastAsia="Times New Roman" w:hAnsi="Times New Roman" w:cs="Times New Roman"/>
              </w:rPr>
              <w:t>затверджує освітню програму самостійно без окремого погодження та затвердження в МОН або регіональних органах управління освітою</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Економія до 4 тижнів адміністративного часу на 1 освітню програму</w:t>
            </w:r>
          </w:p>
        </w:tc>
      </w:tr>
      <w:tr w:rsidR="00EF7D49">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Перехідний термін </w:t>
            </w:r>
          </w:p>
        </w:tc>
        <w:tc>
          <w:tcPr>
            <w:tcW w:w="453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Встановлення перехідного терміну для розр</w:t>
            </w:r>
            <w:r>
              <w:rPr>
                <w:rFonts w:ascii="Times New Roman" w:eastAsia="Times New Roman" w:hAnsi="Times New Roman" w:cs="Times New Roman"/>
              </w:rPr>
              <w:t xml:space="preserve">облення освітніх програм на 2026-2027 навчальний рік відповідно до стандарту професійної освіти: до 31 жовтня 2026 р. </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Зниження адміністративного тиску; рівномірний розподіл навантаження на заклади професійної освіти</w:t>
            </w:r>
          </w:p>
        </w:tc>
      </w:tr>
      <w:tr w:rsidR="00EF7D49">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Платформа взаємодії з роботодавцями</w:t>
            </w:r>
          </w:p>
        </w:tc>
        <w:tc>
          <w:tcPr>
            <w:tcW w:w="453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МОН координує онлайн-платформу взаємодії закладів професійної освіти з роботодавцями для визначення вимог до освітніх програм за професійними кваліфікаціями; результати консультацій фіксуються та враховуються закладами ПО при розробленні/оновленні освітніх</w:t>
            </w:r>
            <w:r>
              <w:rPr>
                <w:rFonts w:ascii="Times New Roman" w:eastAsia="Times New Roman" w:hAnsi="Times New Roman" w:cs="Times New Roman"/>
              </w:rPr>
              <w:t xml:space="preserve"> програм</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Врахування актуальних вимог ринку праці; підвищення гнучкості та привабливості освітніх програм для потенційних здобувачів освіти, скорочення виходу на ринок праці </w:t>
            </w:r>
          </w:p>
        </w:tc>
      </w:tr>
    </w:tbl>
    <w:p w:rsidR="00EF7D49" w:rsidRDefault="00EF7D49">
      <w:pPr>
        <w:spacing w:after="0" w:line="240" w:lineRule="auto"/>
        <w:ind w:firstLine="567"/>
        <w:rPr>
          <w:rFonts w:ascii="Times New Roman" w:eastAsia="Times New Roman" w:hAnsi="Times New Roman" w:cs="Times New Roman"/>
          <w:sz w:val="28"/>
          <w:szCs w:val="28"/>
        </w:rPr>
      </w:pPr>
    </w:p>
    <w:p w:rsidR="00EF7D49" w:rsidRDefault="009E4D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проєкту регуляторного акта не потребує додаткових витрат з державного бюджету. Витрати на методичну підтримку, безоплатні вебінари та координацію платформи взаємодії здійснюватимуться в межах поточного кошторису МОН. Державне регулювання не пере</w:t>
      </w:r>
      <w:r>
        <w:rPr>
          <w:rFonts w:ascii="Times New Roman" w:eastAsia="Times New Roman" w:hAnsi="Times New Roman" w:cs="Times New Roman"/>
          <w:sz w:val="28"/>
          <w:szCs w:val="28"/>
        </w:rPr>
        <w:t>дбачає утворення нового державного органу та збільшення граничної чисельності працівників.</w:t>
      </w:r>
    </w:p>
    <w:p w:rsidR="00EF7D49" w:rsidRDefault="009E4D0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Враховуючи, що питома вага суб'єктів малого підприємництва у загальній кількості суб'єктів господарювання перевищує 10 відсотків, здійснюється розрахунок витрат відп</w:t>
      </w:r>
      <w:r>
        <w:rPr>
          <w:rFonts w:ascii="Times New Roman" w:eastAsia="Times New Roman" w:hAnsi="Times New Roman" w:cs="Times New Roman"/>
          <w:sz w:val="28"/>
          <w:szCs w:val="28"/>
        </w:rPr>
        <w:t>овідно до Додатка 1 (Тест малого підприємництва).</w:t>
      </w:r>
    </w:p>
    <w:p w:rsidR="00EF7D49" w:rsidRDefault="00EF7D49">
      <w:pPr>
        <w:spacing w:after="0" w:line="240" w:lineRule="auto"/>
        <w:ind w:firstLine="708"/>
        <w:jc w:val="both"/>
        <w:rPr>
          <w:rFonts w:ascii="Times New Roman" w:eastAsia="Times New Roman" w:hAnsi="Times New Roman" w:cs="Times New Roman"/>
          <w:sz w:val="28"/>
          <w:szCs w:val="28"/>
        </w:rPr>
      </w:pP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VІІ. Обґрунтування запропонованого строку дії регуляторного акта</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дії регуляторного акта не обмежується в часі, що дасть змогу досягти цілей державного регулювання.</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Зміна строку дії акта можлива в раз</w:t>
      </w:r>
      <w:r>
        <w:rPr>
          <w:rFonts w:ascii="Times New Roman" w:eastAsia="Times New Roman" w:hAnsi="Times New Roman" w:cs="Times New Roman"/>
          <w:sz w:val="28"/>
          <w:szCs w:val="28"/>
        </w:rPr>
        <w:t>і зміни нормативно-правових актів, на вимогах яких базується проєкт регуляторного акта.</w:t>
      </w:r>
    </w:p>
    <w:p w:rsidR="00EF7D49" w:rsidRDefault="009E4D0B">
      <w:pPr>
        <w:spacing w:after="0" w:line="240" w:lineRule="auto"/>
        <w:ind w:firstLine="709"/>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Термін набрання чинності регуляторним актом - з моменту опублікування.</w:t>
      </w:r>
    </w:p>
    <w:p w:rsidR="00EF7D49" w:rsidRDefault="00EF7D49">
      <w:pPr>
        <w:spacing w:after="0" w:line="240" w:lineRule="auto"/>
        <w:jc w:val="both"/>
        <w:rPr>
          <w:rFonts w:ascii="Times New Roman" w:eastAsia="Times New Roman" w:hAnsi="Times New Roman" w:cs="Times New Roman"/>
          <w:sz w:val="28"/>
          <w:szCs w:val="28"/>
        </w:rPr>
      </w:pPr>
    </w:p>
    <w:p w:rsidR="004F2967" w:rsidRDefault="004F2967" w:rsidP="004F2967">
      <w:pPr>
        <w:spacing w:after="0" w:line="240" w:lineRule="auto"/>
        <w:rPr>
          <w:rFonts w:ascii="Times New Roman" w:eastAsia="Times New Roman" w:hAnsi="Times New Roman" w:cs="Times New Roman"/>
          <w:b/>
          <w:bCs/>
          <w:sz w:val="28"/>
          <w:szCs w:val="28"/>
        </w:rPr>
      </w:pPr>
    </w:p>
    <w:p w:rsidR="004F2967" w:rsidRDefault="004F2967" w:rsidP="004F2967">
      <w:pPr>
        <w:spacing w:after="0" w:line="240" w:lineRule="auto"/>
        <w:rPr>
          <w:rFonts w:ascii="Times New Roman" w:eastAsia="Times New Roman" w:hAnsi="Times New Roman" w:cs="Times New Roman"/>
          <w:b/>
          <w:bCs/>
          <w:sz w:val="28"/>
          <w:szCs w:val="28"/>
        </w:rPr>
      </w:pPr>
    </w:p>
    <w:p w:rsidR="00EF7D49" w:rsidRDefault="009E4D0B" w:rsidP="004F2967">
      <w:pPr>
        <w:spacing w:after="0" w:line="240" w:lineRule="auto"/>
        <w:ind w:firstLine="70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VІІІ. Визначення показників результативності дії регуляторного акта</w:t>
      </w:r>
    </w:p>
    <w:p w:rsidR="00EF7D49" w:rsidRDefault="009E4D0B">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 акта поширюється на закл</w:t>
      </w:r>
      <w:r>
        <w:rPr>
          <w:rFonts w:ascii="Times New Roman" w:eastAsia="Times New Roman" w:hAnsi="Times New Roman" w:cs="Times New Roman"/>
          <w:sz w:val="28"/>
          <w:szCs w:val="28"/>
        </w:rPr>
        <w:t xml:space="preserve">ади професійної освіти, крім закладів професійної освіти зі специфічними умовами навчання, військових закладів професійної освіти, що використовують стандарти спеціалізованої освіти військового або </w:t>
      </w:r>
      <w:proofErr w:type="spellStart"/>
      <w:r>
        <w:rPr>
          <w:rFonts w:ascii="Times New Roman" w:eastAsia="Times New Roman" w:hAnsi="Times New Roman" w:cs="Times New Roman"/>
          <w:sz w:val="28"/>
          <w:szCs w:val="28"/>
        </w:rPr>
        <w:t>безпекового</w:t>
      </w:r>
      <w:proofErr w:type="spellEnd"/>
      <w:r>
        <w:rPr>
          <w:rFonts w:ascii="Times New Roman" w:eastAsia="Times New Roman" w:hAnsi="Times New Roman" w:cs="Times New Roman"/>
          <w:sz w:val="28"/>
          <w:szCs w:val="28"/>
        </w:rPr>
        <w:t xml:space="preserve"> спрямування, затверджені центральними органами</w:t>
      </w:r>
      <w:r>
        <w:rPr>
          <w:rFonts w:ascii="Times New Roman" w:eastAsia="Times New Roman" w:hAnsi="Times New Roman" w:cs="Times New Roman"/>
          <w:sz w:val="28"/>
          <w:szCs w:val="28"/>
        </w:rPr>
        <w:t xml:space="preserve"> виконавчої влади, до сфери управління яких належать відповідні заклади освіти.</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Прогнозними значеннями показників результативності регуляторного </w:t>
      </w:r>
      <w:r>
        <w:rPr>
          <w:rFonts w:ascii="Times New Roman" w:eastAsia="Times New Roman" w:hAnsi="Times New Roman" w:cs="Times New Roman"/>
          <w:sz w:val="28"/>
          <w:szCs w:val="28"/>
        </w:rPr>
        <w:br/>
        <w:t xml:space="preserve">акта є: </w:t>
      </w:r>
      <w:r>
        <w:rPr>
          <w:rFonts w:ascii="Times New Roman" w:eastAsia="Times New Roman" w:hAnsi="Times New Roman" w:cs="Times New Roman"/>
          <w:sz w:val="28"/>
          <w:szCs w:val="28"/>
        </w:rPr>
        <w:tab/>
      </w:r>
    </w:p>
    <w:p w:rsidR="00EF7D49" w:rsidRDefault="009E4D0B">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суб’єктів господарювання, на яких поширюватиметься дія акта (640);</w:t>
      </w:r>
    </w:p>
    <w:p w:rsidR="00EF7D49" w:rsidRDefault="009E4D0B">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sz w:val="28"/>
          <w:szCs w:val="28"/>
        </w:rPr>
        <w:t>розмір коштів і час, що</w:t>
      </w:r>
      <w:r>
        <w:rPr>
          <w:rFonts w:ascii="Times New Roman" w:eastAsia="Times New Roman" w:hAnsi="Times New Roman" w:cs="Times New Roman"/>
          <w:sz w:val="28"/>
          <w:szCs w:val="28"/>
        </w:rPr>
        <w:t xml:space="preserve"> витрачатиметься суб’єктами господарювання на дії, пов’язані з реалізацією вимог акта;</w:t>
      </w:r>
    </w:p>
    <w:p w:rsidR="00EF7D49" w:rsidRDefault="009E4D0B">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розмір надходжень до державного і місцевого бюджетів, пов’язаних з дією акта (не прогнозується);</w:t>
      </w:r>
    </w:p>
    <w:p w:rsidR="00EF7D49" w:rsidRDefault="009E4D0B">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закладів ПО, що розробили освітні програми відповідно до запропонованого стандарту професійної освіти;</w:t>
      </w:r>
    </w:p>
    <w:p w:rsidR="00EF7D49" w:rsidRDefault="009E4D0B">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частка здобувачів, які навчаються за новими освітніми програмами;</w:t>
      </w:r>
    </w:p>
    <w:p w:rsidR="00EF7D49" w:rsidRDefault="009E4D0B">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рівень задоволеності роботодавців якістю підготовки випускників (розрахункова</w:t>
      </w:r>
      <w:r>
        <w:rPr>
          <w:rFonts w:ascii="Times New Roman" w:eastAsia="Times New Roman" w:hAnsi="Times New Roman" w:cs="Times New Roman"/>
          <w:sz w:val="28"/>
          <w:szCs w:val="28"/>
        </w:rPr>
        <w:t xml:space="preserve"> базова оцінка: ~40-45%; прогнозована через 3 роки після впровадження: 60-65%+).</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Рівень поінформованості суб’єктів господарювання та/або фізичних осіб з основних положень регуляторного акта визначається як середній, з огляду на відкритий доступ до акта та </w:t>
      </w:r>
      <w:r>
        <w:rPr>
          <w:rFonts w:ascii="Times New Roman" w:eastAsia="Times New Roman" w:hAnsi="Times New Roman" w:cs="Times New Roman"/>
          <w:sz w:val="28"/>
          <w:szCs w:val="28"/>
        </w:rPr>
        <w:t xml:space="preserve">офіційні канали комунікації. Міністерством освіти і науки України забезпечується оприлюднення його у встановленому законодавством порядку, зокрема на офіційному вебсайті Міністерства освіти і науки (http://mon.gov.ua). </w:t>
      </w:r>
    </w:p>
    <w:p w:rsidR="00EF7D49" w:rsidRDefault="00EF7D49">
      <w:pPr>
        <w:spacing w:after="0" w:line="240" w:lineRule="auto"/>
        <w:ind w:firstLine="709"/>
        <w:jc w:val="both"/>
        <w:rPr>
          <w:rFonts w:ascii="Times New Roman" w:eastAsia="Times New Roman" w:hAnsi="Times New Roman" w:cs="Times New Roman"/>
          <w:sz w:val="28"/>
          <w:szCs w:val="28"/>
        </w:rPr>
      </w:pPr>
    </w:p>
    <w:p w:rsidR="00EF7D49" w:rsidRDefault="009E4D0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ІХ. Визначення заходів, за допомого</w:t>
      </w:r>
      <w:r>
        <w:rPr>
          <w:rFonts w:ascii="Times New Roman" w:eastAsia="Times New Roman" w:hAnsi="Times New Roman" w:cs="Times New Roman"/>
          <w:b/>
          <w:bCs/>
          <w:sz w:val="28"/>
          <w:szCs w:val="28"/>
        </w:rPr>
        <w:t>ю яких здійснюватиметься відстеження результативності дії регуляторного акта</w:t>
      </w:r>
    </w:p>
    <w:p w:rsidR="00EF7D49" w:rsidRDefault="009E4D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Відстеження результативності дії регуляторного акта буде проводитися Міністерством освіти і науки України за допомогою заходів, спрямованих на оцінку стану впровадження регуляторн</w:t>
      </w:r>
      <w:r>
        <w:rPr>
          <w:rFonts w:ascii="Times New Roman" w:eastAsia="Times New Roman" w:hAnsi="Times New Roman" w:cs="Times New Roman"/>
          <w:sz w:val="28"/>
          <w:szCs w:val="28"/>
        </w:rPr>
        <w:t>ого акта та визначення ефективності та доцільності впровадженого регулювання шляхом аналізу статистичних показників.</w:t>
      </w:r>
    </w:p>
    <w:p w:rsidR="00EF7D49" w:rsidRDefault="009E4D0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Базове відстеження результативності регуляторного акта буде здійснюватися після набрання чинності цим регуляторним актом, але не пізніше дн</w:t>
      </w:r>
      <w:r>
        <w:rPr>
          <w:rFonts w:ascii="Times New Roman" w:eastAsia="Times New Roman" w:hAnsi="Times New Roman" w:cs="Times New Roman"/>
          <w:sz w:val="28"/>
          <w:szCs w:val="28"/>
        </w:rPr>
        <w:t>я, з якого починається проведення повторного відстеження результативності цього акта (листопад 2026 року).</w:t>
      </w:r>
    </w:p>
    <w:p w:rsidR="00EF7D49" w:rsidRDefault="009E4D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Повторне відстеження результативності регуляторного акта проводитиметься через рік після набрання чинності цього акта (листопад 2027 року).</w:t>
      </w:r>
    </w:p>
    <w:p w:rsidR="00EF7D49" w:rsidRDefault="009E4D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Періодичн</w:t>
      </w:r>
      <w:r>
        <w:rPr>
          <w:rFonts w:ascii="Times New Roman" w:eastAsia="Times New Roman" w:hAnsi="Times New Roman" w:cs="Times New Roman"/>
          <w:sz w:val="28"/>
          <w:szCs w:val="28"/>
        </w:rPr>
        <w:t xml:space="preserve">е відстеження здійснюватиметься раз на три роки, починаючи з дня виконання заходів повторного відстеження (листопад 2030 року). </w:t>
      </w:r>
    </w:p>
    <w:p w:rsidR="00EF7D49" w:rsidRDefault="009E4D0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виявлення неврегульованих та проблемних питань шляхом аналізу кількісних показників дії цього акта, питання будуть врегульовані шляхом внесення відповідних змін.</w:t>
      </w:r>
    </w:p>
    <w:p w:rsidR="00EF7D49" w:rsidRDefault="00EF7D49">
      <w:pPr>
        <w:spacing w:after="0" w:line="240" w:lineRule="auto"/>
        <w:rPr>
          <w:rFonts w:ascii="Times New Roman" w:eastAsia="Times New Roman" w:hAnsi="Times New Roman" w:cs="Times New Roman"/>
          <w:sz w:val="16"/>
          <w:szCs w:val="16"/>
        </w:rPr>
      </w:pPr>
    </w:p>
    <w:tbl>
      <w:tblPr>
        <w:tblStyle w:val="afff6"/>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8"/>
        <w:gridCol w:w="4676"/>
      </w:tblGrid>
      <w:tr w:rsidR="00EF7D49">
        <w:tc>
          <w:tcPr>
            <w:tcW w:w="4678" w:type="dxa"/>
          </w:tcPr>
          <w:p w:rsidR="00EF7D49" w:rsidRDefault="009E4D0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Міністр освіти і науки України</w:t>
            </w:r>
          </w:p>
        </w:tc>
        <w:tc>
          <w:tcPr>
            <w:tcW w:w="4676" w:type="dxa"/>
          </w:tcPr>
          <w:p w:rsidR="00EF7D49" w:rsidRDefault="009E4D0B">
            <w:pPr>
              <w:spacing w:after="0" w:line="240" w:lineRule="auto"/>
              <w:ind w:right="146"/>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Оксен ЛІСОВИЙ</w:t>
            </w:r>
          </w:p>
        </w:tc>
      </w:tr>
      <w:tr w:rsidR="00EF7D49">
        <w:tc>
          <w:tcPr>
            <w:tcW w:w="4678" w:type="dxa"/>
          </w:tcPr>
          <w:p w:rsidR="00EF7D49" w:rsidRDefault="00EF7D49">
            <w:pPr>
              <w:spacing w:after="0" w:line="240" w:lineRule="auto"/>
              <w:rPr>
                <w:rFonts w:ascii="Times New Roman" w:eastAsia="Times New Roman" w:hAnsi="Times New Roman" w:cs="Times New Roman"/>
                <w:b/>
                <w:bCs/>
                <w:sz w:val="28"/>
                <w:szCs w:val="28"/>
              </w:rPr>
            </w:pPr>
          </w:p>
        </w:tc>
        <w:tc>
          <w:tcPr>
            <w:tcW w:w="4676" w:type="dxa"/>
          </w:tcPr>
          <w:p w:rsidR="00EF7D49" w:rsidRDefault="00EF7D49">
            <w:pPr>
              <w:spacing w:after="0" w:line="240" w:lineRule="auto"/>
              <w:jc w:val="right"/>
              <w:rPr>
                <w:rFonts w:ascii="Times New Roman" w:eastAsia="Times New Roman" w:hAnsi="Times New Roman" w:cs="Times New Roman"/>
                <w:b/>
                <w:bCs/>
                <w:sz w:val="28"/>
                <w:szCs w:val="28"/>
              </w:rPr>
            </w:pPr>
          </w:p>
        </w:tc>
      </w:tr>
      <w:tr w:rsidR="00EF7D49">
        <w:tc>
          <w:tcPr>
            <w:tcW w:w="4678" w:type="dxa"/>
          </w:tcPr>
          <w:p w:rsidR="00EF7D49" w:rsidRDefault="009E4D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 _____________ 2026 р.</w:t>
            </w:r>
          </w:p>
        </w:tc>
        <w:tc>
          <w:tcPr>
            <w:tcW w:w="4676" w:type="dxa"/>
          </w:tcPr>
          <w:p w:rsidR="00EF7D49" w:rsidRDefault="00EF7D49">
            <w:pPr>
              <w:spacing w:after="0" w:line="240" w:lineRule="auto"/>
              <w:rPr>
                <w:rFonts w:ascii="Times New Roman" w:eastAsia="Times New Roman" w:hAnsi="Times New Roman" w:cs="Times New Roman"/>
                <w:sz w:val="28"/>
                <w:szCs w:val="28"/>
              </w:rPr>
            </w:pPr>
          </w:p>
        </w:tc>
      </w:tr>
    </w:tbl>
    <w:p w:rsidR="00EF7D49" w:rsidRDefault="00EF7D49">
      <w:pPr>
        <w:spacing w:after="0" w:line="240" w:lineRule="auto"/>
        <w:jc w:val="right"/>
        <w:rPr>
          <w:rFonts w:ascii="Times New Roman" w:eastAsia="Times New Roman" w:hAnsi="Times New Roman" w:cs="Times New Roman"/>
          <w:sz w:val="28"/>
          <w:szCs w:val="28"/>
        </w:rPr>
        <w:sectPr w:rsidR="00EF7D49">
          <w:pgSz w:w="11906" w:h="16838"/>
          <w:pgMar w:top="1312" w:right="850" w:bottom="1774" w:left="1417" w:header="708" w:footer="708" w:gutter="0"/>
          <w:pgNumType w:start="1"/>
          <w:cols w:space="720"/>
        </w:sectPr>
      </w:pPr>
    </w:p>
    <w:p w:rsidR="00EF7D49" w:rsidRDefault="009E4D0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1</w:t>
      </w:r>
    </w:p>
    <w:p w:rsidR="00EF7D49" w:rsidRDefault="00EF7D49">
      <w:pPr>
        <w:spacing w:after="0" w:line="240" w:lineRule="auto"/>
        <w:rPr>
          <w:rFonts w:ascii="Times New Roman" w:eastAsia="Times New Roman" w:hAnsi="Times New Roman" w:cs="Times New Roman"/>
          <w:sz w:val="28"/>
          <w:szCs w:val="28"/>
        </w:rPr>
      </w:pPr>
    </w:p>
    <w:p w:rsidR="00EF7D49" w:rsidRDefault="00EF7D49">
      <w:pPr>
        <w:keepNext/>
        <w:spacing w:after="0" w:line="240" w:lineRule="auto"/>
        <w:jc w:val="center"/>
        <w:rPr>
          <w:rFonts w:ascii="Times New Roman" w:eastAsia="Times New Roman" w:hAnsi="Times New Roman" w:cs="Times New Roman"/>
          <w:b/>
          <w:bCs/>
          <w:sz w:val="28"/>
          <w:szCs w:val="28"/>
        </w:rPr>
      </w:pPr>
    </w:p>
    <w:p w:rsidR="00EF7D49" w:rsidRDefault="009E4D0B">
      <w:pPr>
        <w:keepNext/>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ТЕСТ</w:t>
      </w:r>
      <w:r>
        <w:rPr>
          <w:rFonts w:ascii="Times New Roman" w:eastAsia="Times New Roman" w:hAnsi="Times New Roman" w:cs="Times New Roman"/>
          <w:b/>
          <w:bCs/>
          <w:sz w:val="28"/>
          <w:szCs w:val="28"/>
        </w:rPr>
        <w:br/>
        <w:t>малого підприємництва (М-Тест)</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Консультації з представниками малого підприємництва щодо оцінки впливу регулювання.</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Консультації щодо визначення впливу запропонованого регулювання на суб’єктів малого підприємництва та в</w:t>
      </w:r>
      <w:r>
        <w:rPr>
          <w:rFonts w:ascii="Times New Roman" w:eastAsia="Times New Roman" w:hAnsi="Times New Roman" w:cs="Times New Roman"/>
          <w:sz w:val="28"/>
          <w:szCs w:val="28"/>
        </w:rPr>
        <w:t>изначення детального переліку процедур, виконання яких необхідно для здійснення регулювання, проведено розробником у період: квітень  2025 – лютий 2026 року.</w:t>
      </w:r>
    </w:p>
    <w:p w:rsidR="00EF7D49" w:rsidRDefault="00EF7D49">
      <w:pPr>
        <w:spacing w:after="0" w:line="240" w:lineRule="auto"/>
        <w:ind w:firstLine="709"/>
        <w:jc w:val="both"/>
        <w:rPr>
          <w:rFonts w:ascii="Times New Roman" w:eastAsia="Times New Roman" w:hAnsi="Times New Roman" w:cs="Times New Roman"/>
          <w:sz w:val="28"/>
          <w:szCs w:val="28"/>
        </w:rPr>
      </w:pPr>
    </w:p>
    <w:tbl>
      <w:tblPr>
        <w:tblStyle w:val="afff7"/>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3210"/>
        <w:gridCol w:w="1770"/>
        <w:gridCol w:w="3915"/>
      </w:tblGrid>
      <w:tr w:rsidR="00EF7D49">
        <w:tc>
          <w:tcPr>
            <w:tcW w:w="600" w:type="dxa"/>
            <w:tcMar>
              <w:top w:w="55" w:type="dxa"/>
              <w:left w:w="55" w:type="dxa"/>
              <w:bottom w:w="55" w:type="dxa"/>
              <w:right w:w="55" w:type="dxa"/>
            </w:tcMar>
          </w:tcPr>
          <w:p w:rsidR="00EF7D49" w:rsidRDefault="009E4D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210" w:type="dxa"/>
            <w:tcMar>
              <w:top w:w="55" w:type="dxa"/>
              <w:left w:w="55" w:type="dxa"/>
              <w:bottom w:w="55" w:type="dxa"/>
              <w:right w:w="55" w:type="dxa"/>
            </w:tcMar>
          </w:tcPr>
          <w:p w:rsidR="00EF7D49" w:rsidRDefault="009E4D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Вид консультації (публічні консультації прямі (круглі столи, наради, робочі зустрічі тощо), інт</w:t>
            </w:r>
            <w:r>
              <w:rPr>
                <w:rFonts w:ascii="Times New Roman" w:eastAsia="Times New Roman" w:hAnsi="Times New Roman" w:cs="Times New Roman"/>
                <w:b/>
                <w:bCs/>
              </w:rPr>
              <w:t>ернет-консультації прямі (інтернет-форуми, соціальні мережі тощо), запити (до підприємців, експертів, науковців тощо)</w:t>
            </w:r>
          </w:p>
        </w:tc>
        <w:tc>
          <w:tcPr>
            <w:tcW w:w="1770" w:type="dxa"/>
            <w:tcMar>
              <w:top w:w="55" w:type="dxa"/>
              <w:left w:w="55" w:type="dxa"/>
              <w:bottom w:w="55" w:type="dxa"/>
              <w:right w:w="55" w:type="dxa"/>
            </w:tcMar>
          </w:tcPr>
          <w:p w:rsidR="00EF7D49" w:rsidRDefault="009E4D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Кількість учасників консультацій, осіб</w:t>
            </w:r>
          </w:p>
        </w:tc>
        <w:tc>
          <w:tcPr>
            <w:tcW w:w="3915" w:type="dxa"/>
            <w:tcMar>
              <w:top w:w="55" w:type="dxa"/>
              <w:left w:w="55" w:type="dxa"/>
              <w:bottom w:w="55" w:type="dxa"/>
              <w:right w:w="55" w:type="dxa"/>
            </w:tcMar>
          </w:tcPr>
          <w:p w:rsidR="00EF7D49" w:rsidRDefault="009E4D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Основні результати консультацій (опис)</w:t>
            </w:r>
          </w:p>
        </w:tc>
      </w:tr>
      <w:tr w:rsidR="00EF7D49">
        <w:tc>
          <w:tcPr>
            <w:tcW w:w="600" w:type="dxa"/>
            <w:tcMar>
              <w:top w:w="55" w:type="dxa"/>
              <w:left w:w="55" w:type="dxa"/>
              <w:bottom w:w="55" w:type="dxa"/>
              <w:right w:w="55"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3210" w:type="dxa"/>
            <w:tcMar>
              <w:top w:w="55" w:type="dxa"/>
              <w:left w:w="55" w:type="dxa"/>
              <w:bottom w:w="55" w:type="dxa"/>
              <w:right w:w="55" w:type="dxa"/>
            </w:tcMar>
          </w:tcPr>
          <w:p w:rsidR="00EF7D49" w:rsidRDefault="009E4D0B">
            <w:pPr>
              <w:widowControl w:val="0"/>
              <w:pBdr>
                <w:top w:val="nil"/>
                <w:left w:val="nil"/>
                <w:bottom w:val="nil"/>
                <w:right w:val="nil"/>
                <w:between w:val="nil"/>
              </w:pBdr>
              <w:tabs>
                <w:tab w:val="left" w:pos="3538"/>
              </w:tabs>
              <w:spacing w:after="0" w:line="240" w:lineRule="auto"/>
              <w:rPr>
                <w:rFonts w:ascii="Times New Roman" w:eastAsia="Times New Roman" w:hAnsi="Times New Roman" w:cs="Times New Roman"/>
              </w:rPr>
            </w:pPr>
            <w:r>
              <w:rPr>
                <w:rFonts w:ascii="Times New Roman" w:eastAsia="Times New Roman" w:hAnsi="Times New Roman" w:cs="Times New Roman"/>
              </w:rPr>
              <w:t>Форум “Професійна освіта: нові правила, нові можливості” (м. Івано-Франківськ, 3 – 4.12.2025)</w:t>
            </w:r>
          </w:p>
        </w:tc>
        <w:tc>
          <w:tcPr>
            <w:tcW w:w="1770" w:type="dxa"/>
            <w:tcMar>
              <w:top w:w="55" w:type="dxa"/>
              <w:left w:w="55" w:type="dxa"/>
              <w:bottom w:w="55" w:type="dxa"/>
              <w:right w:w="55"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p>
        </w:tc>
        <w:tc>
          <w:tcPr>
            <w:tcW w:w="3915" w:type="dxa"/>
            <w:tcMar>
              <w:top w:w="55" w:type="dxa"/>
              <w:left w:w="55" w:type="dxa"/>
              <w:bottom w:w="55" w:type="dxa"/>
              <w:right w:w="55" w:type="dxa"/>
            </w:tcMar>
            <w:vAlign w:val="cente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Обговорення пропозицій до стандарту професійної освіти</w:t>
            </w:r>
          </w:p>
        </w:tc>
      </w:tr>
      <w:tr w:rsidR="00EF7D49">
        <w:tc>
          <w:tcPr>
            <w:tcW w:w="6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32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F7D49" w:rsidRDefault="009E4D0B">
            <w:pPr>
              <w:widowControl w:val="0"/>
              <w:pBdr>
                <w:top w:val="nil"/>
                <w:left w:val="nil"/>
                <w:bottom w:val="nil"/>
                <w:right w:val="nil"/>
                <w:between w:val="nil"/>
              </w:pBdr>
              <w:tabs>
                <w:tab w:val="left" w:pos="3538"/>
              </w:tabs>
              <w:spacing w:after="0" w:line="240" w:lineRule="auto"/>
              <w:rPr>
                <w:rFonts w:ascii="Times New Roman" w:eastAsia="Times New Roman" w:hAnsi="Times New Roman" w:cs="Times New Roman"/>
              </w:rPr>
            </w:pPr>
            <w:r>
              <w:rPr>
                <w:rFonts w:ascii="Times New Roman" w:eastAsia="Times New Roman" w:hAnsi="Times New Roman" w:cs="Times New Roman"/>
              </w:rPr>
              <w:t>Наради з директорами департаментів освіти облдержадміністрацій та керівниками закладів професійної освіти (онлайн, 21.10.2025 та 25.11.2025)</w:t>
            </w:r>
          </w:p>
        </w:tc>
        <w:tc>
          <w:tcPr>
            <w:tcW w:w="17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3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Обговорення пропозицій до стандарту професійної освіти</w:t>
            </w:r>
          </w:p>
        </w:tc>
      </w:tr>
      <w:tr w:rsidR="00EF7D49">
        <w:tc>
          <w:tcPr>
            <w:tcW w:w="6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32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F7D49" w:rsidRDefault="009E4D0B">
            <w:pPr>
              <w:widowControl w:val="0"/>
              <w:pBdr>
                <w:top w:val="nil"/>
                <w:left w:val="nil"/>
                <w:bottom w:val="nil"/>
                <w:right w:val="nil"/>
                <w:between w:val="nil"/>
              </w:pBdr>
              <w:tabs>
                <w:tab w:val="left" w:pos="3538"/>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Тренінги з розроблення освітніх програм за </w:t>
            </w:r>
            <w:r>
              <w:rPr>
                <w:rFonts w:ascii="Times New Roman" w:eastAsia="Times New Roman" w:hAnsi="Times New Roman" w:cs="Times New Roman"/>
              </w:rPr>
              <w:t>45 професійними кваліфікаціями (квітень- жовтень 2025 р)</w:t>
            </w:r>
          </w:p>
        </w:tc>
        <w:tc>
          <w:tcPr>
            <w:tcW w:w="17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F7D49" w:rsidRDefault="009E4D0B">
            <w:pPr>
              <w:widowControl w:val="0"/>
              <w:tabs>
                <w:tab w:val="left" w:pos="3538"/>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3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Розроблення проектів освітніх програм</w:t>
            </w:r>
          </w:p>
        </w:tc>
      </w:tr>
      <w:tr w:rsidR="00EF7D49">
        <w:tc>
          <w:tcPr>
            <w:tcW w:w="6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32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F7D49" w:rsidRDefault="009E4D0B">
            <w:pPr>
              <w:widowControl w:val="0"/>
              <w:pBdr>
                <w:top w:val="nil"/>
                <w:left w:val="nil"/>
                <w:bottom w:val="nil"/>
                <w:right w:val="nil"/>
                <w:between w:val="nil"/>
              </w:pBdr>
              <w:tabs>
                <w:tab w:val="left" w:pos="3538"/>
              </w:tabs>
              <w:spacing w:after="0" w:line="240" w:lineRule="auto"/>
              <w:rPr>
                <w:rFonts w:ascii="Times New Roman" w:eastAsia="Times New Roman" w:hAnsi="Times New Roman" w:cs="Times New Roman"/>
              </w:rPr>
            </w:pPr>
            <w:r>
              <w:rPr>
                <w:rFonts w:ascii="Times New Roman" w:eastAsia="Times New Roman" w:hAnsi="Times New Roman" w:cs="Times New Roman"/>
              </w:rPr>
              <w:t>Навчальні сесії для потенційних розробників освітніх програм (червень 2025 р., лютий 2026 р. )</w:t>
            </w:r>
          </w:p>
        </w:tc>
        <w:tc>
          <w:tcPr>
            <w:tcW w:w="17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F7D49" w:rsidRDefault="009E4D0B">
            <w:pPr>
              <w:widowControl w:val="0"/>
              <w:tabs>
                <w:tab w:val="left" w:pos="3538"/>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370</w:t>
            </w:r>
          </w:p>
        </w:tc>
        <w:tc>
          <w:tcPr>
            <w:tcW w:w="3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EF7D49" w:rsidRDefault="009E4D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Обговорення структури освітньої програми, порядок розроблення навчальних модулів, оптимізація навчального плану</w:t>
            </w:r>
          </w:p>
        </w:tc>
      </w:tr>
    </w:tbl>
    <w:p w:rsidR="00EF7D49" w:rsidRDefault="00EF7D49">
      <w:pPr>
        <w:spacing w:after="0" w:line="240" w:lineRule="auto"/>
        <w:ind w:firstLine="709"/>
        <w:jc w:val="both"/>
        <w:rPr>
          <w:rFonts w:ascii="Times New Roman" w:eastAsia="Times New Roman" w:hAnsi="Times New Roman" w:cs="Times New Roman"/>
          <w:sz w:val="28"/>
          <w:szCs w:val="28"/>
        </w:rPr>
      </w:pPr>
    </w:p>
    <w:p w:rsidR="00EF7D49" w:rsidRDefault="009E4D0B">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2. Вимірювання впливу регулювання на суб’єктів малого підприємництва (мікро- та малі):</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кількість суб’єктів господарювання, на яких поширюється регулювання – 640, у тому числі малого підприємництва – 640 одиниць та </w:t>
      </w:r>
      <w:proofErr w:type="spellStart"/>
      <w:r>
        <w:rPr>
          <w:rFonts w:ascii="Times New Roman" w:eastAsia="Times New Roman" w:hAnsi="Times New Roman" w:cs="Times New Roman"/>
          <w:sz w:val="28"/>
          <w:szCs w:val="28"/>
        </w:rPr>
        <w:t>мікропідприємництва</w:t>
      </w:r>
      <w:proofErr w:type="spellEnd"/>
      <w:r>
        <w:rPr>
          <w:rFonts w:ascii="Times New Roman" w:eastAsia="Times New Roman" w:hAnsi="Times New Roman" w:cs="Times New Roman"/>
          <w:sz w:val="28"/>
          <w:szCs w:val="28"/>
        </w:rPr>
        <w:t xml:space="preserve"> – 0 одиниць;</w:t>
      </w:r>
    </w:p>
    <w:p w:rsidR="00EF7D49" w:rsidRDefault="009E4D0B">
      <w:pPr>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28"/>
          <w:szCs w:val="28"/>
        </w:rPr>
        <w:t>питома вага суб’єктів малого підприємництва у загальній кількості суб'єктів господарювання, на я</w:t>
      </w:r>
      <w:r>
        <w:rPr>
          <w:rFonts w:ascii="Times New Roman" w:eastAsia="Times New Roman" w:hAnsi="Times New Roman" w:cs="Times New Roman"/>
          <w:sz w:val="28"/>
          <w:szCs w:val="28"/>
        </w:rPr>
        <w:t xml:space="preserve">ких проблема справляє вплив – 100% (відсотків). </w:t>
      </w:r>
    </w:p>
    <w:p w:rsidR="00EF7D49" w:rsidRDefault="009E4D0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 Розрахунок витрат суб'єктів малого підприємництва на виконання вимог регулювання </w:t>
      </w:r>
    </w:p>
    <w:tbl>
      <w:tblPr>
        <w:tblStyle w:val="afff8"/>
        <w:tblW w:w="93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6"/>
        <w:gridCol w:w="3257"/>
        <w:gridCol w:w="1710"/>
        <w:gridCol w:w="1569"/>
        <w:gridCol w:w="1414"/>
      </w:tblGrid>
      <w:tr w:rsidR="00EF7D49">
        <w:trPr>
          <w:jc w:val="center"/>
        </w:trPr>
        <w:tc>
          <w:tcPr>
            <w:tcW w:w="1436" w:type="dxa"/>
          </w:tcPr>
          <w:p w:rsidR="00EF7D49" w:rsidRDefault="009E4D0B">
            <w:pPr>
              <w:spacing w:after="0" w:line="240" w:lineRule="auto"/>
              <w:ind w:right="-88"/>
              <w:jc w:val="center"/>
              <w:rPr>
                <w:rFonts w:ascii="Times New Roman" w:eastAsia="Times New Roman" w:hAnsi="Times New Roman" w:cs="Times New Roman"/>
              </w:rPr>
            </w:pPr>
            <w:r>
              <w:rPr>
                <w:rFonts w:ascii="Times New Roman" w:eastAsia="Times New Roman" w:hAnsi="Times New Roman" w:cs="Times New Roman"/>
              </w:rPr>
              <w:t>Порядковий номер</w:t>
            </w:r>
          </w:p>
        </w:tc>
        <w:tc>
          <w:tcPr>
            <w:tcW w:w="3257"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Найменування оцінки</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 перший рік (стартовий рік впровадження регулювання)</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Періодичні (за наступний рік)</w:t>
            </w:r>
          </w:p>
        </w:tc>
        <w:tc>
          <w:tcPr>
            <w:tcW w:w="141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Витрати за</w:t>
            </w:r>
            <w:r>
              <w:rPr>
                <w:rFonts w:ascii="Times New Roman" w:eastAsia="Times New Roman" w:hAnsi="Times New Roman" w:cs="Times New Roman"/>
              </w:rPr>
              <w:br/>
              <w:t>п’ять років</w:t>
            </w:r>
          </w:p>
        </w:tc>
      </w:tr>
      <w:tr w:rsidR="00EF7D49">
        <w:trPr>
          <w:jc w:val="center"/>
        </w:trPr>
        <w:tc>
          <w:tcPr>
            <w:tcW w:w="9386" w:type="dxa"/>
            <w:gridSpan w:val="5"/>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Оцінка “прямих” витрат суб’єктів малого підприємництва на виконання регулювання</w:t>
            </w:r>
          </w:p>
        </w:tc>
      </w:tr>
      <w:tr w:rsidR="00EF7D49">
        <w:trPr>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Придбання необхідного обладнання (пристроїв, машин, механізмів) </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rPr>
          <w:trHeight w:val="95"/>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Процедури повірки та/або постановки на відповідний облік у визначеному органі державної влади чи місцевого самоврядування</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rPr>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Процедури експлуатації обладнання (експлуатаційні витрати – витратні матеріали (канцелярські товари))</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rPr>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Процедури обслуговування обладнання (технічне обслуговування)</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rPr>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Інші процедури</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rPr>
          <w:jc w:val="center"/>
        </w:trPr>
        <w:tc>
          <w:tcPr>
            <w:tcW w:w="1436" w:type="dxa"/>
          </w:tcPr>
          <w:p w:rsidR="00EF7D49" w:rsidRDefault="009E4D0B">
            <w:pPr>
              <w:tabs>
                <w:tab w:val="left" w:pos="375"/>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3257" w:type="dxa"/>
          </w:tcPr>
          <w:p w:rsidR="00EF7D49" w:rsidRDefault="009E4D0B">
            <w:pPr>
              <w:tabs>
                <w:tab w:val="left" w:pos="375"/>
              </w:tabs>
              <w:spacing w:after="0" w:line="240" w:lineRule="auto"/>
              <w:rPr>
                <w:rFonts w:ascii="Times New Roman" w:eastAsia="Times New Roman" w:hAnsi="Times New Roman" w:cs="Times New Roman"/>
              </w:rPr>
            </w:pPr>
            <w:r>
              <w:rPr>
                <w:rFonts w:ascii="Times New Roman" w:eastAsia="Times New Roman" w:hAnsi="Times New Roman" w:cs="Times New Roman"/>
              </w:rPr>
              <w:t>Разом (сума рядків 1 + 2 + 3 + 4 + 5), гривень</w:t>
            </w:r>
          </w:p>
        </w:tc>
        <w:tc>
          <w:tcPr>
            <w:tcW w:w="1710" w:type="dxa"/>
          </w:tcPr>
          <w:p w:rsidR="00EF7D49" w:rsidRDefault="009E4D0B">
            <w:pPr>
              <w:tabs>
                <w:tab w:val="left" w:pos="375"/>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9" w:type="dxa"/>
          </w:tcPr>
          <w:p w:rsidR="00EF7D49" w:rsidRDefault="009E4D0B">
            <w:pPr>
              <w:tabs>
                <w:tab w:val="left" w:pos="375"/>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tcPr>
          <w:p w:rsidR="00EF7D49" w:rsidRDefault="009E4D0B">
            <w:pPr>
              <w:tabs>
                <w:tab w:val="left" w:pos="375"/>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rPr>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Кількість суб’єктів господарювання, що повинні виконати вимоги регулювання, одиниць</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c>
          <w:tcPr>
            <w:tcW w:w="141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r>
      <w:tr w:rsidR="00EF7D49">
        <w:trPr>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Сумарно (рядок 6 × рядок 7), гривень</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rPr>
          <w:jc w:val="center"/>
        </w:trPr>
        <w:tc>
          <w:tcPr>
            <w:tcW w:w="9386" w:type="dxa"/>
            <w:gridSpan w:val="5"/>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Оцінка вартості адміністративних процедур суб’єктів малого підприємництва щодо виконання регулювання та звітування</w:t>
            </w:r>
          </w:p>
        </w:tc>
      </w:tr>
      <w:tr w:rsidR="00EF7D49">
        <w:trPr>
          <w:trHeight w:val="42"/>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Процедури отримання первинної інформації (ознайомлення з вимогами нового Стандарту) </w:t>
            </w:r>
          </w:p>
          <w:p w:rsidR="00EF7D49" w:rsidRDefault="00EF7D49">
            <w:pPr>
              <w:spacing w:after="0" w:line="240" w:lineRule="auto"/>
              <w:rPr>
                <w:rFonts w:ascii="Times New Roman" w:eastAsia="Times New Roman" w:hAnsi="Times New Roman" w:cs="Times New Roman"/>
              </w:rPr>
            </w:pPr>
          </w:p>
        </w:tc>
        <w:tc>
          <w:tcPr>
            <w:tcW w:w="1710" w:type="dxa"/>
            <w:vAlign w:val="center"/>
          </w:tcPr>
          <w:p w:rsidR="00EF7D49" w:rsidRDefault="009E4D0B">
            <w:pPr>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rPr>
              <w:t>105,63 г</w:t>
            </w:r>
            <w:r>
              <w:rPr>
                <w:rFonts w:ascii="Times New Roman" w:eastAsia="Times New Roman" w:hAnsi="Times New Roman" w:cs="Times New Roman"/>
              </w:rPr>
              <w:t>рн</w:t>
            </w:r>
          </w:p>
        </w:tc>
        <w:tc>
          <w:tcPr>
            <w:tcW w:w="1569" w:type="dxa"/>
            <w:vAlign w:val="cente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vAlign w:val="center"/>
          </w:tcPr>
          <w:p w:rsidR="00EF7D49" w:rsidRDefault="009E4D0B">
            <w:pPr>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strike/>
              </w:rPr>
              <w:t>-</w:t>
            </w:r>
          </w:p>
        </w:tc>
      </w:tr>
      <w:tr w:rsidR="00EF7D49">
        <w:trPr>
          <w:trHeight w:val="38"/>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Процедури організації виконання вимог регулювання</w:t>
            </w:r>
          </w:p>
          <w:p w:rsidR="00EF7D49" w:rsidRDefault="00EF7D49">
            <w:pPr>
              <w:spacing w:after="0" w:line="240" w:lineRule="auto"/>
              <w:rPr>
                <w:rFonts w:ascii="Times New Roman" w:eastAsia="Times New Roman" w:hAnsi="Times New Roman" w:cs="Times New Roman"/>
              </w:rPr>
            </w:pPr>
          </w:p>
        </w:tc>
        <w:tc>
          <w:tcPr>
            <w:tcW w:w="1710" w:type="dxa"/>
            <w:vAlign w:val="center"/>
          </w:tcPr>
          <w:p w:rsidR="00EF7D49" w:rsidRDefault="009E4D0B">
            <w:pPr>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strike/>
              </w:rPr>
              <w:t>-</w:t>
            </w:r>
          </w:p>
        </w:tc>
        <w:tc>
          <w:tcPr>
            <w:tcW w:w="1569" w:type="dxa"/>
            <w:vAlign w:val="cente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vAlign w:val="center"/>
          </w:tcPr>
          <w:p w:rsidR="00EF7D49" w:rsidRDefault="009E4D0B">
            <w:pPr>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strike/>
              </w:rPr>
              <w:t>-</w:t>
            </w:r>
          </w:p>
        </w:tc>
      </w:tr>
      <w:tr w:rsidR="00EF7D49">
        <w:trPr>
          <w:trHeight w:val="38"/>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11</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Процедури офіційного звітування</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9" w:type="dxa"/>
          </w:tcPr>
          <w:p w:rsidR="00EF7D49" w:rsidRDefault="00EF7D49">
            <w:pPr>
              <w:spacing w:after="0" w:line="240" w:lineRule="auto"/>
              <w:jc w:val="center"/>
              <w:rPr>
                <w:rFonts w:ascii="Times New Roman" w:eastAsia="Times New Roman" w:hAnsi="Times New Roman" w:cs="Times New Roman"/>
              </w:rPr>
            </w:pPr>
          </w:p>
        </w:tc>
        <w:tc>
          <w:tcPr>
            <w:tcW w:w="1414" w:type="dxa"/>
          </w:tcPr>
          <w:p w:rsidR="00EF7D49" w:rsidRDefault="00EF7D49">
            <w:pPr>
              <w:spacing w:after="0" w:line="240" w:lineRule="auto"/>
              <w:jc w:val="center"/>
              <w:rPr>
                <w:rFonts w:ascii="Times New Roman" w:eastAsia="Times New Roman" w:hAnsi="Times New Roman" w:cs="Times New Roman"/>
              </w:rPr>
            </w:pPr>
          </w:p>
        </w:tc>
      </w:tr>
      <w:tr w:rsidR="00EF7D49">
        <w:trPr>
          <w:trHeight w:val="38"/>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Процедури щодо забезпечення процесу перевірок</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9" w:type="dxa"/>
          </w:tcPr>
          <w:p w:rsidR="00EF7D49" w:rsidRDefault="00EF7D49">
            <w:pPr>
              <w:spacing w:after="0" w:line="240" w:lineRule="auto"/>
              <w:jc w:val="center"/>
              <w:rPr>
                <w:rFonts w:ascii="Times New Roman" w:eastAsia="Times New Roman" w:hAnsi="Times New Roman" w:cs="Times New Roman"/>
              </w:rPr>
            </w:pPr>
          </w:p>
        </w:tc>
        <w:tc>
          <w:tcPr>
            <w:tcW w:w="1414" w:type="dxa"/>
          </w:tcPr>
          <w:p w:rsidR="00EF7D49" w:rsidRDefault="00EF7D49">
            <w:pPr>
              <w:spacing w:after="0" w:line="240" w:lineRule="auto"/>
              <w:jc w:val="center"/>
              <w:rPr>
                <w:rFonts w:ascii="Times New Roman" w:eastAsia="Times New Roman" w:hAnsi="Times New Roman" w:cs="Times New Roman"/>
              </w:rPr>
            </w:pPr>
          </w:p>
        </w:tc>
      </w:tr>
      <w:tr w:rsidR="00EF7D49">
        <w:trPr>
          <w:trHeight w:val="38"/>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Інші процедури (уточнити)</w:t>
            </w:r>
          </w:p>
          <w:p w:rsidR="00EF7D49" w:rsidRDefault="00EF7D49">
            <w:pPr>
              <w:spacing w:after="0" w:line="240" w:lineRule="auto"/>
              <w:rPr>
                <w:rFonts w:ascii="Times New Roman" w:eastAsia="Times New Roman" w:hAnsi="Times New Roman" w:cs="Times New Roman"/>
              </w:rPr>
            </w:pP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rPr>
          <w:trHeight w:val="38"/>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Разом (сума рядків 9+10+11+12+13), гривень</w:t>
            </w:r>
          </w:p>
        </w:tc>
        <w:tc>
          <w:tcPr>
            <w:tcW w:w="1710" w:type="dxa"/>
          </w:tcPr>
          <w:p w:rsidR="00EF7D49" w:rsidRDefault="009E4D0B">
            <w:pPr>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rPr>
              <w:t>105,63 грн</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tcPr>
          <w:p w:rsidR="00EF7D49" w:rsidRDefault="009E4D0B">
            <w:pPr>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strike/>
              </w:rPr>
              <w:t>-</w:t>
            </w:r>
          </w:p>
        </w:tc>
      </w:tr>
      <w:tr w:rsidR="00EF7D49">
        <w:trPr>
          <w:trHeight w:val="38"/>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Кількість суб’єктів малого підприємництва, що повинні виконати вимоги регулювання, одиниць</w:t>
            </w:r>
          </w:p>
        </w:tc>
        <w:tc>
          <w:tcPr>
            <w:tcW w:w="171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c>
          <w:tcPr>
            <w:tcW w:w="1569"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c>
          <w:tcPr>
            <w:tcW w:w="1414"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r>
      <w:tr w:rsidR="00EF7D49">
        <w:trPr>
          <w:jc w:val="center"/>
        </w:trPr>
        <w:tc>
          <w:tcPr>
            <w:tcW w:w="1436"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3257"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Сумарно (рядок 14×15), гривень</w:t>
            </w:r>
          </w:p>
        </w:tc>
        <w:tc>
          <w:tcPr>
            <w:tcW w:w="1710" w:type="dxa"/>
            <w:vAlign w:val="center"/>
          </w:tcPr>
          <w:p w:rsidR="00EF7D49" w:rsidRDefault="009E4D0B">
            <w:pPr>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rPr>
              <w:t>67 603,20 грн</w:t>
            </w:r>
          </w:p>
        </w:tc>
        <w:tc>
          <w:tcPr>
            <w:tcW w:w="1569" w:type="dxa"/>
            <w:vAlign w:val="center"/>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14" w:type="dxa"/>
            <w:vAlign w:val="center"/>
          </w:tcPr>
          <w:p w:rsidR="00EF7D49" w:rsidRDefault="009E4D0B">
            <w:pPr>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strike/>
              </w:rPr>
              <w:t>-</w:t>
            </w:r>
          </w:p>
        </w:tc>
      </w:tr>
    </w:tbl>
    <w:p w:rsidR="00EF7D49" w:rsidRDefault="00EF7D49">
      <w:pPr>
        <w:spacing w:after="0" w:line="240" w:lineRule="auto"/>
        <w:jc w:val="center"/>
        <w:rPr>
          <w:rFonts w:ascii="Times New Roman" w:eastAsia="Times New Roman" w:hAnsi="Times New Roman" w:cs="Times New Roman"/>
          <w:b/>
          <w:bCs/>
          <w:sz w:val="28"/>
          <w:szCs w:val="28"/>
        </w:rPr>
      </w:pPr>
    </w:p>
    <w:p w:rsidR="00EF7D49" w:rsidRDefault="009E4D0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Бюджетні витрати на адміністрування регулювання суб’єктів малого підприємництва</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EF7D49" w:rsidRDefault="009E4D0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Державний орган, для якого здійснюється розрахунок варто</w:t>
      </w:r>
      <w:r>
        <w:rPr>
          <w:rFonts w:ascii="Times New Roman" w:eastAsia="Times New Roman" w:hAnsi="Times New Roman" w:cs="Times New Roman"/>
          <w:sz w:val="28"/>
          <w:szCs w:val="28"/>
        </w:rPr>
        <w:t>сті адміністрування регулювання:</w:t>
      </w:r>
    </w:p>
    <w:p w:rsidR="00EF7D49" w:rsidRDefault="009E4D0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rPr>
        <w:t xml:space="preserve">Міністерство освіти і науки України </w:t>
      </w:r>
    </w:p>
    <w:tbl>
      <w:tblPr>
        <w:tblStyle w:val="afff9"/>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1095"/>
        <w:gridCol w:w="1425"/>
        <w:gridCol w:w="1560"/>
        <w:gridCol w:w="1560"/>
        <w:gridCol w:w="1635"/>
      </w:tblGrid>
      <w:tr w:rsidR="00EF7D49">
        <w:tc>
          <w:tcPr>
            <w:tcW w:w="222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Pr>
                <w:rFonts w:ascii="Times New Roman" w:eastAsia="Times New Roman" w:hAnsi="Times New Roman" w:cs="Times New Roman"/>
              </w:rPr>
              <w:t>мікропідпри</w:t>
            </w:r>
            <w:r>
              <w:rPr>
                <w:rFonts w:ascii="Times New Roman" w:eastAsia="Times New Roman" w:hAnsi="Times New Roman" w:cs="Times New Roman"/>
              </w:rPr>
              <w:t>ємництва</w:t>
            </w:r>
            <w:proofErr w:type="spellEnd"/>
            <w:r>
              <w:rPr>
                <w:rFonts w:ascii="Times New Roman" w:eastAsia="Times New Roman" w:hAnsi="Times New Roman" w:cs="Times New Roman"/>
              </w:rPr>
              <w:t>)</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Планові витрати часу на процедуру</w:t>
            </w:r>
          </w:p>
        </w:tc>
        <w:tc>
          <w:tcPr>
            <w:tcW w:w="142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Вартість часу співробітника органу державної влади відповідної категорії (заробітна плата)</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Оцінка кількості процедур за рік, що припадають на одного суб’єкта</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Оцінка кількості суб’єктів, що підпадають під дію проц</w:t>
            </w:r>
            <w:r>
              <w:rPr>
                <w:rFonts w:ascii="Times New Roman" w:eastAsia="Times New Roman" w:hAnsi="Times New Roman" w:cs="Times New Roman"/>
              </w:rPr>
              <w:t>едури регулювання</w:t>
            </w:r>
          </w:p>
        </w:tc>
        <w:tc>
          <w:tcPr>
            <w:tcW w:w="163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Витрати на адміністрування регулювання* (за рік), гривень</w:t>
            </w:r>
          </w:p>
        </w:tc>
      </w:tr>
      <w:tr w:rsidR="00EF7D49">
        <w:trPr>
          <w:trHeight w:val="556"/>
        </w:trPr>
        <w:tc>
          <w:tcPr>
            <w:tcW w:w="222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1. Облік суб’єкта господарювання, що перебуває у сфері регулювання</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2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3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c>
          <w:tcPr>
            <w:tcW w:w="222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Поточний контроль за суб’єктом господарювання, </w:t>
            </w:r>
            <w:r>
              <w:rPr>
                <w:rFonts w:ascii="Times New Roman" w:eastAsia="Times New Roman" w:hAnsi="Times New Roman" w:cs="Times New Roman"/>
              </w:rPr>
              <w:lastRenderedPageBreak/>
              <w:t>що перебуває у сфері регулювання, у тому числі:</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w:t>
            </w:r>
          </w:p>
        </w:tc>
        <w:tc>
          <w:tcPr>
            <w:tcW w:w="142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3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c>
          <w:tcPr>
            <w:tcW w:w="222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камеральні</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2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3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c>
          <w:tcPr>
            <w:tcW w:w="222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виїзні</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2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3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c>
          <w:tcPr>
            <w:tcW w:w="222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3. Підготовка, затвердження та опрацювання одного окремого акта про порушення вимог регулювання</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42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63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c>
          <w:tcPr>
            <w:tcW w:w="222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4. Реалізація одного окремого рішення щодо порушення вимог регулювання</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42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63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F7D49">
        <w:tc>
          <w:tcPr>
            <w:tcW w:w="222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5. Оскарження одного окремого рішення суб’єктами господарювання</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42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63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F7D49">
        <w:tc>
          <w:tcPr>
            <w:tcW w:w="222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6. Підготовка звітності за результатами регулювання</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42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63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F7D49">
        <w:tc>
          <w:tcPr>
            <w:tcW w:w="2220" w:type="dxa"/>
          </w:tcPr>
          <w:p w:rsidR="00EF7D49" w:rsidRDefault="009E4D0B">
            <w:pPr>
              <w:spacing w:after="0" w:line="240" w:lineRule="auto"/>
              <w:ind w:right="-145"/>
              <w:rPr>
                <w:rFonts w:ascii="Times New Roman" w:eastAsia="Times New Roman" w:hAnsi="Times New Roman" w:cs="Times New Roman"/>
              </w:rPr>
            </w:pPr>
            <w:r>
              <w:rPr>
                <w:rFonts w:ascii="Times New Roman" w:eastAsia="Times New Roman" w:hAnsi="Times New Roman" w:cs="Times New Roman"/>
              </w:rPr>
              <w:t>7. Інші адміністративні процедури:</w:t>
            </w:r>
          </w:p>
          <w:p w:rsidR="00EF7D49" w:rsidRDefault="009E4D0B">
            <w:pPr>
              <w:spacing w:after="0" w:line="240" w:lineRule="auto"/>
              <w:ind w:right="-145"/>
              <w:rPr>
                <w:rFonts w:ascii="Times New Roman" w:eastAsia="Times New Roman" w:hAnsi="Times New Roman" w:cs="Times New Roman"/>
              </w:rPr>
            </w:pPr>
            <w:r>
              <w:rPr>
                <w:rFonts w:ascii="Times New Roman" w:eastAsia="Times New Roman" w:hAnsi="Times New Roman" w:cs="Times New Roman"/>
              </w:rPr>
              <w:t>витрати на інформування закладів ПО:</w:t>
            </w:r>
          </w:p>
          <w:p w:rsidR="00EF7D49" w:rsidRDefault="009E4D0B">
            <w:pPr>
              <w:spacing w:after="0" w:line="240" w:lineRule="auto"/>
              <w:ind w:right="-145"/>
              <w:rPr>
                <w:rFonts w:ascii="Times New Roman" w:eastAsia="Times New Roman" w:hAnsi="Times New Roman" w:cs="Times New Roman"/>
              </w:rPr>
            </w:pPr>
            <w:r>
              <w:rPr>
                <w:rFonts w:ascii="Times New Roman" w:eastAsia="Times New Roman" w:hAnsi="Times New Roman" w:cs="Times New Roman"/>
              </w:rPr>
              <w:t xml:space="preserve">- одна онлайн-нарада; </w:t>
            </w:r>
          </w:p>
          <w:p w:rsidR="00EF7D49" w:rsidRDefault="009E4D0B">
            <w:pPr>
              <w:spacing w:after="0" w:line="240" w:lineRule="auto"/>
              <w:ind w:right="-145"/>
              <w:rPr>
                <w:rFonts w:ascii="Times New Roman" w:eastAsia="Times New Roman" w:hAnsi="Times New Roman" w:cs="Times New Roman"/>
              </w:rPr>
            </w:pPr>
            <w:r>
              <w:rPr>
                <w:rFonts w:ascii="Times New Roman" w:eastAsia="Times New Roman" w:hAnsi="Times New Roman" w:cs="Times New Roman"/>
              </w:rPr>
              <w:t>- одна публікація інформації на вебсайтах та сторінках соціальних мереж МОН</w:t>
            </w:r>
          </w:p>
        </w:tc>
        <w:tc>
          <w:tcPr>
            <w:tcW w:w="1095" w:type="dxa"/>
          </w:tcPr>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EF7D49" w:rsidRDefault="00EF7D49">
            <w:pPr>
              <w:spacing w:after="0" w:line="240" w:lineRule="auto"/>
              <w:jc w:val="center"/>
              <w:rPr>
                <w:rFonts w:ascii="Times New Roman" w:eastAsia="Times New Roman" w:hAnsi="Times New Roman" w:cs="Times New Roman"/>
              </w:rPr>
            </w:pPr>
          </w:p>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425" w:type="dxa"/>
          </w:tcPr>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9E4D0B">
            <w:pPr>
              <w:widowControl w:val="0"/>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176,15</w:t>
            </w: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9E4D0B">
            <w:pPr>
              <w:widowControl w:val="0"/>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176,15</w:t>
            </w:r>
          </w:p>
        </w:tc>
        <w:tc>
          <w:tcPr>
            <w:tcW w:w="1560" w:type="dxa"/>
          </w:tcPr>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EF7D49" w:rsidRDefault="00EF7D49">
            <w:pPr>
              <w:spacing w:after="0" w:line="240" w:lineRule="auto"/>
              <w:jc w:val="center"/>
              <w:rPr>
                <w:rFonts w:ascii="Times New Roman" w:eastAsia="Times New Roman" w:hAnsi="Times New Roman" w:cs="Times New Roman"/>
              </w:rPr>
            </w:pPr>
          </w:p>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p w:rsidR="00EF7D49" w:rsidRDefault="00EF7D49">
            <w:pPr>
              <w:spacing w:after="0" w:line="240" w:lineRule="auto"/>
              <w:jc w:val="center"/>
              <w:rPr>
                <w:rFonts w:ascii="Times New Roman" w:eastAsia="Times New Roman" w:hAnsi="Times New Roman" w:cs="Times New Roman"/>
              </w:rPr>
            </w:pPr>
          </w:p>
        </w:tc>
        <w:tc>
          <w:tcPr>
            <w:tcW w:w="1560" w:type="dxa"/>
          </w:tcPr>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EF7D49">
            <w:pPr>
              <w:spacing w:after="0" w:line="240" w:lineRule="auto"/>
              <w:jc w:val="center"/>
              <w:rPr>
                <w:rFonts w:ascii="Times New Roman" w:eastAsia="Times New Roman" w:hAnsi="Times New Roman" w:cs="Times New Roman"/>
              </w:rPr>
            </w:pPr>
          </w:p>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c>
          <w:tcPr>
            <w:tcW w:w="1635" w:type="dxa"/>
          </w:tcPr>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EF7D49">
            <w:pPr>
              <w:widowControl w:val="0"/>
              <w:tabs>
                <w:tab w:val="left" w:pos="797"/>
                <w:tab w:val="left" w:pos="1819"/>
                <w:tab w:val="left" w:pos="3197"/>
              </w:tabs>
              <w:spacing w:after="0" w:line="240" w:lineRule="auto"/>
              <w:jc w:val="both"/>
              <w:rPr>
                <w:rFonts w:ascii="Times New Roman" w:eastAsia="Times New Roman" w:hAnsi="Times New Roman" w:cs="Times New Roman"/>
              </w:rPr>
            </w:pPr>
          </w:p>
          <w:p w:rsidR="00EF7D49" w:rsidRDefault="009E4D0B">
            <w:pPr>
              <w:widowControl w:val="0"/>
              <w:tabs>
                <w:tab w:val="left" w:pos="797"/>
                <w:tab w:val="left" w:pos="1819"/>
                <w:tab w:val="left" w:pos="319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352,30</w:t>
            </w:r>
          </w:p>
        </w:tc>
      </w:tr>
      <w:tr w:rsidR="00EF7D49">
        <w:tc>
          <w:tcPr>
            <w:tcW w:w="222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Разом за рік</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425" w:type="dxa"/>
          </w:tcPr>
          <w:p w:rsidR="00EF7D49" w:rsidRDefault="009E4D0B">
            <w:pPr>
              <w:widowControl w:val="0"/>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352,30</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c>
          <w:tcPr>
            <w:tcW w:w="1635" w:type="dxa"/>
          </w:tcPr>
          <w:p w:rsidR="00EF7D49" w:rsidRDefault="009E4D0B">
            <w:pPr>
              <w:widowControl w:val="0"/>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352,30</w:t>
            </w:r>
          </w:p>
        </w:tc>
      </w:tr>
      <w:tr w:rsidR="00EF7D49">
        <w:tc>
          <w:tcPr>
            <w:tcW w:w="2220" w:type="dxa"/>
          </w:tcPr>
          <w:p w:rsidR="00EF7D49" w:rsidRDefault="009E4D0B">
            <w:pPr>
              <w:spacing w:after="0" w:line="240" w:lineRule="auto"/>
              <w:rPr>
                <w:rFonts w:ascii="Times New Roman" w:eastAsia="Times New Roman" w:hAnsi="Times New Roman" w:cs="Times New Roman"/>
              </w:rPr>
            </w:pPr>
            <w:r>
              <w:rPr>
                <w:rFonts w:ascii="Times New Roman" w:eastAsia="Times New Roman" w:hAnsi="Times New Roman" w:cs="Times New Roman"/>
              </w:rPr>
              <w:t>Разом за 5 років</w:t>
            </w:r>
          </w:p>
        </w:tc>
        <w:tc>
          <w:tcPr>
            <w:tcW w:w="1095"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425" w:type="dxa"/>
          </w:tcPr>
          <w:p w:rsidR="00EF7D49" w:rsidRDefault="009E4D0B">
            <w:pPr>
              <w:widowControl w:val="0"/>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352,30</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60" w:type="dxa"/>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w:t>
            </w:r>
          </w:p>
        </w:tc>
        <w:tc>
          <w:tcPr>
            <w:tcW w:w="1635" w:type="dxa"/>
          </w:tcPr>
          <w:p w:rsidR="00EF7D49" w:rsidRDefault="009E4D0B">
            <w:pPr>
              <w:widowControl w:val="0"/>
              <w:tabs>
                <w:tab w:val="left" w:pos="797"/>
                <w:tab w:val="left" w:pos="1819"/>
                <w:tab w:val="left" w:pos="319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352,30</w:t>
            </w:r>
          </w:p>
        </w:tc>
      </w:tr>
    </w:tbl>
    <w:p w:rsidR="00EF7D49" w:rsidRDefault="00EF7D49">
      <w:pPr>
        <w:spacing w:after="0" w:line="240" w:lineRule="auto"/>
        <w:jc w:val="both"/>
        <w:rPr>
          <w:rFonts w:ascii="Times New Roman" w:eastAsia="Times New Roman" w:hAnsi="Times New Roman" w:cs="Times New Roman"/>
          <w:sz w:val="28"/>
          <w:szCs w:val="28"/>
        </w:rPr>
      </w:pPr>
    </w:p>
    <w:p w:rsidR="00EF7D49" w:rsidRDefault="009E4D0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Розрахунок сумарних витрат суб’єктів малого підприємництва, що виникають на виконання вимог регулювання</w:t>
      </w:r>
    </w:p>
    <w:tbl>
      <w:tblPr>
        <w:tblStyle w:val="afffa"/>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
        <w:gridCol w:w="4374"/>
        <w:gridCol w:w="2356"/>
        <w:gridCol w:w="2246"/>
      </w:tblGrid>
      <w:tr w:rsidR="00EF7D49">
        <w:tc>
          <w:tcPr>
            <w:tcW w:w="59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п/п</w:t>
            </w:r>
          </w:p>
        </w:tc>
        <w:tc>
          <w:tcPr>
            <w:tcW w:w="437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Показник</w:t>
            </w:r>
          </w:p>
        </w:tc>
        <w:tc>
          <w:tcPr>
            <w:tcW w:w="2356"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Перший рік регулювання (стартовий)</w:t>
            </w:r>
          </w:p>
        </w:tc>
        <w:tc>
          <w:tcPr>
            <w:tcW w:w="2246"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За п’ять років</w:t>
            </w:r>
          </w:p>
        </w:tc>
      </w:tr>
      <w:tr w:rsidR="00EF7D49">
        <w:trPr>
          <w:trHeight w:val="1071"/>
        </w:trPr>
        <w:tc>
          <w:tcPr>
            <w:tcW w:w="59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37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ind w:firstLine="405"/>
              <w:jc w:val="both"/>
              <w:rPr>
                <w:rFonts w:ascii="Times New Roman" w:eastAsia="Times New Roman" w:hAnsi="Times New Roman" w:cs="Times New Roman"/>
              </w:rPr>
            </w:pPr>
            <w:r>
              <w:rPr>
                <w:rFonts w:ascii="Times New Roman" w:eastAsia="Times New Roman" w:hAnsi="Times New Roman" w:cs="Times New Roman"/>
              </w:rPr>
              <w:t>Оцінка “прямих” витрат суб’єктів малого підприємництва на виконання регулювання</w:t>
            </w:r>
          </w:p>
        </w:tc>
        <w:tc>
          <w:tcPr>
            <w:tcW w:w="2356"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246"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EF7D49">
        <w:tc>
          <w:tcPr>
            <w:tcW w:w="59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37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ind w:firstLine="405"/>
              <w:jc w:val="both"/>
              <w:rPr>
                <w:rFonts w:ascii="Times New Roman" w:eastAsia="Times New Roman" w:hAnsi="Times New Roman" w:cs="Times New Roman"/>
              </w:rPr>
            </w:pPr>
            <w:r>
              <w:rPr>
                <w:rFonts w:ascii="Times New Roman" w:eastAsia="Times New Roman" w:hAnsi="Times New Roman" w:cs="Times New Roman"/>
              </w:rPr>
              <w:t>Оцінка вартості адміністративних процедур для суб’єктів малого підприємництва щодо виконання регулювання та звітування</w:t>
            </w:r>
          </w:p>
        </w:tc>
        <w:tc>
          <w:tcPr>
            <w:tcW w:w="2356"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67 603,20</w:t>
            </w:r>
          </w:p>
        </w:tc>
        <w:tc>
          <w:tcPr>
            <w:tcW w:w="2246"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67 603,20</w:t>
            </w:r>
          </w:p>
        </w:tc>
      </w:tr>
      <w:tr w:rsidR="00EF7D49">
        <w:tc>
          <w:tcPr>
            <w:tcW w:w="59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37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ind w:firstLine="405"/>
              <w:jc w:val="both"/>
              <w:rPr>
                <w:rFonts w:ascii="Times New Roman" w:eastAsia="Times New Roman" w:hAnsi="Times New Roman" w:cs="Times New Roman"/>
              </w:rPr>
            </w:pPr>
            <w:r>
              <w:rPr>
                <w:rFonts w:ascii="Times New Roman" w:eastAsia="Times New Roman" w:hAnsi="Times New Roman" w:cs="Times New Roman"/>
              </w:rPr>
              <w:t>Сумарні витрати малого підприємництва на виконання запланованого регулювання</w:t>
            </w:r>
          </w:p>
        </w:tc>
        <w:tc>
          <w:tcPr>
            <w:tcW w:w="2356"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67 603,20</w:t>
            </w:r>
          </w:p>
        </w:tc>
        <w:tc>
          <w:tcPr>
            <w:tcW w:w="2246"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67 603,20</w:t>
            </w:r>
          </w:p>
        </w:tc>
      </w:tr>
      <w:tr w:rsidR="00EF7D49">
        <w:tc>
          <w:tcPr>
            <w:tcW w:w="59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37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ind w:firstLine="405"/>
              <w:jc w:val="both"/>
              <w:rPr>
                <w:rFonts w:ascii="Times New Roman" w:eastAsia="Times New Roman" w:hAnsi="Times New Roman" w:cs="Times New Roman"/>
              </w:rPr>
            </w:pPr>
            <w:r>
              <w:rPr>
                <w:rFonts w:ascii="Times New Roman" w:eastAsia="Times New Roman" w:hAnsi="Times New Roman" w:cs="Times New Roman"/>
              </w:rPr>
              <w:t>Бюджетні витрати на адміністрування регулювання суб’єктів малого підприємництва</w:t>
            </w:r>
          </w:p>
        </w:tc>
        <w:tc>
          <w:tcPr>
            <w:tcW w:w="2356"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352,30</w:t>
            </w:r>
          </w:p>
        </w:tc>
        <w:tc>
          <w:tcPr>
            <w:tcW w:w="2246"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352,30</w:t>
            </w:r>
          </w:p>
        </w:tc>
      </w:tr>
      <w:tr w:rsidR="00EF7D49">
        <w:tc>
          <w:tcPr>
            <w:tcW w:w="59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374" w:type="dxa"/>
            <w:tcBorders>
              <w:top w:val="single" w:sz="4" w:space="0" w:color="000000"/>
              <w:left w:val="single" w:sz="4" w:space="0" w:color="000000"/>
              <w:bottom w:val="single" w:sz="4" w:space="0" w:color="000000"/>
              <w:right w:val="single" w:sz="4" w:space="0" w:color="000000"/>
            </w:tcBorders>
          </w:tcPr>
          <w:p w:rsidR="00EF7D49" w:rsidRDefault="009E4D0B">
            <w:pPr>
              <w:spacing w:after="0" w:line="240" w:lineRule="auto"/>
              <w:ind w:firstLine="405"/>
              <w:jc w:val="both"/>
              <w:rPr>
                <w:rFonts w:ascii="Times New Roman" w:eastAsia="Times New Roman" w:hAnsi="Times New Roman" w:cs="Times New Roman"/>
              </w:rPr>
            </w:pPr>
            <w:r>
              <w:rPr>
                <w:rFonts w:ascii="Times New Roman" w:eastAsia="Times New Roman" w:hAnsi="Times New Roman" w:cs="Times New Roman"/>
              </w:rPr>
              <w:t>Сумарні витрати на виконання запланованого регулювання</w:t>
            </w:r>
          </w:p>
        </w:tc>
        <w:tc>
          <w:tcPr>
            <w:tcW w:w="2356" w:type="dxa"/>
            <w:tcBorders>
              <w:top w:val="single" w:sz="4" w:space="0" w:color="000000"/>
              <w:left w:val="single" w:sz="4" w:space="0" w:color="000000"/>
              <w:bottom w:val="single" w:sz="4" w:space="0" w:color="000000"/>
              <w:right w:val="single" w:sz="4" w:space="0" w:color="000000"/>
            </w:tcBorders>
            <w:vAlign w:val="bottom"/>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67 955,50</w:t>
            </w:r>
          </w:p>
        </w:tc>
        <w:tc>
          <w:tcPr>
            <w:tcW w:w="2246" w:type="dxa"/>
            <w:tcBorders>
              <w:top w:val="single" w:sz="4" w:space="0" w:color="000000"/>
              <w:left w:val="single" w:sz="4" w:space="0" w:color="000000"/>
              <w:bottom w:val="single" w:sz="4" w:space="0" w:color="000000"/>
              <w:right w:val="single" w:sz="4" w:space="0" w:color="000000"/>
            </w:tcBorders>
            <w:vAlign w:val="bottom"/>
          </w:tcPr>
          <w:p w:rsidR="00EF7D49" w:rsidRDefault="009E4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67 955,50</w:t>
            </w:r>
          </w:p>
        </w:tc>
      </w:tr>
    </w:tbl>
    <w:p w:rsidR="00EF7D49" w:rsidRDefault="00EF7D49">
      <w:pPr>
        <w:spacing w:after="0" w:line="240" w:lineRule="auto"/>
        <w:jc w:val="both"/>
        <w:rPr>
          <w:rFonts w:ascii="Times New Roman" w:eastAsia="Times New Roman" w:hAnsi="Times New Roman" w:cs="Times New Roman"/>
          <w:sz w:val="28"/>
          <w:szCs w:val="28"/>
        </w:rPr>
      </w:pPr>
    </w:p>
    <w:p w:rsidR="00EF7D49" w:rsidRDefault="009E4D0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Розроблення коригуючих (пом’якшувальних) заходів для малого підприємництва щодо запропонованого регулювання не передбачається.</w:t>
      </w:r>
    </w:p>
    <w:sectPr w:rsidR="00EF7D49">
      <w:pgSz w:w="11906" w:h="16838"/>
      <w:pgMar w:top="1312" w:right="850" w:bottom="177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Play">
    <w:charset w:val="00"/>
    <w:family w:val="auto"/>
    <w:pitch w:val="default"/>
    <w:embedRegular r:id="rId1" w:fontKey="{53A0CD8B-A39D-40E4-BE2D-AB49D1747049}"/>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embedRegular r:id="rId2" w:fontKey="{C6132A11-68F7-459E-A812-1898BF0B2B21}"/>
  </w:font>
  <w:font w:name="Roboto">
    <w:charset w:val="00"/>
    <w:family w:val="auto"/>
    <w:pitch w:val="default"/>
    <w:embedRegular r:id="rId3" w:fontKey="{F11DE6EC-F2FA-41B2-9E10-86918F1D974D}"/>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7935"/>
    <w:multiLevelType w:val="multilevel"/>
    <w:tmpl w:val="6D98B836"/>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8174D44"/>
    <w:multiLevelType w:val="multilevel"/>
    <w:tmpl w:val="F6409BA8"/>
    <w:lvl w:ilvl="0">
      <w:start w:val="1"/>
      <w:numFmt w:val="decimal"/>
      <w:lvlText w:val="%1)"/>
      <w:lvlJc w:val="left"/>
      <w:pPr>
        <w:ind w:left="720" w:hanging="36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D49"/>
    <w:rsid w:val="004F2967"/>
    <w:rsid w:val="009E4D0B"/>
    <w:rsid w:val="00D35E78"/>
    <w:rsid w:val="00EF7D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4565"/>
  <w15:docId w15:val="{3F3C6848-C4AD-4A92-98C7-95C6C6AE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uk" w:eastAsia="uk-UA"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360" w:after="80"/>
      <w:outlineLvl w:val="0"/>
    </w:pPr>
    <w:rPr>
      <w:rFonts w:ascii="Play" w:eastAsia="Play" w:hAnsi="Play" w:cs="Play"/>
      <w:color w:val="0F4761"/>
      <w:sz w:val="40"/>
      <w:szCs w:val="40"/>
    </w:rPr>
  </w:style>
  <w:style w:type="paragraph" w:styleId="2">
    <w:name w:val="heading 2"/>
    <w:basedOn w:val="a"/>
    <w:next w:val="a"/>
    <w:pPr>
      <w:keepNext/>
      <w:keepLines/>
      <w:spacing w:before="160" w:after="80"/>
      <w:outlineLvl w:val="1"/>
    </w:pPr>
    <w:rPr>
      <w:rFonts w:ascii="Play" w:eastAsia="Play" w:hAnsi="Play" w:cs="Play"/>
      <w:color w:val="0F4761"/>
      <w:sz w:val="32"/>
      <w:szCs w:val="32"/>
    </w:rPr>
  </w:style>
  <w:style w:type="paragraph" w:styleId="3">
    <w:name w:val="heading 3"/>
    <w:basedOn w:val="a"/>
    <w:next w:val="a"/>
    <w:pPr>
      <w:keepNext/>
      <w:keepLines/>
      <w:spacing w:before="160" w:after="80"/>
      <w:outlineLvl w:val="2"/>
    </w:pPr>
    <w:rPr>
      <w:color w:val="0F4761"/>
      <w:sz w:val="28"/>
      <w:szCs w:val="28"/>
    </w:rPr>
  </w:style>
  <w:style w:type="paragraph" w:styleId="4">
    <w:name w:val="heading 4"/>
    <w:basedOn w:val="a"/>
    <w:next w:val="a"/>
    <w:pPr>
      <w:keepNext/>
      <w:keepLines/>
      <w:spacing w:before="80" w:after="40"/>
      <w:outlineLvl w:val="3"/>
    </w:pPr>
    <w:rPr>
      <w:i/>
      <w:iCs/>
      <w:color w:val="0F4761"/>
    </w:rPr>
  </w:style>
  <w:style w:type="paragraph" w:styleId="5">
    <w:name w:val="heading 5"/>
    <w:basedOn w:val="a"/>
    <w:next w:val="a"/>
    <w:pPr>
      <w:keepNext/>
      <w:keepLines/>
      <w:spacing w:before="80" w:after="40"/>
      <w:outlineLvl w:val="4"/>
    </w:pPr>
    <w:rPr>
      <w:color w:val="0F4761"/>
    </w:rPr>
  </w:style>
  <w:style w:type="paragraph" w:styleId="6">
    <w:name w:val="heading 6"/>
    <w:basedOn w:val="a"/>
    <w:next w:val="a"/>
    <w:pPr>
      <w:keepNext/>
      <w:keepLines/>
      <w:spacing w:before="40" w:after="0"/>
      <w:outlineLvl w:val="5"/>
    </w:pPr>
    <w:rPr>
      <w:i/>
      <w:iCs/>
      <w:color w:val="595959"/>
    </w:rPr>
  </w:style>
  <w:style w:type="paragraph" w:styleId="7">
    <w:name w:val="heading 7"/>
    <w:link w:val="70"/>
    <w:uiPriority w:val="9"/>
    <w:semiHidden/>
    <w:unhideWhenUsed/>
    <w:qFormat/>
    <w:rsid w:val="00E978F6"/>
    <w:pPr>
      <w:keepNext/>
      <w:keepLines/>
      <w:spacing w:before="40" w:after="0"/>
      <w:outlineLvl w:val="6"/>
    </w:pPr>
    <w:rPr>
      <w:rFonts w:eastAsiaTheme="majorEastAsia" w:cstheme="majorBidi"/>
      <w:color w:val="595959" w:themeColor="text1" w:themeTint="A6"/>
    </w:rPr>
  </w:style>
  <w:style w:type="paragraph" w:styleId="8">
    <w:name w:val="heading 8"/>
    <w:link w:val="80"/>
    <w:uiPriority w:val="9"/>
    <w:semiHidden/>
    <w:unhideWhenUsed/>
    <w:qFormat/>
    <w:rsid w:val="00E978F6"/>
    <w:pPr>
      <w:keepNext/>
      <w:keepLines/>
      <w:spacing w:after="0"/>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E978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spacing w:after="80" w:line="240" w:lineRule="auto"/>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character" w:customStyle="1" w:styleId="10">
    <w:name w:val="Заголовок 1 Знак"/>
    <w:basedOn w:val="a0"/>
    <w:uiPriority w:val="9"/>
    <w:rsid w:val="00E978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E978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semiHidden/>
    <w:rsid w:val="00E978F6"/>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E978F6"/>
    <w:rPr>
      <w:rFonts w:eastAsiaTheme="majorEastAsia" w:cstheme="majorBidi"/>
      <w:i/>
      <w:iCs/>
      <w:color w:val="0F4761" w:themeColor="accent1" w:themeShade="BF"/>
    </w:rPr>
  </w:style>
  <w:style w:type="character" w:customStyle="1" w:styleId="50">
    <w:name w:val="Заголовок 5 Знак"/>
    <w:basedOn w:val="a0"/>
    <w:uiPriority w:val="9"/>
    <w:semiHidden/>
    <w:rsid w:val="00E978F6"/>
    <w:rPr>
      <w:rFonts w:eastAsiaTheme="majorEastAsia" w:cstheme="majorBidi"/>
      <w:color w:val="0F4761" w:themeColor="accent1" w:themeShade="BF"/>
    </w:rPr>
  </w:style>
  <w:style w:type="character" w:customStyle="1" w:styleId="60">
    <w:name w:val="Заголовок 6 Знак"/>
    <w:basedOn w:val="a0"/>
    <w:uiPriority w:val="9"/>
    <w:semiHidden/>
    <w:rsid w:val="00E978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78F6"/>
    <w:rPr>
      <w:rFonts w:eastAsiaTheme="majorEastAsia" w:cstheme="majorBidi"/>
      <w:color w:val="595959" w:themeColor="text1" w:themeTint="A6"/>
    </w:rPr>
  </w:style>
  <w:style w:type="character" w:customStyle="1" w:styleId="80">
    <w:name w:val="Заголовок 8 Знак"/>
    <w:basedOn w:val="a0"/>
    <w:link w:val="8"/>
    <w:uiPriority w:val="9"/>
    <w:semiHidden/>
    <w:rsid w:val="00E978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78F6"/>
    <w:rPr>
      <w:rFonts w:eastAsiaTheme="majorEastAsia" w:cstheme="majorBidi"/>
      <w:color w:val="272727" w:themeColor="text1" w:themeTint="D8"/>
    </w:rPr>
  </w:style>
  <w:style w:type="character" w:customStyle="1" w:styleId="a4">
    <w:name w:val="Назва Знак"/>
    <w:basedOn w:val="a0"/>
    <w:uiPriority w:val="10"/>
    <w:rsid w:val="00E978F6"/>
    <w:rPr>
      <w:rFonts w:asciiTheme="majorHAnsi" w:eastAsiaTheme="majorEastAsia" w:hAnsiTheme="majorHAnsi" w:cstheme="majorBidi"/>
      <w:spacing w:val="-10"/>
      <w:kern w:val="28"/>
      <w:sz w:val="56"/>
      <w:szCs w:val="56"/>
    </w:rPr>
  </w:style>
  <w:style w:type="character" w:customStyle="1" w:styleId="a5">
    <w:name w:val="Підзаголовок Знак"/>
    <w:basedOn w:val="a0"/>
    <w:uiPriority w:val="11"/>
    <w:rsid w:val="00E978F6"/>
    <w:rPr>
      <w:rFonts w:eastAsiaTheme="majorEastAsia" w:cstheme="majorBidi"/>
      <w:color w:val="595959" w:themeColor="text1" w:themeTint="A6"/>
      <w:spacing w:val="15"/>
      <w:sz w:val="28"/>
      <w:szCs w:val="28"/>
    </w:rPr>
  </w:style>
  <w:style w:type="paragraph" w:styleId="a6">
    <w:name w:val="Quote"/>
    <w:link w:val="a7"/>
    <w:uiPriority w:val="29"/>
    <w:qFormat/>
    <w:rsid w:val="00E978F6"/>
    <w:pPr>
      <w:spacing w:before="160"/>
      <w:jc w:val="center"/>
    </w:pPr>
    <w:rPr>
      <w:i/>
      <w:iCs/>
      <w:color w:val="404040" w:themeColor="text1" w:themeTint="BF"/>
    </w:rPr>
  </w:style>
  <w:style w:type="character" w:customStyle="1" w:styleId="a7">
    <w:name w:val="Цитата Знак"/>
    <w:basedOn w:val="a0"/>
    <w:link w:val="a6"/>
    <w:uiPriority w:val="29"/>
    <w:rsid w:val="00E978F6"/>
    <w:rPr>
      <w:i/>
      <w:iCs/>
      <w:color w:val="404040" w:themeColor="text1" w:themeTint="BF"/>
    </w:rPr>
  </w:style>
  <w:style w:type="paragraph" w:styleId="a8">
    <w:name w:val="List Paragraph"/>
    <w:qFormat/>
    <w:rsid w:val="00E978F6"/>
    <w:pPr>
      <w:ind w:left="720"/>
      <w:contextualSpacing/>
    </w:pPr>
  </w:style>
  <w:style w:type="character" w:styleId="a9">
    <w:name w:val="Intense Emphasis"/>
    <w:basedOn w:val="a0"/>
    <w:uiPriority w:val="21"/>
    <w:qFormat/>
    <w:rsid w:val="00E978F6"/>
    <w:rPr>
      <w:i/>
      <w:iCs/>
      <w:color w:val="0F4761" w:themeColor="accent1" w:themeShade="BF"/>
    </w:rPr>
  </w:style>
  <w:style w:type="paragraph" w:styleId="aa">
    <w:name w:val="Intense Quote"/>
    <w:link w:val="ab"/>
    <w:uiPriority w:val="30"/>
    <w:qFormat/>
    <w:rsid w:val="00E97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Насичена цитата Знак"/>
    <w:basedOn w:val="a0"/>
    <w:link w:val="aa"/>
    <w:uiPriority w:val="30"/>
    <w:rsid w:val="00E978F6"/>
    <w:rPr>
      <w:i/>
      <w:iCs/>
      <w:color w:val="0F4761" w:themeColor="accent1" w:themeShade="BF"/>
    </w:rPr>
  </w:style>
  <w:style w:type="character" w:styleId="ac">
    <w:name w:val="Intense Reference"/>
    <w:basedOn w:val="a0"/>
    <w:uiPriority w:val="32"/>
    <w:qFormat/>
    <w:rsid w:val="00E978F6"/>
    <w:rPr>
      <w:b/>
      <w:bCs/>
      <w:smallCaps/>
      <w:color w:val="0F4761" w:themeColor="accent1" w:themeShade="BF"/>
      <w:spacing w:val="5"/>
    </w:rPr>
  </w:style>
  <w:style w:type="character" w:styleId="ad">
    <w:name w:val="annotation reference"/>
    <w:basedOn w:val="a0"/>
    <w:semiHidden/>
    <w:unhideWhenUsed/>
    <w:rsid w:val="000A66DA"/>
    <w:rPr>
      <w:sz w:val="16"/>
      <w:szCs w:val="16"/>
    </w:rPr>
  </w:style>
  <w:style w:type="paragraph" w:styleId="ae">
    <w:name w:val="annotation text"/>
    <w:link w:val="af"/>
    <w:unhideWhenUsed/>
    <w:rsid w:val="000A66DA"/>
    <w:pPr>
      <w:spacing w:line="240" w:lineRule="auto"/>
    </w:pPr>
    <w:rPr>
      <w:sz w:val="20"/>
      <w:szCs w:val="20"/>
    </w:rPr>
  </w:style>
  <w:style w:type="character" w:customStyle="1" w:styleId="af">
    <w:name w:val="Текст примітки Знак"/>
    <w:basedOn w:val="a0"/>
    <w:link w:val="ae"/>
    <w:rsid w:val="000A66DA"/>
    <w:rPr>
      <w:sz w:val="20"/>
      <w:szCs w:val="20"/>
    </w:rPr>
  </w:style>
  <w:style w:type="paragraph" w:styleId="af0">
    <w:name w:val="annotation subject"/>
    <w:basedOn w:val="ae"/>
    <w:next w:val="ae"/>
    <w:link w:val="af1"/>
    <w:uiPriority w:val="99"/>
    <w:semiHidden/>
    <w:unhideWhenUsed/>
    <w:rsid w:val="000A66DA"/>
    <w:rPr>
      <w:b/>
      <w:bCs/>
    </w:rPr>
  </w:style>
  <w:style w:type="character" w:customStyle="1" w:styleId="af1">
    <w:name w:val="Тема примітки Знак"/>
    <w:basedOn w:val="af"/>
    <w:link w:val="af0"/>
    <w:uiPriority w:val="99"/>
    <w:semiHidden/>
    <w:rsid w:val="000A66DA"/>
    <w:rPr>
      <w:b/>
      <w:bCs/>
      <w:sz w:val="20"/>
      <w:szCs w:val="20"/>
    </w:rPr>
  </w:style>
  <w:style w:type="paragraph" w:styleId="af2">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link w:val="af3"/>
    <w:uiPriority w:val="99"/>
    <w:unhideWhenUsed/>
    <w:rsid w:val="0020238B"/>
    <w:rPr>
      <w:rFonts w:ascii="Times New Roman" w:hAnsi="Times New Roman" w:cs="Times New Roman"/>
    </w:rPr>
  </w:style>
  <w:style w:type="paragraph" w:styleId="af4">
    <w:name w:val="Revision"/>
    <w:hidden/>
    <w:uiPriority w:val="99"/>
    <w:semiHidden/>
    <w:rsid w:val="001D4A89"/>
    <w:pPr>
      <w:spacing w:after="0" w:line="240" w:lineRule="auto"/>
    </w:pPr>
  </w:style>
  <w:style w:type="character" w:customStyle="1" w:styleId="af3">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f2"/>
    <w:uiPriority w:val="99"/>
    <w:locked/>
    <w:rsid w:val="00730229"/>
    <w:rPr>
      <w:rFonts w:ascii="Times New Roman" w:hAnsi="Times New Roman" w:cs="Times New Roman"/>
    </w:rPr>
  </w:style>
  <w:style w:type="paragraph" w:customStyle="1" w:styleId="Textbody">
    <w:name w:val="Text body"/>
    <w:rsid w:val="007800D4"/>
    <w:pPr>
      <w:suppressAutoHyphens/>
      <w:autoSpaceDN w:val="0"/>
      <w:spacing w:after="140" w:line="288" w:lineRule="auto"/>
      <w:textAlignment w:val="baseline"/>
    </w:pPr>
    <w:rPr>
      <w:rFonts w:ascii="Arial" w:eastAsia="Arial" w:hAnsi="Arial" w:cs="Arial"/>
      <w:color w:val="000000"/>
      <w:kern w:val="3"/>
      <w:sz w:val="22"/>
      <w:szCs w:val="22"/>
      <w:lang w:val="en-US" w:eastAsia="zh-CN" w:bidi="hi-IN"/>
    </w:rPr>
  </w:style>
  <w:style w:type="paragraph" w:customStyle="1" w:styleId="rvps7">
    <w:name w:val="rvps7"/>
    <w:rsid w:val="007819D6"/>
    <w:pPr>
      <w:spacing w:before="100" w:beforeAutospacing="1" w:after="100" w:afterAutospacing="1" w:line="240" w:lineRule="auto"/>
    </w:pPr>
    <w:rPr>
      <w:rFonts w:ascii="Times New Roman" w:eastAsia="Times New Roman" w:hAnsi="Times New Roman" w:cs="Times New Roman"/>
      <w:lang w:val="en-US"/>
    </w:rPr>
  </w:style>
  <w:style w:type="character" w:styleId="af5">
    <w:name w:val="Hyperlink"/>
    <w:basedOn w:val="a0"/>
    <w:uiPriority w:val="99"/>
    <w:unhideWhenUsed/>
    <w:rsid w:val="00070CB0"/>
    <w:rPr>
      <w:color w:val="467886" w:themeColor="hyperlink"/>
      <w:u w:val="single"/>
    </w:rPr>
  </w:style>
  <w:style w:type="character" w:customStyle="1" w:styleId="UnresolvedMention">
    <w:name w:val="Unresolved Mention"/>
    <w:basedOn w:val="a0"/>
    <w:uiPriority w:val="99"/>
    <w:semiHidden/>
    <w:unhideWhenUsed/>
    <w:rsid w:val="00070CB0"/>
    <w:rPr>
      <w:color w:val="605E5C"/>
      <w:shd w:val="clear" w:color="auto" w:fill="E1DFDD"/>
    </w:rPr>
  </w:style>
  <w:style w:type="paragraph" w:customStyle="1" w:styleId="11">
    <w:name w:val="Обычный1"/>
    <w:rsid w:val="00834CB9"/>
    <w:pPr>
      <w:spacing w:after="120" w:line="240" w:lineRule="auto"/>
      <w:ind w:firstLine="709"/>
      <w:jc w:val="both"/>
    </w:pPr>
    <w:rPr>
      <w:rFonts w:ascii="Times New Roman" w:eastAsia="Times New Roman" w:hAnsi="Times New Roman" w:cs="Times New Roman"/>
      <w:sz w:val="28"/>
      <w:szCs w:val="28"/>
    </w:r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top w:w="15" w:type="dxa"/>
        <w:left w:w="15" w:type="dxa"/>
        <w:bottom w:w="15" w:type="dxa"/>
        <w:right w:w="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tblPr>
      <w:tblStyleRowBandSize w:val="1"/>
      <w:tblStyleColBandSize w:val="1"/>
      <w:tblCellMar>
        <w:left w:w="115" w:type="dxa"/>
        <w:right w:w="115" w:type="dxa"/>
      </w:tblCellMar>
    </w:tblPr>
  </w:style>
  <w:style w:type="paragraph" w:styleId="aff6">
    <w:name w:val="Balloon Text"/>
    <w:link w:val="aff7"/>
    <w:uiPriority w:val="99"/>
    <w:semiHidden/>
    <w:unhideWhenUsed/>
    <w:rsid w:val="008C644F"/>
    <w:pPr>
      <w:spacing w:after="0" w:line="240" w:lineRule="auto"/>
    </w:pPr>
    <w:rPr>
      <w:rFonts w:ascii="Segoe UI" w:hAnsi="Segoe UI" w:cs="Segoe UI"/>
      <w:sz w:val="18"/>
      <w:szCs w:val="18"/>
    </w:rPr>
  </w:style>
  <w:style w:type="character" w:customStyle="1" w:styleId="aff7">
    <w:name w:val="Текст у виносці Знак"/>
    <w:basedOn w:val="a0"/>
    <w:link w:val="aff6"/>
    <w:uiPriority w:val="99"/>
    <w:semiHidden/>
    <w:rsid w:val="008C644F"/>
    <w:rPr>
      <w:rFonts w:ascii="Segoe UI" w:hAnsi="Segoe UI" w:cs="Segoe UI"/>
      <w:sz w:val="18"/>
      <w:szCs w:val="18"/>
    </w:rPr>
  </w:style>
  <w:style w:type="paragraph" w:styleId="aff8">
    <w:name w:val="Subtitle"/>
    <w:basedOn w:val="a"/>
    <w:next w:val="a"/>
    <w:rPr>
      <w:color w:val="595959"/>
      <w:sz w:val="28"/>
      <w:szCs w:val="28"/>
    </w:r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15" w:type="dxa"/>
        <w:left w:w="15" w:type="dxa"/>
        <w:bottom w:w="15" w:type="dxa"/>
        <w:right w:w="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0" w:type="dxa"/>
        <w:bottom w:w="0" w:type="dxa"/>
        <w:right w:w="10" w:type="dxa"/>
      </w:tblCellMar>
    </w:tbl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 w:type="table" w:customStyle="1" w:styleId="afff2">
    <w:basedOn w:val="TableNormal0"/>
    <w:tblPr>
      <w:tblStyleRowBandSize w:val="1"/>
      <w:tblStyleColBandSize w:val="1"/>
      <w:tblCellMar>
        <w:top w:w="0" w:type="dxa"/>
        <w:left w:w="115" w:type="dxa"/>
        <w:bottom w:w="0" w:type="dxa"/>
        <w:right w:w="115" w:type="dxa"/>
      </w:tblCellMar>
    </w:tblPr>
  </w:style>
  <w:style w:type="table" w:customStyle="1" w:styleId="afff3">
    <w:basedOn w:val="TableNormal0"/>
    <w:tblPr>
      <w:tblStyleRowBandSize w:val="1"/>
      <w:tblStyleColBandSize w:val="1"/>
      <w:tblCellMar>
        <w:top w:w="0" w:type="dxa"/>
        <w:left w:w="10" w:type="dxa"/>
        <w:bottom w:w="0" w:type="dxa"/>
        <w:right w:w="10" w:type="dxa"/>
      </w:tblCellMar>
    </w:tblPr>
  </w:style>
  <w:style w:type="table" w:customStyle="1" w:styleId="afff4">
    <w:basedOn w:val="TableNormal0"/>
    <w:tblPr>
      <w:tblStyleRowBandSize w:val="1"/>
      <w:tblStyleColBandSize w:val="1"/>
      <w:tblCellMar>
        <w:top w:w="0" w:type="dxa"/>
        <w:left w:w="10" w:type="dxa"/>
        <w:bottom w:w="0" w:type="dxa"/>
        <w:right w:w="10" w:type="dxa"/>
      </w:tblCellMar>
    </w:tblPr>
  </w:style>
  <w:style w:type="table" w:customStyle="1" w:styleId="afff5">
    <w:basedOn w:val="TableNormal0"/>
    <w:tblPr>
      <w:tblStyleRowBandSize w:val="1"/>
      <w:tblStyleColBandSize w:val="1"/>
      <w:tblCellMar>
        <w:top w:w="0" w:type="dxa"/>
        <w:left w:w="10" w:type="dxa"/>
        <w:bottom w:w="0" w:type="dxa"/>
        <w:right w:w="10" w:type="dxa"/>
      </w:tblCellMar>
    </w:tblPr>
  </w:style>
  <w:style w:type="table" w:customStyle="1" w:styleId="afff6">
    <w:basedOn w:val="TableNormal0"/>
    <w:tblPr>
      <w:tblStyleRowBandSize w:val="1"/>
      <w:tblStyleColBandSize w:val="1"/>
      <w:tblCellMar>
        <w:top w:w="0" w:type="dxa"/>
        <w:left w:w="115" w:type="dxa"/>
        <w:bottom w:w="0" w:type="dxa"/>
        <w:right w:w="115" w:type="dxa"/>
      </w:tblCellMar>
    </w:tblPr>
  </w:style>
  <w:style w:type="table" w:customStyle="1" w:styleId="afff7">
    <w:basedOn w:val="TableNormal0"/>
    <w:tblPr>
      <w:tblStyleRowBandSize w:val="1"/>
      <w:tblStyleColBandSize w:val="1"/>
      <w:tblCellMar>
        <w:top w:w="0" w:type="dxa"/>
        <w:left w:w="115" w:type="dxa"/>
        <w:bottom w:w="0" w:type="dxa"/>
        <w:right w:w="115" w:type="dxa"/>
      </w:tblCellMar>
    </w:tblPr>
  </w:style>
  <w:style w:type="table" w:customStyle="1" w:styleId="afff8">
    <w:basedOn w:val="TableNormal0"/>
    <w:tblPr>
      <w:tblStyleRowBandSize w:val="1"/>
      <w:tblStyleColBandSize w:val="1"/>
      <w:tblCellMar>
        <w:top w:w="0" w:type="dxa"/>
        <w:left w:w="115" w:type="dxa"/>
        <w:bottom w:w="0" w:type="dxa"/>
        <w:right w:w="115" w:type="dxa"/>
      </w:tblCellMar>
    </w:tblPr>
  </w:style>
  <w:style w:type="table" w:customStyle="1" w:styleId="afff9">
    <w:basedOn w:val="TableNormal0"/>
    <w:tblPr>
      <w:tblStyleRowBandSize w:val="1"/>
      <w:tblStyleColBandSize w:val="1"/>
      <w:tblCellMar>
        <w:top w:w="0" w:type="dxa"/>
        <w:left w:w="115" w:type="dxa"/>
        <w:bottom w:w="0" w:type="dxa"/>
        <w:right w:w="115" w:type="dxa"/>
      </w:tblCellMar>
    </w:tblPr>
  </w:style>
  <w:style w:type="table" w:customStyle="1" w:styleId="aff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z0743-14" TargetMode="External"/><Relationship Id="rId3" Type="http://schemas.openxmlformats.org/officeDocument/2006/relationships/styles" Target="styles.xml"/><Relationship Id="rId7" Type="http://schemas.openxmlformats.org/officeDocument/2006/relationships/hyperlink" Target="https://www.ukrstat.gov.ua/operativ/operativ2005/gdn/Zarp_ek_m/Zp_ek_m_u/arh_zpm_u.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gistry.edbo.gov.ua/opendata/universit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9TWkqHo85v7XAI7ayvKSiG8VDQ==">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21935</Words>
  <Characters>12503</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 Kanya</dc:creator>
  <cp:lastModifiedBy>Garmash L.M.</cp:lastModifiedBy>
  <cp:revision>2</cp:revision>
  <dcterms:created xsi:type="dcterms:W3CDTF">2026-05-12T14:23:00Z</dcterms:created>
  <dcterms:modified xsi:type="dcterms:W3CDTF">2026-05-12T14:23:00Z</dcterms:modified>
</cp:coreProperties>
</file>