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CD1" w:rsidRPr="0069737B" w:rsidRDefault="00E874CE">
      <w:pPr>
        <w:spacing w:after="0" w:line="240" w:lineRule="auto"/>
        <w:ind w:left="624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bookmarkStart w:id="0" w:name="_GoBack"/>
      <w:bookmarkEnd w:id="0"/>
      <w:r w:rsidRPr="0069737B">
        <w:rPr>
          <w:rFonts w:ascii="Times New Roman" w:eastAsia="Times New Roman" w:hAnsi="Times New Roman" w:cs="Times New Roman"/>
          <w:color w:val="1F1F1F"/>
          <w:sz w:val="24"/>
          <w:szCs w:val="24"/>
        </w:rPr>
        <w:t>Додаток 1</w:t>
      </w:r>
    </w:p>
    <w:p w:rsidR="00B47CD1" w:rsidRPr="0069737B" w:rsidRDefault="00E874CE">
      <w:pPr>
        <w:spacing w:after="0" w:line="240" w:lineRule="auto"/>
        <w:ind w:left="624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69737B">
        <w:rPr>
          <w:rFonts w:ascii="Times New Roman" w:eastAsia="Times New Roman" w:hAnsi="Times New Roman" w:cs="Times New Roman"/>
          <w:color w:val="1F1F1F"/>
          <w:sz w:val="24"/>
          <w:szCs w:val="24"/>
        </w:rPr>
        <w:t>до Рекомендацій щодо формування ключових показників ефективності діяльності керівника державної наукової установи та оцінювання їх виконання</w:t>
      </w:r>
    </w:p>
    <w:p w:rsidR="00B47CD1" w:rsidRDefault="00B47C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:rsidR="00B47CD1" w:rsidRDefault="00E87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  <w:t>ПЕРЕЛІК</w:t>
      </w:r>
    </w:p>
    <w:p w:rsidR="00B47CD1" w:rsidRDefault="00E87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  <w:t>рекомендованих ключових показників ефективності (КРІ) діяльності керівника державної наукової установи</w:t>
      </w:r>
    </w:p>
    <w:p w:rsidR="00B47CD1" w:rsidRDefault="00B47C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tbl>
      <w:tblPr>
        <w:tblStyle w:val="af9"/>
        <w:tblW w:w="962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744"/>
        <w:gridCol w:w="1761"/>
        <w:gridCol w:w="3118"/>
      </w:tblGrid>
      <w:tr w:rsidR="00B47CD1">
        <w:trPr>
          <w:trHeight w:val="645"/>
          <w:tblHeader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47CD1" w:rsidRDefault="00E874CE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Назва показника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47CD1" w:rsidRDefault="00E874CE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Одиниця вимірювання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B47CD1" w:rsidRDefault="00E874CE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Джерело даних для перевірки</w:t>
            </w:r>
          </w:p>
        </w:tc>
      </w:tr>
      <w:tr w:rsidR="00B47CD1">
        <w:trPr>
          <w:trHeight w:val="358"/>
        </w:trPr>
        <w:tc>
          <w:tcPr>
            <w:tcW w:w="9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B47CD1" w:rsidRDefault="00E874CE" w:rsidP="00477DE0">
            <w:pPr>
              <w:spacing w:after="0" w:line="238" w:lineRule="auto"/>
              <w:ind w:left="97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ГРУПА 1. Кадровий потенціал та підготовка дослідників</w:t>
            </w:r>
          </w:p>
        </w:tc>
      </w:tr>
      <w:tr w:rsidR="0077008A" w:rsidRPr="001B418E">
        <w:trPr>
          <w:trHeight w:val="606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000000"/>
              </w:rPr>
              <w:t>Чисельність усіх працівників наукової установи за основним місцем роботи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Pr="001B418E" w:rsidRDefault="0077008A" w:rsidP="00477DE0">
            <w:pPr>
              <w:spacing w:after="0" w:line="238" w:lineRule="auto"/>
              <w:ind w:left="97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18E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Pr="00764ECE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64EC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Статистична звітність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000000"/>
              </w:rPr>
              <w:t>Чисельність молодих учених з числа НП та НПП за основним місцем роботи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ind w:left="97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осіб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Кадрова звітність,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статистична звітність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Чисельність аспірантів денної форми навчання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ind w:left="97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осіб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Дані ЄДЕБО, накази про зарахування</w:t>
            </w:r>
          </w:p>
        </w:tc>
      </w:tr>
      <w:tr w:rsidR="0077008A">
        <w:trPr>
          <w:trHeight w:val="360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Чисельність докторантів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ind w:left="97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осіб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Накази про зарахування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Чисельність докторів філософії (</w:t>
            </w:r>
            <w:proofErr w:type="spellStart"/>
            <w:r>
              <w:rPr>
                <w:color w:val="1F1F1F"/>
              </w:rPr>
              <w:t>канд</w:t>
            </w:r>
            <w:proofErr w:type="spellEnd"/>
            <w:r>
              <w:rPr>
                <w:color w:val="1F1F1F"/>
              </w:rPr>
              <w:t>. наук) та докторів наук з числа НП та докторантів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ind w:left="97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осіб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Дипломи, особові справи</w:t>
            </w:r>
          </w:p>
        </w:tc>
      </w:tr>
      <w:tr w:rsidR="0077008A">
        <w:trPr>
          <w:trHeight w:val="91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Кількість осіб (НП та аспірантів установи), яким присуджено ступінь доктора філософії (</w:t>
            </w:r>
            <w:proofErr w:type="spellStart"/>
            <w:r>
              <w:rPr>
                <w:color w:val="1F1F1F"/>
              </w:rPr>
              <w:t>канд</w:t>
            </w:r>
            <w:proofErr w:type="spellEnd"/>
            <w:r>
              <w:rPr>
                <w:color w:val="1F1F1F"/>
              </w:rPr>
              <w:t>. наук)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ind w:left="97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осіб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Облікова картка дисертації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Кількість осіб (НП та докторантів), яким присуджено науковий ступінь доктора наук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ind w:left="97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осіб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Облікова картка дисертації</w:t>
            </w:r>
          </w:p>
        </w:tc>
      </w:tr>
      <w:tr w:rsidR="00B47CD1">
        <w:trPr>
          <w:trHeight w:val="416"/>
        </w:trPr>
        <w:tc>
          <w:tcPr>
            <w:tcW w:w="9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B47CD1" w:rsidRDefault="00E874CE" w:rsidP="00477DE0">
            <w:pPr>
              <w:spacing w:after="0" w:line="238" w:lineRule="auto"/>
              <w:ind w:left="97" w:right="12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ГРУПА 2. Результативність наукової діяльності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Кількість монографій, які індексуються у Scopus та/або Web of Science (</w:t>
            </w:r>
            <w:proofErr w:type="spellStart"/>
            <w:r>
              <w:rPr>
                <w:color w:val="1F1F1F"/>
              </w:rPr>
              <w:t>WoS</w:t>
            </w:r>
            <w:proofErr w:type="spellEnd"/>
            <w:r>
              <w:rPr>
                <w:color w:val="1F1F1F"/>
              </w:rPr>
              <w:t>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Дані наукометричних баз Scopus/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WoS</w:t>
            </w:r>
            <w:proofErr w:type="spellEnd"/>
          </w:p>
        </w:tc>
      </w:tr>
      <w:tr w:rsidR="0077008A">
        <w:trPr>
          <w:trHeight w:val="590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Кількість монографій, опублікованих за кордоном мовами країн ОЕСР та/або ЄС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Звіт про наукову діяльність</w:t>
            </w:r>
          </w:p>
        </w:tc>
      </w:tr>
      <w:tr w:rsidR="0077008A">
        <w:trPr>
          <w:trHeight w:val="551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 xml:space="preserve">Кількість наукових статей у журналах з </w:t>
            </w:r>
            <w:proofErr w:type="spellStart"/>
            <w:r>
              <w:rPr>
                <w:color w:val="1F1F1F"/>
              </w:rPr>
              <w:t>квартилями</w:t>
            </w:r>
            <w:proofErr w:type="spellEnd"/>
            <w:r>
              <w:rPr>
                <w:color w:val="1F1F1F"/>
              </w:rPr>
              <w:t xml:space="preserve"> Q1, Q2 (Scopus/</w:t>
            </w:r>
            <w:proofErr w:type="spellStart"/>
            <w:r>
              <w:rPr>
                <w:color w:val="1F1F1F"/>
              </w:rPr>
              <w:t>WoS</w:t>
            </w:r>
            <w:proofErr w:type="spellEnd"/>
            <w:r>
              <w:rPr>
                <w:color w:val="1F1F1F"/>
              </w:rPr>
              <w:t>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Дані Scopus/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WoS</w:t>
            </w:r>
            <w:proofErr w:type="spellEnd"/>
          </w:p>
        </w:tc>
      </w:tr>
      <w:tr w:rsidR="0077008A">
        <w:trPr>
          <w:trHeight w:val="50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 xml:space="preserve">Кількість наукових статей у журналах з </w:t>
            </w:r>
            <w:proofErr w:type="spellStart"/>
            <w:r>
              <w:rPr>
                <w:color w:val="1F1F1F"/>
              </w:rPr>
              <w:t>квартилями</w:t>
            </w:r>
            <w:proofErr w:type="spellEnd"/>
            <w:r>
              <w:rPr>
                <w:color w:val="1F1F1F"/>
              </w:rPr>
              <w:t xml:space="preserve"> Q3, Q4 (Scopus/</w:t>
            </w:r>
            <w:proofErr w:type="spellStart"/>
            <w:r>
              <w:rPr>
                <w:color w:val="1F1F1F"/>
              </w:rPr>
              <w:t>WoS</w:t>
            </w:r>
            <w:proofErr w:type="spellEnd"/>
            <w:r>
              <w:rPr>
                <w:color w:val="1F1F1F"/>
              </w:rPr>
              <w:t>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Дані Scopus/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WoS</w:t>
            </w:r>
            <w:proofErr w:type="spellEnd"/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Кількість наукових статей (з Q1-Q4), опублікованих у відкритому доступі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Дані Scopus/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WoS</w:t>
            </w:r>
            <w:proofErr w:type="spellEnd"/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lastRenderedPageBreak/>
              <w:t xml:space="preserve">Кількість наукових видань установи категорії «А», які індексуються у Scopus та/або </w:t>
            </w:r>
            <w:proofErr w:type="spellStart"/>
            <w:r>
              <w:rPr>
                <w:color w:val="1F1F1F"/>
              </w:rPr>
              <w:t>WoS</w:t>
            </w:r>
            <w:proofErr w:type="spellEnd"/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Перелік фахових видань, Scopus/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WoS</w:t>
            </w:r>
            <w:proofErr w:type="spellEnd"/>
          </w:p>
        </w:tc>
      </w:tr>
      <w:tr w:rsidR="0077008A">
        <w:trPr>
          <w:trHeight w:val="540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Кількість опублікованих наборів дослідницьких (наукових) даних (FAIR-дані)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Електронні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репозитарії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даних</w:t>
            </w:r>
          </w:p>
        </w:tc>
      </w:tr>
      <w:tr w:rsidR="00B47CD1">
        <w:trPr>
          <w:trHeight w:val="424"/>
        </w:trPr>
        <w:tc>
          <w:tcPr>
            <w:tcW w:w="9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B47CD1" w:rsidRPr="00764ECE" w:rsidRDefault="00E874CE" w:rsidP="00477DE0">
            <w:pPr>
              <w:spacing w:after="0" w:line="238" w:lineRule="auto"/>
              <w:ind w:left="97" w:right="12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ГРУПА 3. Інтелектуальна власність та інновації</w:t>
            </w:r>
            <w:r w:rsidR="0077008A" w:rsidRPr="0077008A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vertAlign w:val="superscript"/>
                <w:lang w:val="uk-UA"/>
              </w:rPr>
              <w:t>1</w:t>
            </w:r>
          </w:p>
        </w:tc>
      </w:tr>
      <w:tr w:rsidR="0077008A">
        <w:trPr>
          <w:trHeight w:val="643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Кількість патентів України на винаходи / сорти рослин / породи тварин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Реєстри УКРНОІВІ</w:t>
            </w:r>
          </w:p>
        </w:tc>
      </w:tr>
      <w:tr w:rsidR="0077008A">
        <w:trPr>
          <w:trHeight w:val="611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Кількість отриманих патентів України на корисні моделі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Реєстри УКРНОІВІ</w:t>
            </w:r>
          </w:p>
        </w:tc>
      </w:tr>
      <w:tr w:rsidR="0077008A">
        <w:trPr>
          <w:trHeight w:val="622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 xml:space="preserve">Кількість </w:t>
            </w:r>
            <w:proofErr w:type="spellStart"/>
            <w:r>
              <w:rPr>
                <w:color w:val="1F1F1F"/>
              </w:rPr>
              <w:t>свідоцтв</w:t>
            </w:r>
            <w:proofErr w:type="spellEnd"/>
            <w:r>
              <w:rPr>
                <w:color w:val="1F1F1F"/>
              </w:rPr>
              <w:t xml:space="preserve"> авторського права на комп’ютерні програми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Реєстри УКРНОІВІ</w:t>
            </w:r>
          </w:p>
        </w:tc>
      </w:tr>
      <w:tr w:rsidR="0077008A">
        <w:trPr>
          <w:trHeight w:val="320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Кількість отриманих закордонних патентів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Міжнародні патентні бази</w:t>
            </w:r>
          </w:p>
        </w:tc>
      </w:tr>
      <w:tr w:rsidR="00B47CD1">
        <w:trPr>
          <w:trHeight w:val="386"/>
        </w:trPr>
        <w:tc>
          <w:tcPr>
            <w:tcW w:w="9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B47CD1" w:rsidRDefault="00E874CE" w:rsidP="00477DE0">
            <w:pPr>
              <w:spacing w:after="0" w:line="238" w:lineRule="auto"/>
              <w:ind w:left="97" w:right="12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ГРУПА 4. Конкурсне та грантове фінансування</w:t>
            </w:r>
          </w:p>
        </w:tc>
      </w:tr>
      <w:tr w:rsidR="0077008A">
        <w:trPr>
          <w:trHeight w:val="512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 xml:space="preserve">Кількість поданих і прийнятих заявок на пріоритетні міжнародні гранти (Horizon </w:t>
            </w:r>
            <w:proofErr w:type="spellStart"/>
            <w:r>
              <w:rPr>
                <w:color w:val="1F1F1F"/>
              </w:rPr>
              <w:t>Europe</w:t>
            </w:r>
            <w:proofErr w:type="spellEnd"/>
            <w:r>
              <w:rPr>
                <w:color w:val="1F1F1F"/>
              </w:rPr>
              <w:t>, Євратом, НАТО, УНТЦ)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Грантові заявки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Кількість поданих і прийнятих заявок за міжнародними програмами (</w:t>
            </w:r>
            <w:proofErr w:type="spellStart"/>
            <w:r>
              <w:rPr>
                <w:color w:val="1F1F1F"/>
              </w:rPr>
              <w:t>Erasmus</w:t>
            </w:r>
            <w:proofErr w:type="spellEnd"/>
            <w:r>
              <w:rPr>
                <w:color w:val="1F1F1F"/>
              </w:rPr>
              <w:t xml:space="preserve">+, </w:t>
            </w:r>
            <w:proofErr w:type="spellStart"/>
            <w:r>
              <w:rPr>
                <w:color w:val="1F1F1F"/>
              </w:rPr>
              <w:t>Creative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Europe</w:t>
            </w:r>
            <w:proofErr w:type="spellEnd"/>
            <w:r>
              <w:rPr>
                <w:color w:val="1F1F1F"/>
              </w:rPr>
              <w:t>, інші грантові програми)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Офіційні ресурси донорів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 xml:space="preserve">Кількість заявок на пріоритетні міжнародні гранти (Horizon </w:t>
            </w:r>
            <w:proofErr w:type="spellStart"/>
            <w:r>
              <w:rPr>
                <w:color w:val="1F1F1F"/>
              </w:rPr>
              <w:t>Europe</w:t>
            </w:r>
            <w:proofErr w:type="spellEnd"/>
            <w:r>
              <w:rPr>
                <w:color w:val="1F1F1F"/>
              </w:rPr>
              <w:t>, Євратом, НАТО, УНТЦ), де установа є координатором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Грантові заявки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 xml:space="preserve">Кількість профінансованих міжнародних грантів за пріоритетними програмами (Horizon </w:t>
            </w:r>
            <w:proofErr w:type="spellStart"/>
            <w:r>
              <w:rPr>
                <w:color w:val="1F1F1F"/>
              </w:rPr>
              <w:t>Europe</w:t>
            </w:r>
            <w:proofErr w:type="spellEnd"/>
            <w:r>
              <w:rPr>
                <w:color w:val="1F1F1F"/>
              </w:rPr>
              <w:t>, Євратом, НАТО, УНТЦ) (переможців)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Офіційні ресурси донорів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Кількість переможців загальнодержавних конкурсів, що отримали фінансування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Накази про фінансування, договори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Кількість переможців за іншими міжнародними програмами, що були профінансовані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P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uk-UA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Ресурси Європейської комісії</w:t>
            </w:r>
          </w:p>
        </w:tc>
      </w:tr>
      <w:tr w:rsidR="00B47CD1">
        <w:trPr>
          <w:trHeight w:val="408"/>
        </w:trPr>
        <w:tc>
          <w:tcPr>
            <w:tcW w:w="9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B47CD1" w:rsidRDefault="00E874CE" w:rsidP="00477DE0">
            <w:pPr>
              <w:spacing w:after="0" w:line="238" w:lineRule="auto"/>
              <w:ind w:left="97" w:right="12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ГРУПА 5. Експертна діяльність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Pr="00477DE0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  <w:rPr>
                <w:spacing w:val="-4"/>
              </w:rPr>
            </w:pPr>
            <w:r w:rsidRPr="00477DE0">
              <w:rPr>
                <w:color w:val="1F1F1F"/>
                <w:spacing w:val="-4"/>
              </w:rPr>
              <w:t xml:space="preserve">Кількість реалізованих міжнародних експертних ролей (Horizon </w:t>
            </w:r>
            <w:proofErr w:type="spellStart"/>
            <w:r w:rsidRPr="00477DE0">
              <w:rPr>
                <w:color w:val="1F1F1F"/>
                <w:spacing w:val="-4"/>
              </w:rPr>
              <w:t>Europe</w:t>
            </w:r>
            <w:proofErr w:type="spellEnd"/>
            <w:r w:rsidRPr="00477DE0">
              <w:rPr>
                <w:color w:val="1F1F1F"/>
                <w:spacing w:val="-4"/>
              </w:rPr>
              <w:t xml:space="preserve">, </w:t>
            </w:r>
            <w:proofErr w:type="spellStart"/>
            <w:r w:rsidRPr="00477DE0">
              <w:rPr>
                <w:color w:val="1F1F1F"/>
                <w:spacing w:val="-4"/>
              </w:rPr>
              <w:t>Erasmus</w:t>
            </w:r>
            <w:proofErr w:type="spellEnd"/>
            <w:r w:rsidRPr="00477DE0">
              <w:rPr>
                <w:color w:val="1F1F1F"/>
                <w:spacing w:val="-4"/>
              </w:rPr>
              <w:t>+)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Підтвердження від організаторів</w:t>
            </w:r>
          </w:p>
        </w:tc>
      </w:tr>
      <w:tr w:rsidR="0077008A">
        <w:trPr>
          <w:trHeight w:val="91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 xml:space="preserve">Кількість реалізованих загальнодержавних експертних ролей (НФДУ, МОН, атестаційні комісії, </w:t>
            </w:r>
            <w:proofErr w:type="spellStart"/>
            <w:r>
              <w:rPr>
                <w:color w:val="1F1F1F"/>
              </w:rPr>
              <w:t>опонування</w:t>
            </w:r>
            <w:proofErr w:type="spellEnd"/>
            <w:r>
              <w:rPr>
                <w:color w:val="1F1F1F"/>
              </w:rPr>
              <w:t>/рецензування дисертацій)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одиниць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Накази МОН, протоколи комісій</w:t>
            </w:r>
          </w:p>
        </w:tc>
      </w:tr>
      <w:tr w:rsidR="00B47CD1">
        <w:trPr>
          <w:trHeight w:val="360"/>
        </w:trPr>
        <w:tc>
          <w:tcPr>
            <w:tcW w:w="9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B47CD1" w:rsidRDefault="00E874CE" w:rsidP="00477DE0">
            <w:pPr>
              <w:spacing w:after="0" w:line="238" w:lineRule="auto"/>
              <w:ind w:left="97" w:right="12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ГРУПА 6. Фінансова стійкість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P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 w:rsidRPr="0077008A">
              <w:rPr>
                <w:color w:val="1F1F1F"/>
              </w:rPr>
              <w:t xml:space="preserve">Обсяг коштів спецфонду від пріоритетних міжнародних програм (Horizon </w:t>
            </w:r>
            <w:proofErr w:type="spellStart"/>
            <w:r w:rsidRPr="0077008A">
              <w:rPr>
                <w:color w:val="1F1F1F"/>
              </w:rPr>
              <w:t>Europe</w:t>
            </w:r>
            <w:proofErr w:type="spellEnd"/>
            <w:r w:rsidRPr="0077008A">
              <w:rPr>
                <w:color w:val="1F1F1F"/>
              </w:rPr>
              <w:t>, НАТО тощо)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тис. грн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Фінансова звітність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P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 w:rsidRPr="0077008A">
              <w:rPr>
                <w:color w:val="1F1F1F"/>
              </w:rPr>
              <w:t>Обсяг коштів спецфонду від інших міжнародних відборів (</w:t>
            </w:r>
            <w:proofErr w:type="spellStart"/>
            <w:r w:rsidRPr="0077008A">
              <w:rPr>
                <w:color w:val="1F1F1F"/>
              </w:rPr>
              <w:t>Erasmus</w:t>
            </w:r>
            <w:proofErr w:type="spellEnd"/>
            <w:r w:rsidRPr="0077008A">
              <w:rPr>
                <w:color w:val="1F1F1F"/>
              </w:rPr>
              <w:t>+ тощо)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тис. грн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Фінансова звітність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P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 w:rsidRPr="0077008A">
              <w:rPr>
                <w:color w:val="1F1F1F"/>
              </w:rPr>
              <w:t>Обсяг коштів спецфонду від загальнодержавних конкурсів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тис. грн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Фінансова звітність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P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 w:rsidRPr="0077008A">
              <w:rPr>
                <w:color w:val="1F1F1F"/>
              </w:rPr>
              <w:t>Обсяг коштів спецфонду за госпдоговорами / ліцензіями від іноземних осіб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тис. грн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Договори, акти виконаних робіт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P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 w:rsidRPr="0077008A">
              <w:rPr>
                <w:color w:val="1F1F1F"/>
              </w:rPr>
              <w:t>Обсяг коштів спецфонду за госпдоговорами / ліцензіями від українських осіб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тис. грн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Договори, акти виконаних робіт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P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 w:rsidRPr="0077008A">
              <w:rPr>
                <w:color w:val="1F1F1F"/>
              </w:rPr>
              <w:t>Обсяг коштів спецфонду, отриманих на рахунки наукового парку, засновником або співзасновником якого є наукова установа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тис. грн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Фінансова звітність наукового парку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P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 w:rsidRPr="0077008A">
              <w:rPr>
                <w:color w:val="1F1F1F"/>
              </w:rPr>
              <w:t>Балансова вартість придбаного наукового обладнання, спеціалізованого програмного забезпечення для наукових досліджень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тис. грн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Фінансова звітність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P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  <w:rPr>
                <w:color w:val="1F1F1F"/>
              </w:rPr>
            </w:pPr>
            <w:r w:rsidRPr="0077008A">
              <w:rPr>
                <w:color w:val="1F1F1F"/>
              </w:rPr>
              <w:t>Частка позабюджетного фінансування у</w:t>
            </w:r>
          </w:p>
          <w:p w:rsidR="0077008A" w:rsidRP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 w:rsidRPr="0077008A">
              <w:rPr>
                <w:color w:val="1F1F1F"/>
              </w:rPr>
              <w:t>загальному бюджеті установи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Pr="0077008A" w:rsidRDefault="0077008A" w:rsidP="00477DE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uk-UA"/>
              </w:rPr>
              <w:t>%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Pr="0077008A" w:rsidRDefault="0077008A" w:rsidP="00477DE0">
            <w:pPr>
              <w:spacing w:after="0" w:line="238" w:lineRule="auto"/>
              <w:ind w:left="97" w:right="120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uk-UA"/>
              </w:rPr>
              <w:t>Фінансова звітність</w:t>
            </w:r>
          </w:p>
        </w:tc>
      </w:tr>
      <w:tr w:rsidR="00B47CD1">
        <w:trPr>
          <w:trHeight w:val="374"/>
        </w:trPr>
        <w:tc>
          <w:tcPr>
            <w:tcW w:w="9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B47CD1" w:rsidRPr="0077008A" w:rsidRDefault="00E874CE" w:rsidP="00477DE0">
            <w:pPr>
              <w:spacing w:after="0" w:line="238" w:lineRule="auto"/>
              <w:ind w:left="97" w:right="12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ГРУПА 7. Управлінська ефективність і стратегічний розвиток</w:t>
            </w:r>
            <w:r w:rsidR="0077008A" w:rsidRPr="0077008A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vertAlign w:val="superscript"/>
                <w:lang w:val="uk-UA"/>
              </w:rPr>
              <w:t>2</w:t>
            </w:r>
          </w:p>
        </w:tc>
      </w:tr>
      <w:tr w:rsidR="00B47CD1">
        <w:trPr>
          <w:trHeight w:val="480"/>
        </w:trPr>
        <w:tc>
          <w:tcPr>
            <w:tcW w:w="9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47CD1" w:rsidRDefault="00E874CE" w:rsidP="00477DE0">
            <w:pPr>
              <w:spacing w:after="0" w:line="238" w:lineRule="auto"/>
              <w:ind w:left="97" w:right="12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7.1. Управління державним майном та земельними ресурсами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Частка об’єктів нерухомого майна, на які оформлено право власності (держреєстрація) відповідно до чинного законодавства (для державних наукових установ у стані реорганізації)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% від загальної кількості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10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Витяги з Державного реєстру речових прав на нерухоме майно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Частка земельних ділянок, які мають кадастровий номер та оформлені права користування (для державних наукових установ у стані реорганізації)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spacing w:after="0" w:line="238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% від загальної площі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spacing w:after="0" w:line="238" w:lineRule="auto"/>
              <w:ind w:left="10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Державний земельний кадастр</w:t>
            </w:r>
          </w:p>
        </w:tc>
      </w:tr>
      <w:tr w:rsidR="00B47CD1">
        <w:trPr>
          <w:trHeight w:val="403"/>
        </w:trPr>
        <w:tc>
          <w:tcPr>
            <w:tcW w:w="9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47CD1" w:rsidRDefault="00E874CE" w:rsidP="00477DE0">
            <w:pPr>
              <w:spacing w:after="0" w:line="238" w:lineRule="auto"/>
              <w:ind w:left="97" w:right="12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7.2. Цифрова трансформація та відкрита наука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 xml:space="preserve">Рівень </w:t>
            </w:r>
            <w:proofErr w:type="spellStart"/>
            <w:r>
              <w:rPr>
                <w:color w:val="1F1F1F"/>
              </w:rPr>
              <w:t>цифровізації</w:t>
            </w:r>
            <w:proofErr w:type="spellEnd"/>
            <w:r>
              <w:rPr>
                <w:color w:val="1F1F1F"/>
              </w:rPr>
              <w:t xml:space="preserve"> управлінських процесів (у тому числі впровадження систем електронного документообігу або інших цифрових рішень)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% підрозділів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>Накази про впровадження, звіти ІТ-відділу або аналогічного структурного підрозділу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 xml:space="preserve">Створення та/або забезпечення функціонування і наповнення відкритого </w:t>
            </w:r>
            <w:proofErr w:type="spellStart"/>
            <w:r>
              <w:rPr>
                <w:color w:val="1F1F1F"/>
              </w:rPr>
              <w:t>репозитарію</w:t>
            </w:r>
            <w:proofErr w:type="spellEnd"/>
            <w:r>
              <w:rPr>
                <w:color w:val="1F1F1F"/>
              </w:rPr>
              <w:t xml:space="preserve"> наукових робіт установи або використання національних чи інших відкритих </w:t>
            </w:r>
            <w:proofErr w:type="spellStart"/>
            <w:r>
              <w:rPr>
                <w:color w:val="1F1F1F"/>
              </w:rPr>
              <w:t>репозитаріїв</w:t>
            </w:r>
            <w:proofErr w:type="spellEnd"/>
            <w:r>
              <w:rPr>
                <w:color w:val="1F1F1F"/>
              </w:rPr>
              <w:t>, у тому числі для наборів відкритих наукових даних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кількість одиниць контенту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proofErr w:type="spellStart"/>
            <w:r>
              <w:rPr>
                <w:color w:val="1F1F1F"/>
              </w:rPr>
              <w:t>Вебсторінка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репозитарію</w:t>
            </w:r>
            <w:proofErr w:type="spellEnd"/>
            <w:r>
              <w:rPr>
                <w:color w:val="1F1F1F"/>
              </w:rPr>
              <w:t>, метадані</w:t>
            </w:r>
          </w:p>
        </w:tc>
      </w:tr>
      <w:tr w:rsidR="00B47CD1">
        <w:trPr>
          <w:trHeight w:val="357"/>
        </w:trPr>
        <w:tc>
          <w:tcPr>
            <w:tcW w:w="9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47CD1" w:rsidRDefault="00E874CE" w:rsidP="00477DE0">
            <w:pPr>
              <w:spacing w:after="0" w:line="238" w:lineRule="auto"/>
              <w:ind w:left="97" w:right="12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7.3. Соціальний розвиток та кадрова політика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Реалізація заходів щодо розвитку кадрового потенціалу та підтримки наукових працівників (у тому числі із залученням коштів спеціального фонду та інших джерел, не заборонених законодавством)</w:t>
            </w:r>
            <w:r w:rsidRPr="0077008A">
              <w:rPr>
                <w:color w:val="1F1F1F"/>
                <w:vertAlign w:val="superscript"/>
              </w:rPr>
              <w:t>3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тис. грн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>Фінансова звітність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Наявність та виконання плану гендерної рівності (</w:t>
            </w:r>
            <w:proofErr w:type="spellStart"/>
            <w:r>
              <w:rPr>
                <w:color w:val="1F1F1F"/>
              </w:rPr>
              <w:t>Gender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Equality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Plan</w:t>
            </w:r>
            <w:proofErr w:type="spellEnd"/>
            <w:r>
              <w:rPr>
                <w:color w:val="1F1F1F"/>
              </w:rPr>
              <w:t>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факт (так/ні)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>Копія затвердженого Плану, звіт про виконання Плану або посилання на публікації на вебсайті</w:t>
            </w:r>
          </w:p>
        </w:tc>
      </w:tr>
      <w:tr w:rsidR="00B47CD1">
        <w:trPr>
          <w:trHeight w:val="407"/>
        </w:trPr>
        <w:tc>
          <w:tcPr>
            <w:tcW w:w="9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47CD1" w:rsidRDefault="00E874CE" w:rsidP="00477DE0">
            <w:pPr>
              <w:spacing w:after="0" w:line="238" w:lineRule="auto"/>
              <w:ind w:left="97" w:right="12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7.4. Протидія корупції та прозорість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Своєчасність та повнота оприлюднення звітності про діяльність установи на офіційному вебсайті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факт (так/ні)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 xml:space="preserve">Моніторинг </w:t>
            </w:r>
            <w:proofErr w:type="spellStart"/>
            <w:r>
              <w:rPr>
                <w:color w:val="1F1F1F"/>
              </w:rPr>
              <w:t>вебсайту</w:t>
            </w:r>
            <w:proofErr w:type="spellEnd"/>
            <w:r>
              <w:rPr>
                <w:color w:val="1F1F1F"/>
              </w:rPr>
              <w:t xml:space="preserve"> установи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Своєчасність виконання заходів за результатами аудитів або перевірок, проведених уповноваженими органами державного фінансового контролю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факт (так/ні)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>Акти перевірок, аудиторські звіти</w:t>
            </w:r>
          </w:p>
        </w:tc>
      </w:tr>
      <w:tr w:rsidR="00B47CD1">
        <w:trPr>
          <w:trHeight w:val="456"/>
        </w:trPr>
        <w:tc>
          <w:tcPr>
            <w:tcW w:w="9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47CD1" w:rsidRPr="0077008A" w:rsidRDefault="00E874CE" w:rsidP="00477DE0">
            <w:pPr>
              <w:spacing w:after="0" w:line="238" w:lineRule="auto"/>
              <w:ind w:left="97" w:right="12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7.5. Екологічна відповідальність</w:t>
            </w:r>
            <w:r w:rsidR="0077008A" w:rsidRPr="0077008A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vertAlign w:val="superscript"/>
                <w:lang w:val="uk-UA"/>
              </w:rPr>
              <w:t>4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Динаміка заміщення споживання енерго</w:t>
            </w:r>
            <w:r w:rsidR="00477DE0">
              <w:rPr>
                <w:color w:val="1F1F1F"/>
              </w:rPr>
              <w:softHyphen/>
            </w:r>
            <w:r>
              <w:rPr>
                <w:color w:val="1F1F1F"/>
              </w:rPr>
              <w:t>ресурсів з традиційних джерел на віднов</w:t>
            </w:r>
            <w:r w:rsidR="00477DE0">
              <w:rPr>
                <w:color w:val="1F1F1F"/>
              </w:rPr>
              <w:softHyphen/>
            </w:r>
            <w:r>
              <w:rPr>
                <w:color w:val="1F1F1F"/>
              </w:rPr>
              <w:t>лювальні порівняно з попереднім роком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%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>Рахунки за комунальні послуги, енергетичний паспорт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Обсяг залучених та/або використаних коштів на заходи з енергоефективності та розвитку зеленої енергетики (у тому числі за рахунок державних програм, коштів спеціального фонду та міжнародної технічної допомоги)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тис. грн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>Фінансова звітність</w:t>
            </w:r>
          </w:p>
        </w:tc>
      </w:tr>
      <w:tr w:rsidR="00B47CD1">
        <w:trPr>
          <w:trHeight w:val="387"/>
        </w:trPr>
        <w:tc>
          <w:tcPr>
            <w:tcW w:w="9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B47CD1" w:rsidRPr="0077008A" w:rsidRDefault="00E874CE" w:rsidP="00477DE0">
            <w:pPr>
              <w:spacing w:after="0" w:line="238" w:lineRule="auto"/>
              <w:ind w:left="97" w:right="12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7.6. Академічна доброчесність</w:t>
            </w:r>
            <w:r w:rsidR="0077008A" w:rsidRPr="0077008A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vertAlign w:val="superscript"/>
                <w:lang w:val="uk-UA"/>
              </w:rPr>
              <w:t>5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Наявність затвердженого Положення про академічну доброчесність та Кодексу етики установи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факт (так/ні)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>Наказ про затвердження, публікація на вебсайті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Ефективність функціонування Комісії з питань етики та академічної доброчесності (наявність розглянутих кейсів та прийнятих рішень)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од.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>Протоколи засідань Комісії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Наявність відкритої інформації про заходи щодо забезпечення академічної доброчесності (зокрема на офіційному вебсайті установи)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факт (так/ні)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 xml:space="preserve">Моніторинг офіційного </w:t>
            </w:r>
            <w:proofErr w:type="spellStart"/>
            <w:r>
              <w:rPr>
                <w:color w:val="1F1F1F"/>
              </w:rPr>
              <w:t>вебсайту</w:t>
            </w:r>
            <w:proofErr w:type="spellEnd"/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Кількість підтверджених випадків порушення академічної доброчесності серед працівників наукової установи, у тому числі керівного складу, та результати реагування на них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од.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>Рішення Комісії з етики, НАЗЯВО, або органу управління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Частка наукових працівників, які пройшли навчання/інструктаж з питань академічної доброчесності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% від штату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>Журнали реєстрації, сертифікати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</w:pPr>
            <w:r>
              <w:rPr>
                <w:color w:val="1F1F1F"/>
              </w:rPr>
              <w:t>Наявність чинного договору або забезпечення доступу до сервісів перевірки на текстові запозичення (</w:t>
            </w:r>
            <w:proofErr w:type="spellStart"/>
            <w:r>
              <w:rPr>
                <w:color w:val="1F1F1F"/>
              </w:rPr>
              <w:t>Unicheck</w:t>
            </w:r>
            <w:proofErr w:type="spellEnd"/>
            <w:r>
              <w:rPr>
                <w:color w:val="1F1F1F"/>
              </w:rPr>
              <w:t xml:space="preserve">, </w:t>
            </w:r>
            <w:proofErr w:type="spellStart"/>
            <w:r>
              <w:rPr>
                <w:color w:val="1F1F1F"/>
              </w:rPr>
              <w:t>StrikePlagiarism</w:t>
            </w:r>
            <w:proofErr w:type="spellEnd"/>
            <w:r>
              <w:rPr>
                <w:color w:val="1F1F1F"/>
              </w:rPr>
              <w:t xml:space="preserve"> тощо)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факт (так/ні)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>Копія договору, підтвердження доступу</w:t>
            </w:r>
          </w:p>
        </w:tc>
      </w:tr>
      <w:tr w:rsidR="0077008A">
        <w:trPr>
          <w:trHeight w:val="645"/>
        </w:trPr>
        <w:tc>
          <w:tcPr>
            <w:tcW w:w="4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7008A" w:rsidRPr="00477DE0" w:rsidRDefault="0077008A" w:rsidP="00477DE0">
            <w:pPr>
              <w:pStyle w:val="aa"/>
              <w:spacing w:before="0" w:beforeAutospacing="0" w:after="0" w:afterAutospacing="0" w:line="238" w:lineRule="auto"/>
              <w:ind w:left="97" w:right="120"/>
              <w:jc w:val="both"/>
              <w:rPr>
                <w:spacing w:val="-6"/>
              </w:rPr>
            </w:pPr>
            <w:r w:rsidRPr="00477DE0">
              <w:rPr>
                <w:color w:val="1F1F1F"/>
                <w:spacing w:val="-6"/>
              </w:rPr>
              <w:t>Наявність механізмів виявлення та запобігання порушенням академічної доброчесності та результати їх застосування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/>
              <w:jc w:val="center"/>
            </w:pPr>
            <w:r>
              <w:rPr>
                <w:color w:val="1F1F1F"/>
              </w:rPr>
              <w:t>описово / од.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:rsidR="0077008A" w:rsidRDefault="0077008A" w:rsidP="00477DE0">
            <w:pPr>
              <w:pStyle w:val="aa"/>
              <w:spacing w:before="0" w:beforeAutospacing="0" w:after="0" w:afterAutospacing="0" w:line="238" w:lineRule="auto"/>
              <w:ind w:left="100" w:right="120"/>
              <w:jc w:val="both"/>
            </w:pPr>
            <w:r>
              <w:rPr>
                <w:color w:val="1F1F1F"/>
              </w:rPr>
              <w:t>Звітність Комісії з етики</w:t>
            </w:r>
          </w:p>
        </w:tc>
      </w:tr>
    </w:tbl>
    <w:p w:rsidR="00477DE0" w:rsidRPr="00477DE0" w:rsidRDefault="00477DE0" w:rsidP="00477D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</w:pPr>
      <w:r w:rsidRPr="00477DE0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>Примітки:</w:t>
      </w:r>
    </w:p>
    <w:p w:rsidR="00477DE0" w:rsidRPr="00477DE0" w:rsidRDefault="00477DE0" w:rsidP="00477D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</w:pPr>
      <w:r w:rsidRPr="00477DE0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>1. Показники, що належать до Групи 3 «Інтелектуальна власність та інновації» не застосовуються для наукових установ суспільного та гуманітарно-мистецького напрямів</w:t>
      </w:r>
    </w:p>
    <w:p w:rsidR="00477DE0" w:rsidRPr="00477DE0" w:rsidRDefault="00477DE0" w:rsidP="00477D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</w:pPr>
      <w:r w:rsidRPr="00477DE0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>2. Показники Групи 7 «Управлінська ефективність і стратегічний розвиток» формуються з урахуванням ресурсного забезпечення державної наукової установи, включаючи кошти загального та спеціального фондів, та не повинні встановлюватися на рівні, що об’єктивно унеможливлює їх досягнення, і оцінюються не лише за фактом впровадження відповідних інструментів або рішень, а й за результатами їх фактичного використання та впливу на діяльність установи.</w:t>
      </w:r>
    </w:p>
    <w:p w:rsidR="00477DE0" w:rsidRPr="00477DE0" w:rsidRDefault="00477DE0" w:rsidP="00477D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</w:pPr>
      <w:r w:rsidRPr="00477DE0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>3. Заходи підтримки наукових працівників не обмежуються виплатами соціального характеру та можуть включати інструменти розвитку кадрового потенціалу, підвищення кваліфікації, мобільності, залучення молодих дослідників та інші заходи, спрямовані на підвищення привабливості роботи в установі. Встановлення відповідних показників здійснюється з урахуванням ресурсного забезпечення установи, включаючи можливості спеціального фонду.</w:t>
      </w:r>
    </w:p>
    <w:p w:rsidR="00477DE0" w:rsidRPr="00477DE0" w:rsidRDefault="00477DE0" w:rsidP="00477D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</w:pPr>
      <w:r w:rsidRPr="00477DE0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>4. Показники екологічної відповідальності спрямовані на підвищення ефективності використання ресурсів та не передбачають обов’язкового здійснення капітальних інвестицій за відсутності відповідних можливостей.</w:t>
      </w:r>
    </w:p>
    <w:p w:rsidR="00477DE0" w:rsidRPr="00477DE0" w:rsidRDefault="00477DE0" w:rsidP="00477D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</w:pPr>
      <w:r w:rsidRPr="00477DE0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>5. Оцінювання показників підгрупи 7.6. «Академічна доброчесність» здійснюється з урахуванням комплексного підходу до забезпечення академічної доброчесності та не обмежується виключно кількісними показниками. Пріоритет надається ефективності функціонування внутрішніх систем запобігання, виявлення та реагування на порушення.</w:t>
      </w:r>
    </w:p>
    <w:p w:rsidR="00764ECE" w:rsidRPr="00764ECE" w:rsidRDefault="00477DE0" w:rsidP="00477D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</w:pPr>
      <w:r w:rsidRPr="00477DE0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>Наявність окремих підтверджених випадків порушень академічної доброчесності не розглядається як автоматичне свідчення неефективності діяльності керівника за умови належного реагування та функціонування відповідних внутрішніх механізмів.</w:t>
      </w:r>
    </w:p>
    <w:p w:rsidR="00B47CD1" w:rsidRDefault="00E874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________________________________</w:t>
      </w:r>
    </w:p>
    <w:p w:rsidR="00B47CD1" w:rsidRDefault="00B47C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7"/>
          <w:szCs w:val="27"/>
        </w:rPr>
      </w:pPr>
    </w:p>
    <w:sectPr w:rsidR="00B47CD1">
      <w:headerReference w:type="default" r:id="rId8"/>
      <w:pgSz w:w="11906" w:h="16838"/>
      <w:pgMar w:top="850" w:right="850" w:bottom="156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7D6" w:rsidRDefault="00DD27D6">
      <w:pPr>
        <w:spacing w:after="0" w:line="240" w:lineRule="auto"/>
      </w:pPr>
      <w:r>
        <w:separator/>
      </w:r>
    </w:p>
  </w:endnote>
  <w:endnote w:type="continuationSeparator" w:id="0">
    <w:p w:rsidR="00DD27D6" w:rsidRDefault="00DD2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0E55ADA-B768-4778-B513-3C8824D850E7}"/>
    <w:embedBold r:id="rId2" w:fontKey="{A3E02709-A854-412D-B825-4EE07DF5A01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tiqua">
    <w:altName w:val="Bahnschrift Light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8CABFDA-7AF6-428B-81E8-B9B042D3E06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FDD86633-641A-4678-97D5-D88B428F6F5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BCDF3045-24DD-496E-9FD5-15B2EF03D5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7D6" w:rsidRDefault="00DD27D6">
      <w:pPr>
        <w:spacing w:after="0" w:line="240" w:lineRule="auto"/>
      </w:pPr>
      <w:r>
        <w:separator/>
      </w:r>
    </w:p>
  </w:footnote>
  <w:footnote w:type="continuationSeparator" w:id="0">
    <w:p w:rsidR="00DD27D6" w:rsidRDefault="00DD2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CD1" w:rsidRPr="00BD6860" w:rsidRDefault="00BD6860" w:rsidP="00DA5C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left" w:pos="7088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 w:rsidR="00E874CE"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E874CE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 w:rsidR="00E874CE"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B1111E">
      <w:rPr>
        <w:rFonts w:ascii="Times New Roman" w:eastAsia="Times New Roman" w:hAnsi="Times New Roman" w:cs="Times New Roman"/>
        <w:noProof/>
        <w:color w:val="000000"/>
        <w:sz w:val="24"/>
        <w:szCs w:val="24"/>
      </w:rPr>
      <w:t>5</w:t>
    </w:r>
    <w:r w:rsidR="00E874CE"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>Продовження додатка</w:t>
    </w:r>
    <w:r w:rsidR="00DA5CE9"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 xml:space="preserve"> 1</w:t>
    </w:r>
  </w:p>
  <w:p w:rsidR="00B47CD1" w:rsidRDefault="00B47CD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A7215"/>
    <w:multiLevelType w:val="multilevel"/>
    <w:tmpl w:val="A4C009B2"/>
    <w:lvl w:ilvl="0">
      <w:start w:val="3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0115A69"/>
    <w:multiLevelType w:val="multilevel"/>
    <w:tmpl w:val="63B69D10"/>
    <w:lvl w:ilvl="0">
      <w:start w:val="1"/>
      <w:numFmt w:val="decimal"/>
      <w:lvlText w:val="3.%1."/>
      <w:lvlJc w:val="left"/>
      <w:pPr>
        <w:ind w:left="1434" w:hanging="360"/>
      </w:p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2" w15:restartNumberingAfterBreak="0">
    <w:nsid w:val="364D70B8"/>
    <w:multiLevelType w:val="multilevel"/>
    <w:tmpl w:val="16DE9530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9CE4FAD"/>
    <w:multiLevelType w:val="multilevel"/>
    <w:tmpl w:val="A8E868A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A13B4E"/>
    <w:multiLevelType w:val="multilevel"/>
    <w:tmpl w:val="C63A50C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34" w:hanging="720"/>
      </w:pPr>
    </w:lvl>
    <w:lvl w:ilvl="2">
      <w:start w:val="1"/>
      <w:numFmt w:val="decimal"/>
      <w:lvlText w:val="%1.%2.%3."/>
      <w:lvlJc w:val="left"/>
      <w:pPr>
        <w:ind w:left="2148" w:hanging="720"/>
      </w:pPr>
    </w:lvl>
    <w:lvl w:ilvl="3">
      <w:start w:val="1"/>
      <w:numFmt w:val="decimal"/>
      <w:lvlText w:val="%1.%2.%3.%4."/>
      <w:lvlJc w:val="left"/>
      <w:pPr>
        <w:ind w:left="3222" w:hanging="1080"/>
      </w:pPr>
    </w:lvl>
    <w:lvl w:ilvl="4">
      <w:start w:val="1"/>
      <w:numFmt w:val="decimal"/>
      <w:lvlText w:val="%1.%2.%3.%4.%5."/>
      <w:lvlJc w:val="left"/>
      <w:pPr>
        <w:ind w:left="3936" w:hanging="1080"/>
      </w:pPr>
    </w:lvl>
    <w:lvl w:ilvl="5">
      <w:start w:val="1"/>
      <w:numFmt w:val="decimal"/>
      <w:lvlText w:val="%1.%2.%3.%4.%5.%6."/>
      <w:lvlJc w:val="left"/>
      <w:pPr>
        <w:ind w:left="5010" w:hanging="1440"/>
      </w:pPr>
    </w:lvl>
    <w:lvl w:ilvl="6">
      <w:start w:val="1"/>
      <w:numFmt w:val="decimal"/>
      <w:lvlText w:val="%1.%2.%3.%4.%5.%6.%7."/>
      <w:lvlJc w:val="left"/>
      <w:pPr>
        <w:ind w:left="6084" w:hanging="1800"/>
      </w:pPr>
    </w:lvl>
    <w:lvl w:ilvl="7">
      <w:start w:val="1"/>
      <w:numFmt w:val="decimal"/>
      <w:lvlText w:val="%1.%2.%3.%4.%5.%6.%7.%8."/>
      <w:lvlJc w:val="left"/>
      <w:pPr>
        <w:ind w:left="6798" w:hanging="1800"/>
      </w:pPr>
    </w:lvl>
    <w:lvl w:ilvl="8">
      <w:start w:val="1"/>
      <w:numFmt w:val="decimal"/>
      <w:lvlText w:val="%1.%2.%3.%4.%5.%6.%7.%8.%9."/>
      <w:lvlJc w:val="left"/>
      <w:pPr>
        <w:ind w:left="7872" w:hanging="2160"/>
      </w:pPr>
    </w:lvl>
  </w:abstractNum>
  <w:abstractNum w:abstractNumId="5" w15:restartNumberingAfterBreak="0">
    <w:nsid w:val="7A34689A"/>
    <w:multiLevelType w:val="multilevel"/>
    <w:tmpl w:val="5B04300A"/>
    <w:lvl w:ilvl="0">
      <w:start w:val="1"/>
      <w:numFmt w:val="decimal"/>
      <w:lvlText w:val="4.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CD1"/>
    <w:rsid w:val="000A311C"/>
    <w:rsid w:val="001B418E"/>
    <w:rsid w:val="00477DE0"/>
    <w:rsid w:val="00581602"/>
    <w:rsid w:val="0069737B"/>
    <w:rsid w:val="0072044C"/>
    <w:rsid w:val="00764ECE"/>
    <w:rsid w:val="0077008A"/>
    <w:rsid w:val="00AF717B"/>
    <w:rsid w:val="00B1111E"/>
    <w:rsid w:val="00B47CD1"/>
    <w:rsid w:val="00BD6860"/>
    <w:rsid w:val="00D026E4"/>
    <w:rsid w:val="00DA5CE9"/>
    <w:rsid w:val="00DD27D6"/>
    <w:rsid w:val="00E5388E"/>
    <w:rsid w:val="00E874CE"/>
    <w:rsid w:val="00F048E7"/>
    <w:rsid w:val="00F2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FB7394E-4094-4133-A226-A80AC4D61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rvps6">
    <w:name w:val="rvps6"/>
    <w:rsid w:val="00B2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B2315B"/>
  </w:style>
  <w:style w:type="paragraph" w:customStyle="1" w:styleId="rvps7">
    <w:name w:val="rvps7"/>
    <w:rsid w:val="00B2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5">
    <w:name w:val="rvts15"/>
    <w:basedOn w:val="a0"/>
    <w:rsid w:val="00B2315B"/>
  </w:style>
  <w:style w:type="character" w:styleId="a4">
    <w:name w:val="Hyperlink"/>
    <w:basedOn w:val="a0"/>
    <w:uiPriority w:val="99"/>
    <w:unhideWhenUsed/>
    <w:rsid w:val="00B2315B"/>
    <w:rPr>
      <w:color w:val="0563C1" w:themeColor="hyperlink"/>
      <w:u w:val="single"/>
    </w:rPr>
  </w:style>
  <w:style w:type="paragraph" w:styleId="a5">
    <w:name w:val="header"/>
    <w:link w:val="a6"/>
    <w:uiPriority w:val="99"/>
    <w:unhideWhenUsed/>
    <w:rsid w:val="008200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2003A"/>
  </w:style>
  <w:style w:type="paragraph" w:styleId="a7">
    <w:name w:val="footer"/>
    <w:link w:val="a8"/>
    <w:uiPriority w:val="99"/>
    <w:unhideWhenUsed/>
    <w:rsid w:val="008200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2003A"/>
  </w:style>
  <w:style w:type="paragraph" w:customStyle="1" w:styleId="rvps2">
    <w:name w:val="rvps2"/>
    <w:rsid w:val="00820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6">
    <w:name w:val="rvts46"/>
    <w:basedOn w:val="a0"/>
    <w:rsid w:val="0097309A"/>
  </w:style>
  <w:style w:type="paragraph" w:styleId="a9">
    <w:name w:val="List Paragraph"/>
    <w:uiPriority w:val="34"/>
    <w:qFormat/>
    <w:rsid w:val="00556F73"/>
    <w:pPr>
      <w:ind w:left="720"/>
      <w:contextualSpacing/>
    </w:pPr>
  </w:style>
  <w:style w:type="paragraph" w:styleId="aa">
    <w:name w:val="Normal (Web)"/>
    <w:uiPriority w:val="99"/>
    <w:unhideWhenUsed/>
    <w:rsid w:val="009D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149">
    <w:name w:val="citation-149"/>
    <w:basedOn w:val="a0"/>
    <w:rsid w:val="009D0E8A"/>
  </w:style>
  <w:style w:type="character" w:customStyle="1" w:styleId="citation-148">
    <w:name w:val="citation-148"/>
    <w:basedOn w:val="a0"/>
    <w:rsid w:val="009D0E8A"/>
  </w:style>
  <w:style w:type="character" w:customStyle="1" w:styleId="button-label">
    <w:name w:val="button-label"/>
    <w:basedOn w:val="a0"/>
    <w:rsid w:val="009D0E8A"/>
  </w:style>
  <w:style w:type="character" w:customStyle="1" w:styleId="citation-147">
    <w:name w:val="citation-147"/>
    <w:basedOn w:val="a0"/>
    <w:rsid w:val="009D0E8A"/>
  </w:style>
  <w:style w:type="character" w:customStyle="1" w:styleId="citation-146">
    <w:name w:val="citation-146"/>
    <w:basedOn w:val="a0"/>
    <w:rsid w:val="009D0E8A"/>
  </w:style>
  <w:style w:type="character" w:customStyle="1" w:styleId="citation-145">
    <w:name w:val="citation-145"/>
    <w:basedOn w:val="a0"/>
    <w:rsid w:val="009D0E8A"/>
  </w:style>
  <w:style w:type="character" w:customStyle="1" w:styleId="citation-144">
    <w:name w:val="citation-144"/>
    <w:basedOn w:val="a0"/>
    <w:rsid w:val="009D0E8A"/>
  </w:style>
  <w:style w:type="character" w:customStyle="1" w:styleId="citation-143">
    <w:name w:val="citation-143"/>
    <w:basedOn w:val="a0"/>
    <w:rsid w:val="009D0E8A"/>
  </w:style>
  <w:style w:type="character" w:customStyle="1" w:styleId="citation-142">
    <w:name w:val="citation-142"/>
    <w:basedOn w:val="a0"/>
    <w:rsid w:val="009D0E8A"/>
  </w:style>
  <w:style w:type="character" w:customStyle="1" w:styleId="citation-141">
    <w:name w:val="citation-141"/>
    <w:basedOn w:val="a0"/>
    <w:rsid w:val="009D0E8A"/>
  </w:style>
  <w:style w:type="character" w:customStyle="1" w:styleId="citation-140">
    <w:name w:val="citation-140"/>
    <w:basedOn w:val="a0"/>
    <w:rsid w:val="009D0E8A"/>
  </w:style>
  <w:style w:type="character" w:customStyle="1" w:styleId="citation-139">
    <w:name w:val="citation-139"/>
    <w:basedOn w:val="a0"/>
    <w:rsid w:val="009D0E8A"/>
  </w:style>
  <w:style w:type="character" w:customStyle="1" w:styleId="citation-138">
    <w:name w:val="citation-138"/>
    <w:basedOn w:val="a0"/>
    <w:rsid w:val="009D0E8A"/>
  </w:style>
  <w:style w:type="paragraph" w:customStyle="1" w:styleId="ab">
    <w:name w:val="Нормальний текст"/>
    <w:rsid w:val="00AF4548"/>
    <w:pPr>
      <w:spacing w:before="120" w:after="0" w:line="240" w:lineRule="auto"/>
      <w:ind w:firstLine="567"/>
      <w:jc w:val="both"/>
    </w:pPr>
    <w:rPr>
      <w:rFonts w:ascii="Antiqua" w:eastAsia="Times New Roman" w:hAnsi="Antiqua" w:cs="Times New Roman"/>
      <w:sz w:val="26"/>
      <w:szCs w:val="20"/>
      <w:lang w:eastAsia="ru-RU"/>
    </w:rPr>
  </w:style>
  <w:style w:type="paragraph" w:customStyle="1" w:styleId="ac">
    <w:name w:val="Назва документа"/>
    <w:next w:val="ab"/>
    <w:rsid w:val="00AF4548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  <w:lang w:eastAsia="ru-RU"/>
    </w:rPr>
  </w:style>
  <w:style w:type="paragraph" w:customStyle="1" w:styleId="ShapkaDocumentu">
    <w:name w:val="Shapka Documentu"/>
    <w:rsid w:val="00AF4548"/>
    <w:pPr>
      <w:keepNext/>
      <w:keepLines/>
      <w:spacing w:after="240" w:line="240" w:lineRule="auto"/>
      <w:ind w:left="3969"/>
      <w:jc w:val="center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customStyle="1" w:styleId="10">
    <w:name w:val="Заголовок 1 Знак"/>
    <w:basedOn w:val="a0"/>
    <w:rsid w:val="002228CE"/>
    <w:rPr>
      <w:rFonts w:ascii="Times New Roman" w:eastAsia="Times New Roman" w:hAnsi="Times New Roman" w:cs="Times New Roman"/>
      <w:b/>
      <w:bCs/>
      <w:sz w:val="48"/>
      <w:szCs w:val="48"/>
      <w:lang w:val="uk" w:eastAsia="uk-UA"/>
    </w:rPr>
  </w:style>
  <w:style w:type="character" w:customStyle="1" w:styleId="20">
    <w:name w:val="Заголовок 2 Знак"/>
    <w:basedOn w:val="a0"/>
    <w:rsid w:val="002228CE"/>
    <w:rPr>
      <w:rFonts w:ascii="Times New Roman" w:eastAsia="Times New Roman" w:hAnsi="Times New Roman" w:cs="Times New Roman"/>
      <w:b/>
      <w:bCs/>
      <w:sz w:val="36"/>
      <w:szCs w:val="36"/>
      <w:lang w:val="uk" w:eastAsia="uk-UA"/>
    </w:rPr>
  </w:style>
  <w:style w:type="character" w:customStyle="1" w:styleId="30">
    <w:name w:val="Заголовок 3 Знак"/>
    <w:basedOn w:val="a0"/>
    <w:rsid w:val="002228CE"/>
    <w:rPr>
      <w:rFonts w:ascii="Times New Roman" w:eastAsia="Times New Roman" w:hAnsi="Times New Roman" w:cs="Times New Roman"/>
      <w:b/>
      <w:bCs/>
      <w:sz w:val="27"/>
      <w:szCs w:val="27"/>
      <w:lang w:val="uk" w:eastAsia="uk-UA"/>
    </w:rPr>
  </w:style>
  <w:style w:type="character" w:customStyle="1" w:styleId="40">
    <w:name w:val="Заголовок 4 Знак"/>
    <w:basedOn w:val="a0"/>
    <w:rsid w:val="002228CE"/>
    <w:rPr>
      <w:rFonts w:ascii="Calibri" w:eastAsia="Calibri" w:hAnsi="Calibri" w:cs="Calibri"/>
      <w:b/>
      <w:bCs/>
      <w:sz w:val="24"/>
      <w:szCs w:val="24"/>
      <w:lang w:val="uk" w:eastAsia="uk-UA"/>
    </w:rPr>
  </w:style>
  <w:style w:type="character" w:customStyle="1" w:styleId="50">
    <w:name w:val="Заголовок 5 Знак"/>
    <w:basedOn w:val="a0"/>
    <w:rsid w:val="002228CE"/>
    <w:rPr>
      <w:rFonts w:ascii="Calibri" w:eastAsia="Calibri" w:hAnsi="Calibri" w:cs="Calibri"/>
      <w:b/>
      <w:bCs/>
      <w:lang w:val="uk" w:eastAsia="uk-UA"/>
    </w:rPr>
  </w:style>
  <w:style w:type="character" w:customStyle="1" w:styleId="60">
    <w:name w:val="Заголовок 6 Знак"/>
    <w:basedOn w:val="a0"/>
    <w:rsid w:val="002228CE"/>
    <w:rPr>
      <w:rFonts w:ascii="Calibri" w:eastAsia="Calibri" w:hAnsi="Calibri" w:cs="Calibri"/>
      <w:b/>
      <w:bCs/>
      <w:sz w:val="20"/>
      <w:szCs w:val="20"/>
      <w:lang w:val="uk" w:eastAsia="uk-UA"/>
    </w:rPr>
  </w:style>
  <w:style w:type="table" w:customStyle="1" w:styleId="TableNormal0">
    <w:name w:val="TableNormal"/>
    <w:rsid w:val="002228CE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d">
    <w:name w:val="Заголовок Знак"/>
    <w:basedOn w:val="a0"/>
    <w:rsid w:val="002228CE"/>
    <w:rPr>
      <w:rFonts w:ascii="Calibri" w:eastAsia="Calibri" w:hAnsi="Calibri" w:cs="Calibri"/>
      <w:b/>
      <w:bCs/>
      <w:sz w:val="72"/>
      <w:szCs w:val="72"/>
      <w:lang w:val="uk" w:eastAsia="uk-UA"/>
    </w:rPr>
  </w:style>
  <w:style w:type="character" w:styleId="ae">
    <w:name w:val="Strong"/>
    <w:basedOn w:val="a0"/>
    <w:uiPriority w:val="22"/>
    <w:qFormat/>
    <w:rsid w:val="002228CE"/>
    <w:rPr>
      <w:b/>
      <w:bCs/>
    </w:rPr>
  </w:style>
  <w:style w:type="table" w:styleId="af">
    <w:name w:val="Table Grid"/>
    <w:basedOn w:val="a1"/>
    <w:uiPriority w:val="39"/>
    <w:rsid w:val="00222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Подзаголовок Знак"/>
    <w:basedOn w:val="a0"/>
    <w:rsid w:val="002228CE"/>
    <w:rPr>
      <w:rFonts w:ascii="Georgia" w:eastAsia="Georgia" w:hAnsi="Georgia" w:cs="Georgia"/>
      <w:i/>
      <w:iCs/>
      <w:color w:val="666666"/>
      <w:sz w:val="48"/>
      <w:szCs w:val="48"/>
      <w:lang w:val="uk" w:eastAsia="uk-UA"/>
    </w:rPr>
  </w:style>
  <w:style w:type="paragraph" w:styleId="af1">
    <w:name w:val="Balloon Text"/>
    <w:link w:val="af2"/>
    <w:uiPriority w:val="99"/>
    <w:semiHidden/>
    <w:unhideWhenUsed/>
    <w:rsid w:val="00222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2228CE"/>
    <w:rPr>
      <w:rFonts w:ascii="Segoe UI" w:eastAsia="Calibri" w:hAnsi="Segoe UI" w:cs="Segoe UI"/>
      <w:sz w:val="18"/>
      <w:szCs w:val="18"/>
      <w:lang w:val="uk" w:eastAsia="uk-UA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cGcB6u/mUMGTgHPqvyL2sDCKHw==">CgMxLjAyDWguNGVxajJvZHR2OHkyDWgueGJqdHd1YTl4MHYyDmguZHhjdGZ1aDhwdGVlMg5oLmd5Y3Axa245dXNldzgAciExcEJOUFFJSEpnQmJ0aTFoMzFmNW84a1I5S0NEMTVvd1A=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6314</Words>
  <Characters>3600</Characters>
  <Application>Microsoft Office Word</Application>
  <DocSecurity>0</DocSecurity>
  <Lines>30</Lines>
  <Paragraphs>19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Dvigun O.V.</dc:creator>
  <cp:lastModifiedBy>Dvigun O.V.</cp:lastModifiedBy>
  <cp:revision>2</cp:revision>
  <dcterms:created xsi:type="dcterms:W3CDTF">2026-04-10T12:49:00Z</dcterms:created>
  <dcterms:modified xsi:type="dcterms:W3CDTF">2026-04-10T12:49:00Z</dcterms:modified>
</cp:coreProperties>
</file>