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1D8" w14:textId="77777777" w:rsidR="007B6D36" w:rsidRDefault="007B6D36">
      <w:pPr>
        <w:spacing w:after="0" w:line="240" w:lineRule="auto"/>
        <w:jc w:val="both"/>
        <w:rPr>
          <w:rFonts w:ascii="Times New Roman" w:eastAsia="Times New Roman" w:hAnsi="Times New Roman" w:cs="Times New Roman"/>
          <w:color w:val="1F1F1F"/>
          <w:sz w:val="27"/>
          <w:szCs w:val="27"/>
          <w:highlight w:val="yellow"/>
        </w:rPr>
      </w:pPr>
    </w:p>
    <w:p w14:paraId="000002B2" w14:textId="77777777" w:rsidR="007B6D36" w:rsidRDefault="00525DDA">
      <w:pPr>
        <w:spacing w:after="0" w:line="240" w:lineRule="auto"/>
        <w:ind w:left="5954"/>
        <w:jc w:val="both"/>
        <w:rPr>
          <w:rFonts w:ascii="Times New Roman" w:eastAsia="Times New Roman" w:hAnsi="Times New Roman" w:cs="Times New Roman"/>
          <w:color w:val="1F1F1F"/>
          <w:sz w:val="27"/>
          <w:szCs w:val="27"/>
        </w:rPr>
      </w:pPr>
      <w:r>
        <w:rPr>
          <w:rFonts w:ascii="Times New Roman" w:eastAsia="Times New Roman" w:hAnsi="Times New Roman" w:cs="Times New Roman"/>
          <w:color w:val="1F1F1F"/>
          <w:sz w:val="27"/>
          <w:szCs w:val="27"/>
        </w:rPr>
        <w:t xml:space="preserve">Додаток 1 </w:t>
      </w:r>
    </w:p>
    <w:p w14:paraId="000002B3" w14:textId="5E06BA73" w:rsidR="007B6D36" w:rsidRDefault="00525DDA">
      <w:pPr>
        <w:spacing w:after="0" w:line="240" w:lineRule="auto"/>
        <w:ind w:left="5954"/>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4"/>
          <w:szCs w:val="24"/>
        </w:rPr>
        <w:t xml:space="preserve">до </w:t>
      </w:r>
      <w:r>
        <w:rPr>
          <w:rFonts w:ascii="Times New Roman" w:eastAsia="Times New Roman" w:hAnsi="Times New Roman" w:cs="Times New Roman"/>
          <w:color w:val="1F1F1F"/>
          <w:sz w:val="27"/>
          <w:szCs w:val="27"/>
        </w:rPr>
        <w:t xml:space="preserve">Методичних </w:t>
      </w:r>
      <w:r>
        <w:rPr>
          <w:rFonts w:ascii="Times New Roman" w:eastAsia="Times New Roman" w:hAnsi="Times New Roman" w:cs="Times New Roman"/>
          <w:color w:val="1F1F1F"/>
          <w:sz w:val="28"/>
          <w:szCs w:val="28"/>
        </w:rPr>
        <w:t>рекомендацій</w:t>
      </w:r>
      <w:r>
        <w:rPr>
          <w:rFonts w:ascii="Times New Roman" w:eastAsia="Times New Roman" w:hAnsi="Times New Roman" w:cs="Times New Roman"/>
          <w:color w:val="1F1F1F"/>
          <w:sz w:val="28"/>
          <w:szCs w:val="28"/>
        </w:rPr>
        <w:br/>
        <w:t xml:space="preserve">щодо особливостей обрання керівника державної наукової установи, затверджених постановою Кабінету Міністрів України </w:t>
      </w:r>
    </w:p>
    <w:p w14:paraId="000002B4" w14:textId="77777777" w:rsidR="007B6D36" w:rsidRDefault="007B6D36">
      <w:pPr>
        <w:spacing w:after="0" w:line="240" w:lineRule="auto"/>
        <w:ind w:left="5954"/>
        <w:jc w:val="both"/>
        <w:rPr>
          <w:rFonts w:ascii="Times New Roman" w:eastAsia="Times New Roman" w:hAnsi="Times New Roman" w:cs="Times New Roman"/>
          <w:color w:val="1F1F1F"/>
          <w:sz w:val="27"/>
          <w:szCs w:val="27"/>
          <w:highlight w:val="yellow"/>
        </w:rPr>
      </w:pPr>
    </w:p>
    <w:p w14:paraId="000002B5" w14:textId="77777777" w:rsidR="007B6D36" w:rsidRDefault="007B6D3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14:paraId="000002B6"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РЕКОМЕНДАЦІЇ </w:t>
      </w:r>
    </w:p>
    <w:p w14:paraId="000002B7"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формування ключових показників ефективності діяльності керівника державної наукової установи та оцінювання їх виконання</w:t>
      </w:r>
    </w:p>
    <w:p w14:paraId="000002B8" w14:textId="77777777" w:rsidR="007B6D36" w:rsidRDefault="007B6D36">
      <w:pPr>
        <w:spacing w:after="0" w:line="240" w:lineRule="auto"/>
        <w:jc w:val="center"/>
        <w:rPr>
          <w:rFonts w:ascii="Times New Roman" w:eastAsia="Times New Roman" w:hAnsi="Times New Roman" w:cs="Times New Roman"/>
          <w:b/>
          <w:bCs/>
          <w:sz w:val="28"/>
          <w:szCs w:val="28"/>
        </w:rPr>
      </w:pPr>
    </w:p>
    <w:p w14:paraId="000002B9"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 положення</w:t>
      </w:r>
    </w:p>
    <w:p w14:paraId="000002BA"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2BB" w14:textId="77777777" w:rsidR="007B6D36" w:rsidRDefault="00525DDA">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Ці Рекомендації визначають єдині підходи до формування ключових показників ефективності діяльності керівників державних наукових установ (далі – КРІ), порядок їх встановлення, моніторингу та оцінювання.</w:t>
      </w:r>
    </w:p>
    <w:p w14:paraId="000002BC" w14:textId="77777777" w:rsidR="007B6D36" w:rsidRDefault="00525DDA">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Метою впровадження КРІ є підвищення ефективності управління державними науковими установами, об’єктивізація прийняття рішень щодо стимулювання керівників та забезпечення зв’язку між стратегічними цілями державної наукової установи та результатами діяльності її керівника.</w:t>
      </w:r>
    </w:p>
    <w:p w14:paraId="000002BD" w14:textId="77777777" w:rsidR="007B6D36" w:rsidRDefault="00525DDA">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КРІ формуються з урахуванням державної політики у сфері науки та інновацій, а також із урахуванням європейських підходів до оцінювання наукової діяльності, зокрема принципів Європейського дослідницького простору, рекомендацій Організації економічного співробітництва та розвитку (далі – ОЕСР) щодо управління науковими організаціями та підходів до відповідального оцінювання досліджень.</w:t>
      </w:r>
    </w:p>
    <w:p w14:paraId="000002BE"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КРІ встановлюються власником (власниками) державної наукової установи або уповноваженим ним (ними) органом, або засновником (далі – орган управління) індивідуально для кожної державної наукової установи з урахуванням її профілю, масштабу діяльності та обсягів фінансування. Для врахування галузевої специфіки діяльності установи орган управління може додатково використовувати показники, наведені у додатку 2 до цих Рекомендацій.</w:t>
      </w:r>
    </w:p>
    <w:p w14:paraId="000002BF"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прийняття органом управління рішення щодо встановлення КРІ керівникам державних наукових установ, що належать до сфери його управління (перебувають у його віданні), такі КРІ встановлюються керівникам усіх відповідних державних наукових установ. Встановлення КРІ вибірково лише для окремих керівників державних наукових установ не допускається.</w:t>
      </w:r>
    </w:p>
    <w:p w14:paraId="000002C0"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разі якщо державна наукова установа перебуває у подвійному підпорядкуванні, КРІ керівника такої установи встановлюються за погодженим рішенням органів управління та оформлюються як спільний додаток до контракту з керівником.</w:t>
      </w:r>
    </w:p>
    <w:p w14:paraId="000002C1"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КРІ також належать трансформаційні KPI (показники трансформації), що застосовуються у випадках реорганізації державної наукової установи або виконання стратегічних завдань з її розвитку чи реструктуризації. Особливості їх встановлення та оцінювання визначені у розділі «Особливості встановлення та оцінювання КРІ для державних наукових установ у стані реорганізації» цих Рекомендацій.</w:t>
      </w:r>
    </w:p>
    <w:p w14:paraId="000002C2"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2C3"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Принципи формування КРІ</w:t>
      </w:r>
    </w:p>
    <w:p w14:paraId="000002C4"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2C5"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Формування КРІ керівника державної наукової установи повинно відповідати таким принципам:</w:t>
      </w:r>
    </w:p>
    <w:p w14:paraId="000002C6"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стратегічна відповідність – узгодженість із планом розвитку установи;</w:t>
      </w:r>
    </w:p>
    <w:p w14:paraId="000002C7"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roofErr w:type="spellStart"/>
      <w:r>
        <w:rPr>
          <w:rFonts w:ascii="Times New Roman" w:eastAsia="Times New Roman" w:hAnsi="Times New Roman" w:cs="Times New Roman"/>
          <w:sz w:val="28"/>
          <w:szCs w:val="28"/>
        </w:rPr>
        <w:t>вимірюваність</w:t>
      </w:r>
      <w:proofErr w:type="spellEnd"/>
      <w:r>
        <w:rPr>
          <w:rFonts w:ascii="Times New Roman" w:eastAsia="Times New Roman" w:hAnsi="Times New Roman" w:cs="Times New Roman"/>
          <w:sz w:val="28"/>
          <w:szCs w:val="28"/>
        </w:rPr>
        <w:t xml:space="preserve"> – наявність чітких кількісних або якісних критеріїв;</w:t>
      </w:r>
    </w:p>
    <w:p w14:paraId="000002C8"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досяжність – реалістичність з огляду на наявні ресурси державної наукової установи;</w:t>
      </w:r>
    </w:p>
    <w:p w14:paraId="000002C9"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w:t>
      </w:r>
      <w:proofErr w:type="spellStart"/>
      <w:r>
        <w:rPr>
          <w:rFonts w:ascii="Times New Roman" w:eastAsia="Times New Roman" w:hAnsi="Times New Roman" w:cs="Times New Roman"/>
          <w:sz w:val="28"/>
          <w:szCs w:val="28"/>
        </w:rPr>
        <w:t>порівнюваність</w:t>
      </w:r>
      <w:proofErr w:type="spellEnd"/>
      <w:r>
        <w:rPr>
          <w:rFonts w:ascii="Times New Roman" w:eastAsia="Times New Roman" w:hAnsi="Times New Roman" w:cs="Times New Roman"/>
          <w:sz w:val="28"/>
          <w:szCs w:val="28"/>
        </w:rPr>
        <w:t xml:space="preserve"> – можливість відстеження динаміки у часі;</w:t>
      </w:r>
    </w:p>
    <w:p w14:paraId="000002CA"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збалансованість – охоплення наукових, кадрових, фінансових та управлінських аспектів;</w:t>
      </w:r>
    </w:p>
    <w:p w14:paraId="000002CB"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прозорість – зрозуміла методика розрахунку;</w:t>
      </w:r>
    </w:p>
    <w:p w14:paraId="000002CC"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відповідальність – прямий зв’язок результатів оцінювання з ухваленими управлінськими рішеннями;</w:t>
      </w:r>
    </w:p>
    <w:p w14:paraId="000002CD"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суспільний вплив результатів діяльності наукової установи – врахування впливу результатів наукових досліджень на розвиток суспільства, економіки, державної політики, системи освіти, людського капіталу та громадянського суспільства (за наявності відповідних результатів).</w:t>
      </w:r>
    </w:p>
    <w:p w14:paraId="000002CE" w14:textId="77777777" w:rsidR="007B6D36" w:rsidRDefault="00525DDA">
      <w:pPr>
        <w:spacing w:before="120" w:after="12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Під час формування та застосування КРІ повинні враховуватися принципи відповідального оцінювання досліджень, що передбачають використання збалансованого поєднання кількісних та якісних показників, недопущення надмірної залежності від окремих наукометричних індикаторів, врахування різноманітності наукових результатів, а також оцінювання впливу досліджень на науку, економіку та суспільство.</w:t>
      </w:r>
    </w:p>
    <w:p w14:paraId="000002CF" w14:textId="77777777" w:rsidR="007B6D36" w:rsidRDefault="00525DDA">
      <w:pPr>
        <w:spacing w:before="120" w:after="12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При застосуванні наукометричних показників орган управління повинен враховувати міжнародні рекомендації щодо реформування системи оцінювання наукових досліджень, зокрема положення Декларації про оцінювання досліджень (DORA) та принципи Коаліції за реформування оцінювання досліджень (</w:t>
      </w:r>
      <w:proofErr w:type="spellStart"/>
      <w:r>
        <w:rPr>
          <w:rFonts w:ascii="Times New Roman" w:eastAsia="Times New Roman" w:hAnsi="Times New Roman" w:cs="Times New Roman"/>
          <w:sz w:val="28"/>
          <w:szCs w:val="28"/>
        </w:rPr>
        <w:t>CoARA</w:t>
      </w:r>
      <w:proofErr w:type="spellEnd"/>
      <w:r>
        <w:rPr>
          <w:rFonts w:ascii="Times New Roman" w:eastAsia="Times New Roman" w:hAnsi="Times New Roman" w:cs="Times New Roman"/>
          <w:sz w:val="28"/>
          <w:szCs w:val="28"/>
        </w:rPr>
        <w:t>), відповідно до яких оцінювання не повинно ґрунтуватися виключно на кількісних показниках публікаційної активності або показниках імпакт-фактору наукових журналів.</w:t>
      </w:r>
    </w:p>
    <w:p w14:paraId="000002D0" w14:textId="77777777" w:rsidR="007B6D36" w:rsidRDefault="00525DDA">
      <w:pPr>
        <w:spacing w:before="120" w:after="12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Під час встановлення та застосування КРІ орган управління повинен уникати формування системи стимулів, яка може призвести до викривлення наукової діяльності, зокрема надмірної орієнтації на кількість публікацій, короткострокові результати або інші показники, що можуть негативно впливати на якість наукових досліджень.</w:t>
      </w:r>
    </w:p>
    <w:p w14:paraId="000002D1" w14:textId="77777777" w:rsidR="007B6D36" w:rsidRDefault="007B6D36">
      <w:pPr>
        <w:spacing w:after="0" w:line="240" w:lineRule="auto"/>
        <w:ind w:firstLine="700"/>
        <w:jc w:val="both"/>
        <w:rPr>
          <w:rFonts w:ascii="Times New Roman" w:eastAsia="Times New Roman" w:hAnsi="Times New Roman" w:cs="Times New Roman"/>
          <w:sz w:val="28"/>
          <w:szCs w:val="28"/>
        </w:rPr>
      </w:pPr>
    </w:p>
    <w:p w14:paraId="000002D2"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КРІ</w:t>
      </w:r>
    </w:p>
    <w:p w14:paraId="000002D3" w14:textId="77777777" w:rsidR="007B6D36" w:rsidRDefault="007B6D36">
      <w:pPr>
        <w:spacing w:after="0" w:line="240" w:lineRule="auto"/>
        <w:rPr>
          <w:rFonts w:ascii="Times New Roman" w:eastAsia="Times New Roman" w:hAnsi="Times New Roman" w:cs="Times New Roman"/>
          <w:sz w:val="28"/>
          <w:szCs w:val="28"/>
        </w:rPr>
      </w:pPr>
    </w:p>
    <w:p w14:paraId="000002D4"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КРІ формуються за такими групами:</w:t>
      </w:r>
    </w:p>
    <w:p w14:paraId="000002D5" w14:textId="77777777" w:rsidR="007B6D36" w:rsidRDefault="00525DDA">
      <w:pPr>
        <w:pBdr>
          <w:top w:val="nil"/>
          <w:left w:val="nil"/>
          <w:bottom w:val="nil"/>
          <w:right w:val="nil"/>
          <w:between w:val="nil"/>
        </w:pBd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кадровий потенціал та підготовка дослідників: забезпечення розвитку, збереження та ефективного використання кадрового потенціалу;</w:t>
      </w:r>
    </w:p>
    <w:p w14:paraId="000002D6" w14:textId="77777777" w:rsidR="007B6D36" w:rsidRDefault="00525DDA">
      <w:pPr>
        <w:pBdr>
          <w:top w:val="nil"/>
          <w:left w:val="nil"/>
          <w:bottom w:val="nil"/>
          <w:right w:val="nil"/>
          <w:between w:val="nil"/>
        </w:pBd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результативність наукової діяльності: організаційне забезпечення та створення умов для здійснення наукової діяльності;</w:t>
      </w:r>
    </w:p>
    <w:p w14:paraId="000002D7" w14:textId="77777777" w:rsidR="007B6D36" w:rsidRDefault="00525DDA">
      <w:pPr>
        <w:pBdr>
          <w:top w:val="nil"/>
          <w:left w:val="nil"/>
          <w:bottom w:val="nil"/>
          <w:right w:val="nil"/>
          <w:between w:val="nil"/>
        </w:pBd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інтелектуальна власність та інновації: забезпечення ефективного управління правами інтелектуальної власності та їх використання;</w:t>
      </w:r>
    </w:p>
    <w:p w14:paraId="000002D8" w14:textId="77777777" w:rsidR="007B6D36" w:rsidRDefault="00525DDA">
      <w:pPr>
        <w:pBdr>
          <w:top w:val="nil"/>
          <w:left w:val="nil"/>
          <w:bottom w:val="nil"/>
          <w:right w:val="nil"/>
          <w:between w:val="nil"/>
        </w:pBd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конкурсне та грантове фінансування: забезпечення залучення грантових та позабюджетних ресурсів;</w:t>
      </w:r>
    </w:p>
    <w:p w14:paraId="000002D9" w14:textId="77777777" w:rsidR="007B6D36" w:rsidRDefault="00525DDA">
      <w:pPr>
        <w:pBdr>
          <w:top w:val="nil"/>
          <w:left w:val="nil"/>
          <w:bottom w:val="nil"/>
          <w:right w:val="nil"/>
          <w:between w:val="nil"/>
        </w:pBd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експертна діяльність: організаційне сприяння розвитку експертної діяльності та наукових сервісів;</w:t>
      </w:r>
    </w:p>
    <w:p w14:paraId="000002DA" w14:textId="77777777" w:rsidR="007B6D36" w:rsidRDefault="00525DDA">
      <w:pPr>
        <w:pBdr>
          <w:top w:val="nil"/>
          <w:left w:val="nil"/>
          <w:bottom w:val="nil"/>
          <w:right w:val="nil"/>
          <w:between w:val="nil"/>
        </w:pBd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фінансова стійкість: ефективне управління фінансовими ресурсами та забезпечення фінансової спроможності установи;</w:t>
      </w:r>
    </w:p>
    <w:p w14:paraId="000002DB" w14:textId="77777777" w:rsidR="007B6D36" w:rsidRDefault="00525DDA">
      <w:pPr>
        <w:pBdr>
          <w:top w:val="nil"/>
          <w:left w:val="nil"/>
          <w:bottom w:val="nil"/>
          <w:right w:val="nil"/>
          <w:between w:val="nil"/>
        </w:pBd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управлінська ефективність і стратегічний розвиток: реалізація стратегії розвитку установи та результативність управлінської діяльності.</w:t>
      </w:r>
    </w:p>
    <w:p w14:paraId="000002DC" w14:textId="77777777" w:rsidR="007B6D36" w:rsidRDefault="00525DDA">
      <w:pPr>
        <w:spacing w:before="120" w:after="12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До структури КРІ можуть включатися показники суспільного, економічного або технологічного впливу результатів наукової діяльності, зокрема використання результатів досліджень у державній політиці, економіці, освіті, системі охорони здоров’я або інших сферах суспільного розвитку.</w:t>
      </w:r>
    </w:p>
    <w:p w14:paraId="000002DD" w14:textId="77777777" w:rsidR="007B6D36" w:rsidRDefault="00525DDA">
      <w:pPr>
        <w:spacing w:before="120" w:after="12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До переліку КРІ можуть включатися індикатори інституційного розвитку державної наукової установи, зокрема розвиток дослідницької інфраструктури, міжнародна мобільність дослідників, участь у міжнародних дослідницьких консорціумах та інтеграція установи до міжнародних наукових мереж.</w:t>
      </w:r>
    </w:p>
    <w:p w14:paraId="000002DE" w14:textId="77777777" w:rsidR="007B6D36" w:rsidRDefault="00525DDA">
      <w:pPr>
        <w:spacing w:before="120" w:after="12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Під час формування КРІ рекомендується враховувати показники розвитку відкритої науки, зокрема відкритий доступ до наукових публікацій, використання відкритих наукових даних, функціонування інституційних </w:t>
      </w:r>
      <w:proofErr w:type="spellStart"/>
      <w:r>
        <w:rPr>
          <w:rFonts w:ascii="Times New Roman" w:eastAsia="Times New Roman" w:hAnsi="Times New Roman" w:cs="Times New Roman"/>
          <w:sz w:val="28"/>
          <w:szCs w:val="28"/>
        </w:rPr>
        <w:t>репозитаріїв</w:t>
      </w:r>
      <w:proofErr w:type="spellEnd"/>
      <w:r>
        <w:rPr>
          <w:rFonts w:ascii="Times New Roman" w:eastAsia="Times New Roman" w:hAnsi="Times New Roman" w:cs="Times New Roman"/>
          <w:sz w:val="28"/>
          <w:szCs w:val="28"/>
        </w:rPr>
        <w:t>, а також участь установи у міжнародних ініціативах відкритої науки.</w:t>
      </w:r>
    </w:p>
    <w:p w14:paraId="000002DF" w14:textId="77777777" w:rsidR="007B6D36" w:rsidRDefault="00525DDA">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Формування окремих показників може здійснюватися з урахуванням міжнародної </w:t>
      </w:r>
      <w:proofErr w:type="spellStart"/>
      <w:r>
        <w:rPr>
          <w:rFonts w:ascii="Times New Roman" w:eastAsia="Times New Roman" w:hAnsi="Times New Roman" w:cs="Times New Roman"/>
          <w:sz w:val="28"/>
          <w:szCs w:val="28"/>
        </w:rPr>
        <w:t>порівнюваності</w:t>
      </w:r>
      <w:proofErr w:type="spellEnd"/>
      <w:r>
        <w:rPr>
          <w:rFonts w:ascii="Times New Roman" w:eastAsia="Times New Roman" w:hAnsi="Times New Roman" w:cs="Times New Roman"/>
          <w:sz w:val="28"/>
          <w:szCs w:val="28"/>
        </w:rPr>
        <w:t xml:space="preserve"> результатів діяльності державної наукової установи із відповідними науковими організаціями у Європейському дослідницькому просторі.</w:t>
      </w:r>
    </w:p>
    <w:p w14:paraId="000002E0" w14:textId="77777777" w:rsidR="007B6D36" w:rsidRDefault="00525DDA">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формуванні ключових показників ефективності враховується галузева специфіка наукової діяльності, зокрема з урахуванням міжнародних підходів до класифікації наукових галузей, у тому числі класифікації галузей науки і технологій ОЕСР (OECD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of Science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Technology</w:t>
      </w:r>
      <w:proofErr w:type="spellEnd"/>
      <w:r>
        <w:rPr>
          <w:rFonts w:ascii="Times New Roman" w:eastAsia="Times New Roman" w:hAnsi="Times New Roman" w:cs="Times New Roman"/>
          <w:sz w:val="28"/>
          <w:szCs w:val="28"/>
        </w:rPr>
        <w:t>, FOS).</w:t>
      </w:r>
    </w:p>
    <w:p w14:paraId="000002E1" w14:textId="77777777" w:rsidR="007B6D36" w:rsidRDefault="00525DDA">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 управління може залучати експертів відповідних наукових галузей до визначення та уточнення показників ефективності.</w:t>
      </w:r>
    </w:p>
    <w:p w14:paraId="000002E2" w14:textId="77777777" w:rsidR="007B6D36" w:rsidRDefault="00525DDA">
      <w:pPr>
        <w:spacing w:after="12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Наведена у цих Рекомендаціях структура груп ключових показників ефективності не є класифікацією наукових галузей і використовується виключно для цілей оцінювання управлінської діяльності керівника державної наукової установи.</w:t>
      </w:r>
    </w:p>
    <w:p w14:paraId="000002E3"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Перелік рекомендованих та додаткових показників, які можуть бути використані для встановлення КРІ діяльності керівника державної наукової установи наведено у додатку 1 до цих Рекомендацій.</w:t>
      </w:r>
    </w:p>
    <w:p w14:paraId="000002E4" w14:textId="77777777" w:rsidR="007B6D36" w:rsidRDefault="00525DDA">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Кількість показників, що встановлюються керівнику державної наукової установи на календарний рік, як правило, становить від 7 до 15 показників. Орган управління визначає конкретний перелік показників індивідуально для кожної установи, враховуючи її стратегічні цілі та поточний стан діяльності.</w:t>
      </w:r>
    </w:p>
    <w:p w14:paraId="000002E5" w14:textId="77777777" w:rsidR="007B6D36" w:rsidRDefault="00525DDA">
      <w:pPr>
        <w:pBdr>
          <w:top w:val="nil"/>
          <w:left w:val="nil"/>
          <w:bottom w:val="nil"/>
          <w:right w:val="nil"/>
          <w:between w:val="nil"/>
        </w:pBdr>
        <w:spacing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встановлення КРІ орган управління забезпечує збалансованість оцінювання діяльності керівника державної наукової установи, зокрема шляхом відбору показників із різних груп, визначених пунктом 9 цих Рекомендацій. Рекомендовано до переліку КРІ включати щонайменше один показник з кожної групи рекомендованих показників з урахуванням профілю діяльності державної наукової установи.</w:t>
      </w:r>
    </w:p>
    <w:p w14:paraId="000002E6" w14:textId="77777777" w:rsidR="007B6D36" w:rsidRDefault="00525DDA">
      <w:pPr>
        <w:spacing w:before="120" w:after="12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Формування КРІ повинно забезпечувати баланс між короткостроковими результатами діяльності установи та довгостроковими цілями розвитку наукового потенціалу, що відповідає підходам ОЕСР до управління науковими організаціями.</w:t>
      </w:r>
    </w:p>
    <w:p w14:paraId="000002E7"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При формуванні КРІ орган управління може:</w:t>
      </w:r>
    </w:p>
    <w:p w14:paraId="000002E8"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не застосовувати окремі рекомендовані показники, наведені у додатку 1 до цих Рекомендацій, якщо вони не відповідають профілю діяльності державної наукової установи або об’єктивно не можуть бути виміряні;</w:t>
      </w:r>
    </w:p>
    <w:p w14:paraId="000002E9"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застосовувати додаткові показники за галузевою специфікою, наведені у додатку 2 до цих Рекомендацій (зокрема для державних наукових установ гуманітарно-мистецького, медичного, педагогічного напряму та інших). Такі показники включаються до групи «Результативність наукової діяльності»;</w:t>
      </w:r>
    </w:p>
    <w:p w14:paraId="000002EA"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для державних наукових установ, що здійснюють прикладні дослідження у сфері національної безпеки, оборони або медицини (реабілітації), надавати пріоритет показникам прямого впровадження.</w:t>
      </w:r>
    </w:p>
    <w:p w14:paraId="000002EB"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2EC"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встановлення та перегляд КРІ</w:t>
      </w:r>
    </w:p>
    <w:p w14:paraId="000002ED"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2EE" w14:textId="77777777" w:rsidR="007B6D36" w:rsidRDefault="00525DDA">
      <w:pPr>
        <w:pBdr>
          <w:top w:val="nil"/>
          <w:left w:val="nil"/>
          <w:bottom w:val="nil"/>
          <w:right w:val="nil"/>
          <w:between w:val="nil"/>
        </w:pBdr>
        <w:spacing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КРІ встановлюються щороку, за рішенням органу управління, затверджуються уповноваженою</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sz w:val="28"/>
          <w:szCs w:val="28"/>
        </w:rPr>
        <w:t>посадовою особою, та оформлюються як додаток до контракту керівника державної наукової установи.</w:t>
      </w:r>
    </w:p>
    <w:p w14:paraId="000002EF"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Якщо керівника призначено менш ніж за шість місяців до завершення календарного року, КРІ встановлюються до кінця поточного та на наступний календарний рік.</w:t>
      </w:r>
    </w:p>
    <w:p w14:paraId="000002F0"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Для кожного показника орган управління визначає:</w:t>
      </w:r>
    </w:p>
    <w:p w14:paraId="000002F1" w14:textId="77777777" w:rsidR="007B6D36" w:rsidRDefault="00525DDA">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питому вагу (значущість) кожного показника.</w:t>
      </w:r>
      <w:r>
        <w:t xml:space="preserve"> </w:t>
      </w:r>
      <w:r>
        <w:rPr>
          <w:rFonts w:ascii="Times New Roman" w:eastAsia="Times New Roman" w:hAnsi="Times New Roman" w:cs="Times New Roman"/>
          <w:sz w:val="28"/>
          <w:szCs w:val="28"/>
        </w:rPr>
        <w:t>Сукупна питома вага показників за напрямами «Результативність наукової діяльності» та «Фінансова стійкість» має становити не менше 40 відсотків загальної ваги всіх КРІ, водночас, вага усіх показників повинна дорівнювати 100 відсоткам;</w:t>
      </w:r>
    </w:p>
    <w:p w14:paraId="000002F2" w14:textId="77777777" w:rsidR="007B6D36" w:rsidRDefault="00525DDA">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цільове значення кожного показника. Цільові значення мають бути досяжними та встановлюватися з урахуванням фактичної динаміки відповідних показників державної наукової установи за попередні три роки;</w:t>
      </w:r>
    </w:p>
    <w:p w14:paraId="000002F3" w14:textId="77777777" w:rsidR="007B6D36" w:rsidRDefault="00525DDA">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джерела інформації для підтвердження виконання (наукова звітність, дані наукометричних баз, фінансова звітність та інше).</w:t>
      </w:r>
    </w:p>
    <w:p w14:paraId="000002F4" w14:textId="77777777" w:rsidR="007B6D36" w:rsidRDefault="00525DDA">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Цільові значення КРІ визначаються як орієнтир (100 відсотків), що відображає запланований рівень досягнення результату. Оцінювання виконання КРІ здійснюється з урахуванням допустимого відхилення від цільового значення та не передбачає необхідності абсолютного досягнення кожного показника.</w:t>
      </w:r>
    </w:p>
    <w:p w14:paraId="000002F5"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У рік проведення чергової державної атестації наукової діяльності державної наукової установи обов’язковим до встановлення є показник щодо забезпечення збереження або підвищення групи державної наукової установи, отриманої за результатами атестації. Цей показник включається до групи «Управлінська ефективність і стратегічний розвиток».</w:t>
      </w:r>
    </w:p>
    <w:p w14:paraId="000002F6"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Прийняття рішення щодо перегляду КРІ здійснюється на підставі звернення керівника державної наукової установи до органу управління з чітким обґрунтуванням підстав для такого перегляду.</w:t>
      </w:r>
    </w:p>
    <w:p w14:paraId="000002F7"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КРІ можуть бути переглянуті у разі:</w:t>
      </w:r>
    </w:p>
    <w:p w14:paraId="000002F8" w14:textId="77777777" w:rsidR="007B6D36" w:rsidRDefault="00525DD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зміни державних пріоритетів розвитку науки і техніки;</w:t>
      </w:r>
    </w:p>
    <w:p w14:paraId="000002F9" w14:textId="77777777" w:rsidR="007B6D36" w:rsidRDefault="00525DD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внесення змін до актів законодавства, пов’язаних з вирішенням науково-організаційних, господарських, кадрових питань функціонування державної наукової установи;</w:t>
      </w:r>
    </w:p>
    <w:p w14:paraId="000002FA" w14:textId="77777777" w:rsidR="007B6D36" w:rsidRDefault="00525DD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наукових </w:t>
      </w:r>
      <w:proofErr w:type="spellStart"/>
      <w:r>
        <w:rPr>
          <w:rFonts w:ascii="Times New Roman" w:eastAsia="Times New Roman" w:hAnsi="Times New Roman" w:cs="Times New Roman"/>
          <w:color w:val="000000"/>
          <w:sz w:val="28"/>
          <w:szCs w:val="28"/>
        </w:rPr>
        <w:t>відкриттів</w:t>
      </w:r>
      <w:proofErr w:type="spellEnd"/>
      <w:r>
        <w:rPr>
          <w:rFonts w:ascii="Times New Roman" w:eastAsia="Times New Roman" w:hAnsi="Times New Roman" w:cs="Times New Roman"/>
          <w:color w:val="000000"/>
          <w:sz w:val="28"/>
          <w:szCs w:val="28"/>
        </w:rPr>
        <w:t>, результатів, які обґрунтовано кардинально змінюють напрями та тематику роботи державної наукової установи;</w:t>
      </w:r>
    </w:p>
    <w:p w14:paraId="000002FB" w14:textId="77777777" w:rsidR="007B6D36" w:rsidRDefault="00525DD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зміни напряму та завдань діяльності відповідно до статуту (положення) чи іншого установчого документа державної наукової установи за рішенням органу</w:t>
      </w:r>
      <w:r>
        <w:rPr>
          <w:rFonts w:ascii="Times New Roman" w:eastAsia="Times New Roman" w:hAnsi="Times New Roman" w:cs="Times New Roman"/>
          <w:sz w:val="28"/>
          <w:szCs w:val="28"/>
        </w:rPr>
        <w:t xml:space="preserve"> управління</w:t>
      </w:r>
      <w:r>
        <w:rPr>
          <w:rFonts w:ascii="Times New Roman" w:eastAsia="Times New Roman" w:hAnsi="Times New Roman" w:cs="Times New Roman"/>
          <w:color w:val="000000"/>
          <w:sz w:val="28"/>
          <w:szCs w:val="28"/>
        </w:rPr>
        <w:t>;</w:t>
      </w:r>
    </w:p>
    <w:p w14:paraId="000002FC" w14:textId="77777777" w:rsidR="007B6D36" w:rsidRDefault="00525DD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істотної зміни фінансування;</w:t>
      </w:r>
    </w:p>
    <w:p w14:paraId="000002FD" w14:textId="77777777" w:rsidR="007B6D36" w:rsidRDefault="00525DD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реорганізації </w:t>
      </w:r>
      <w:r>
        <w:rPr>
          <w:rFonts w:ascii="Times New Roman" w:eastAsia="Times New Roman" w:hAnsi="Times New Roman" w:cs="Times New Roman"/>
          <w:sz w:val="28"/>
          <w:szCs w:val="28"/>
        </w:rPr>
        <w:t>державної наукової</w:t>
      </w:r>
      <w:r>
        <w:rPr>
          <w:rFonts w:ascii="Times New Roman" w:eastAsia="Times New Roman" w:hAnsi="Times New Roman" w:cs="Times New Roman"/>
          <w:color w:val="000000"/>
          <w:sz w:val="28"/>
          <w:szCs w:val="28"/>
        </w:rPr>
        <w:t xml:space="preserve"> установи;</w:t>
      </w:r>
    </w:p>
    <w:p w14:paraId="000002FE" w14:textId="77777777" w:rsidR="007B6D36" w:rsidRDefault="00525DD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настання форс-мажорних обставин – надзвичайних, непередбачених та непереборних подій (стихійних лих та техногенних катастроф, епідемій, кібератак, військових дій тощо), які об’єктивно ускладнюють або унеможливлюють досягнення цілей і виконання завдань, визначених у КРІ.</w:t>
      </w:r>
    </w:p>
    <w:p w14:paraId="000002FF" w14:textId="77777777" w:rsidR="007B6D36" w:rsidRDefault="00525DDA">
      <w:pPr>
        <w:pBdr>
          <w:top w:val="nil"/>
          <w:left w:val="nil"/>
          <w:bottom w:val="nil"/>
          <w:right w:val="nil"/>
          <w:between w:val="nil"/>
        </w:pBdr>
        <w:tabs>
          <w:tab w:val="left" w:pos="1134"/>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наявності підстав, визначених цим пунктом, орган управління зобов’язаний розглянути питання щодо доцільності перегляду КРІ та прийняти відповідне мотивоване рішення.</w:t>
      </w:r>
    </w:p>
    <w:p w14:paraId="00000300" w14:textId="77777777" w:rsidR="007B6D36" w:rsidRDefault="00525DDA">
      <w:pPr>
        <w:pBdr>
          <w:top w:val="nil"/>
          <w:left w:val="nil"/>
          <w:bottom w:val="nil"/>
          <w:right w:val="nil"/>
          <w:between w:val="nil"/>
        </w:pBdr>
        <w:tabs>
          <w:tab w:val="left" w:pos="1134"/>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таких підстав не звільняє керівника державної наукової установи від обов’язку вживати заходів щодо забезпечення виконання КРІ, зокрема шляхом залучення додаткових джерел фінансування та підвищення ефективності використання ресурсів.</w:t>
      </w:r>
    </w:p>
    <w:p w14:paraId="00000301" w14:textId="77777777" w:rsidR="007B6D36" w:rsidRDefault="00525DDA">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Переглянуті КРІ затверджуються рішенням органу управління та оформлюються шляхом внесення змін до додатку до контракту керівника державної наукової установи.</w:t>
      </w:r>
    </w:p>
    <w:p w14:paraId="00000302" w14:textId="77777777" w:rsidR="007B6D36" w:rsidRDefault="00525DDA">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Методологія формування та оцінювання КРІ підлягає періодичному перегляду органом управління з урахуванням змін у державній науковій політиці, міжнародних підходів до оцінювання досліджень та рекомендацій міжнародних організацій, зокрема ОЕСР та Європейської Комісії.</w:t>
      </w:r>
    </w:p>
    <w:p w14:paraId="00000303" w14:textId="77777777" w:rsidR="007B6D36" w:rsidRDefault="00525DDA">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У випадку якщо державна наукова установа перебуває у подвійному підпорядкуванні органи управління, до сфери управління яких вона належить (у віданні яких перебуває), за взаємною згодою формують і затверджують єдиний перелік КРІ.</w:t>
      </w:r>
    </w:p>
    <w:p w14:paraId="00000304"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структурі КРІ можуть бути передбачені окремі показники або групи показників, що відображають специфіку завдань та функцій кожного з органів управління. Ваговий коефіцієнт кожного показника визначається за погодженням між органами управління, при цьому сумарна вага всіх встановлених показників повинна дорівнювати 100 відсоткам (коефіцієнт 1,0).</w:t>
      </w:r>
    </w:p>
    <w:p w14:paraId="00000305"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Зміни до переліку КРІ, їх цільових значень або ваги протягом звітного періоду вносяться виключно за спільним рішенням органів управління.</w:t>
      </w:r>
    </w:p>
    <w:p w14:paraId="00000306"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07"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виконання КРІ та використання результатів</w:t>
      </w:r>
    </w:p>
    <w:p w14:paraId="00000308" w14:textId="77777777" w:rsidR="007B6D36" w:rsidRDefault="007B6D36">
      <w:pPr>
        <w:spacing w:after="0" w:line="240" w:lineRule="auto"/>
        <w:jc w:val="both"/>
        <w:rPr>
          <w:rFonts w:ascii="Times New Roman" w:eastAsia="Times New Roman" w:hAnsi="Times New Roman" w:cs="Times New Roman"/>
          <w:sz w:val="28"/>
          <w:szCs w:val="28"/>
        </w:rPr>
      </w:pPr>
    </w:p>
    <w:p w14:paraId="00000309"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Оцінювання виконання КРІ керівника державної наукової установи проводиться щорічно органом управління.</w:t>
      </w:r>
    </w:p>
    <w:p w14:paraId="0000030A"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У разі встановлення ключових показників ефективності діяльності керівника державної наукової установи протягом звітного року їх оцінювання здійснюється за підсумками такого звітного року.</w:t>
      </w:r>
    </w:p>
    <w:p w14:paraId="0000030B"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період виконання керівником своїх повноважень у звітному році становить менше шести місяців, результати оцінювання мають аналітичний характер та використовуються для оцінювання динаміки діяльності, уточнення цільових значень показників і прийняття управлінських рішень.</w:t>
      </w:r>
    </w:p>
    <w:p w14:paraId="0000030C"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якщо період виконання повноважень керівником у звітному році становить шість місяців і більше, оцінювання здійснюється у загальному порядку з урахуванням пропорційності до періоду перебування на посаді.</w:t>
      </w:r>
    </w:p>
    <w:p w14:paraId="0000030D"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Якщо протягом року КРІ керівника державної наукової установи було </w:t>
      </w:r>
      <w:proofErr w:type="spellStart"/>
      <w:r>
        <w:rPr>
          <w:rFonts w:ascii="Times New Roman" w:eastAsia="Times New Roman" w:hAnsi="Times New Roman" w:cs="Times New Roman"/>
          <w:sz w:val="28"/>
          <w:szCs w:val="28"/>
        </w:rPr>
        <w:t>переглянуто</w:t>
      </w:r>
      <w:proofErr w:type="spellEnd"/>
      <w:r>
        <w:rPr>
          <w:rFonts w:ascii="Times New Roman" w:eastAsia="Times New Roman" w:hAnsi="Times New Roman" w:cs="Times New Roman"/>
          <w:sz w:val="28"/>
          <w:szCs w:val="28"/>
        </w:rPr>
        <w:t>, їх оцінювання здійснюється у звичайному порядку.</w:t>
      </w:r>
    </w:p>
    <w:p w14:paraId="0000030E"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Під час оцінювання виконання КРІ орган управління може використовувати експертну оцінку незалежних фахівців або дорадчих органів з метою забезпечення об’єктивності та врахування специфіки наукової діяльності відповідної установи.</w:t>
      </w:r>
    </w:p>
    <w:p w14:paraId="0000030F"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виконання КРІ не може здійснюватися виключно на підставі кількісних показників та повинно включати експертну оцінку результатів діяльності державної наукової установи з урахуванням специфіки відповідної галузі науки.</w:t>
      </w:r>
    </w:p>
    <w:p w14:paraId="00000310"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показника суспільного впливу результатів діяльності наукової установи здійснюється на підставі підтверджених результатів впровадження, використання або врахування результатів досліджень у практичній діяльності, нормативно-правових актах, освітніх програмах, аналітичних матеріалах, експертній діяльності тощо.</w:t>
      </w:r>
    </w:p>
    <w:p w14:paraId="00000311"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оцінювання виконання КРІ орган управління зобов’язаний враховувати вплив об’єктивних зовнішніх та внутрішніх факторів, що могли вплинути на досягнення цільових значень, зокрема, результати конкурсного відбору на отримання грантового фінансування, попит на результати наукових досліджень, зміну обсягів бюджетного фінансування, затримки погоджень або рішень з боку органів державної влади, інші обставини, що не залежать від дій керівника.</w:t>
      </w:r>
    </w:p>
    <w:p w14:paraId="00000312"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встановлення, що невиконання КРІ спричинене такими факторами, невиконання КРІ не може вважатися підставою для застосування заходів дисциплінарного впливу.</w:t>
      </w:r>
    </w:p>
    <w:p w14:paraId="00000313"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Інтегральний показник обчислюється як зважена сума результатів за всіма встановленими показниками.</w:t>
      </w:r>
    </w:p>
    <w:p w14:paraId="00000314"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Залежно від отриманого інтегрального показника встановлюється рівень виконання та приймається відповідне управлінське рішення:</w:t>
      </w:r>
    </w:p>
    <w:p w14:paraId="00000315" w14:textId="77777777" w:rsidR="007B6D36" w:rsidRDefault="007B6D36">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10"/>
          <w:szCs w:val="10"/>
        </w:rPr>
      </w:pPr>
    </w:p>
    <w:tbl>
      <w:tblPr>
        <w:tblStyle w:val="af8"/>
        <w:tblW w:w="9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551"/>
        <w:gridCol w:w="4954"/>
      </w:tblGrid>
      <w:tr w:rsidR="007B6D36" w14:paraId="41CB32B6" w14:textId="77777777">
        <w:trPr>
          <w:jc w:val="center"/>
        </w:trPr>
        <w:tc>
          <w:tcPr>
            <w:tcW w:w="2122" w:type="dxa"/>
            <w:vAlign w:val="center"/>
          </w:tcPr>
          <w:p w14:paraId="00000316" w14:textId="77777777" w:rsidR="007B6D36" w:rsidRDefault="00525DDA">
            <w:pPr>
              <w:spacing w:after="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Інтегральний показник</w:t>
            </w:r>
          </w:p>
        </w:tc>
        <w:tc>
          <w:tcPr>
            <w:tcW w:w="2551" w:type="dxa"/>
            <w:vAlign w:val="center"/>
          </w:tcPr>
          <w:p w14:paraId="00000317" w14:textId="77777777" w:rsidR="007B6D36" w:rsidRDefault="00525DDA">
            <w:pPr>
              <w:spacing w:after="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Рівень виконання</w:t>
            </w:r>
          </w:p>
        </w:tc>
        <w:tc>
          <w:tcPr>
            <w:tcW w:w="4954" w:type="dxa"/>
            <w:vAlign w:val="center"/>
          </w:tcPr>
          <w:p w14:paraId="00000318" w14:textId="77777777" w:rsidR="007B6D36" w:rsidRDefault="00525DDA">
            <w:pPr>
              <w:spacing w:after="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Управлінське рішення (наслідки)</w:t>
            </w:r>
          </w:p>
        </w:tc>
      </w:tr>
      <w:tr w:rsidR="007B6D36" w14:paraId="2B6541DE" w14:textId="77777777">
        <w:trPr>
          <w:jc w:val="center"/>
        </w:trPr>
        <w:tc>
          <w:tcPr>
            <w:tcW w:w="2122" w:type="dxa"/>
            <w:vAlign w:val="center"/>
          </w:tcPr>
          <w:p w14:paraId="00000319" w14:textId="77777777" w:rsidR="007B6D36" w:rsidRDefault="00525DDA">
            <w:pPr>
              <w:spacing w:after="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Понад 110%</w:t>
            </w:r>
          </w:p>
        </w:tc>
        <w:tc>
          <w:tcPr>
            <w:tcW w:w="2551" w:type="dxa"/>
            <w:vAlign w:val="center"/>
          </w:tcPr>
          <w:p w14:paraId="0000031A" w14:textId="77777777" w:rsidR="007B6D36" w:rsidRDefault="00525DDA">
            <w:pPr>
              <w:spacing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w:t>
            </w:r>
          </w:p>
        </w:tc>
        <w:tc>
          <w:tcPr>
            <w:tcW w:w="4954" w:type="dxa"/>
            <w:vAlign w:val="center"/>
          </w:tcPr>
          <w:p w14:paraId="0000031B" w14:textId="77777777" w:rsidR="007B6D36" w:rsidRDefault="00525DDA">
            <w:p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Максимальне преміювання.</w:t>
            </w:r>
          </w:p>
        </w:tc>
      </w:tr>
      <w:tr w:rsidR="007B6D36" w14:paraId="669C9BA4" w14:textId="77777777">
        <w:trPr>
          <w:jc w:val="center"/>
        </w:trPr>
        <w:tc>
          <w:tcPr>
            <w:tcW w:w="2122" w:type="dxa"/>
            <w:vAlign w:val="center"/>
          </w:tcPr>
          <w:p w14:paraId="0000031C" w14:textId="77777777" w:rsidR="007B6D36" w:rsidRDefault="00525DDA">
            <w:pPr>
              <w:spacing w:after="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 – 110 %</w:t>
            </w:r>
          </w:p>
        </w:tc>
        <w:tc>
          <w:tcPr>
            <w:tcW w:w="2551" w:type="dxa"/>
            <w:vAlign w:val="center"/>
          </w:tcPr>
          <w:p w14:paraId="0000031D" w14:textId="77777777" w:rsidR="007B6D36" w:rsidRDefault="00525DDA">
            <w:pPr>
              <w:spacing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Належний</w:t>
            </w:r>
          </w:p>
        </w:tc>
        <w:tc>
          <w:tcPr>
            <w:tcW w:w="4954" w:type="dxa"/>
            <w:vAlign w:val="center"/>
          </w:tcPr>
          <w:p w14:paraId="0000031E" w14:textId="77777777" w:rsidR="007B6D36" w:rsidRDefault="00525DDA">
            <w:p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Преміювання у повному обсязі (при 100%+) або у зменшеному розмірі (при 90-99%).</w:t>
            </w:r>
          </w:p>
        </w:tc>
      </w:tr>
      <w:tr w:rsidR="007B6D36" w14:paraId="210BD30C" w14:textId="77777777">
        <w:trPr>
          <w:jc w:val="center"/>
        </w:trPr>
        <w:tc>
          <w:tcPr>
            <w:tcW w:w="2122" w:type="dxa"/>
            <w:vAlign w:val="center"/>
          </w:tcPr>
          <w:p w14:paraId="0000031F" w14:textId="77777777" w:rsidR="007B6D36" w:rsidRDefault="00525DDA">
            <w:pPr>
              <w:spacing w:after="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 – 89 %</w:t>
            </w:r>
          </w:p>
        </w:tc>
        <w:tc>
          <w:tcPr>
            <w:tcW w:w="2551" w:type="dxa"/>
            <w:vAlign w:val="center"/>
          </w:tcPr>
          <w:p w14:paraId="00000320" w14:textId="77777777" w:rsidR="007B6D36" w:rsidRDefault="00525DDA">
            <w:pPr>
              <w:spacing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Задовільний</w:t>
            </w:r>
          </w:p>
        </w:tc>
        <w:tc>
          <w:tcPr>
            <w:tcW w:w="4954" w:type="dxa"/>
            <w:vAlign w:val="center"/>
          </w:tcPr>
          <w:p w14:paraId="00000321" w14:textId="77777777" w:rsidR="007B6D36" w:rsidRDefault="00525DDA">
            <w:p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Розроблення та затвердження плану коригувальних заходів. Такий рівень виконання КРІ не є підставою для притягнення керівника до дисциплінарної відповідальності. Результати оцінювання на рівні «задовільний» можуть враховуватися під час визначення розміру преміювання, встановлення додаткових завдань та коригування ключових показників ефективності діяльності.</w:t>
            </w:r>
          </w:p>
        </w:tc>
      </w:tr>
      <w:tr w:rsidR="007B6D36" w14:paraId="5DAC3F7C" w14:textId="77777777">
        <w:trPr>
          <w:jc w:val="center"/>
        </w:trPr>
        <w:tc>
          <w:tcPr>
            <w:tcW w:w="2122" w:type="dxa"/>
            <w:vAlign w:val="center"/>
          </w:tcPr>
          <w:p w14:paraId="00000322" w14:textId="77777777" w:rsidR="007B6D36" w:rsidRDefault="00525DDA">
            <w:pPr>
              <w:spacing w:after="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Менше 60 %</w:t>
            </w:r>
          </w:p>
        </w:tc>
        <w:tc>
          <w:tcPr>
            <w:tcW w:w="2551" w:type="dxa"/>
            <w:vAlign w:val="center"/>
          </w:tcPr>
          <w:p w14:paraId="00000323" w14:textId="77777777" w:rsidR="007B6D36" w:rsidRDefault="00525DDA">
            <w:pPr>
              <w:spacing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Низький</w:t>
            </w:r>
          </w:p>
        </w:tc>
        <w:tc>
          <w:tcPr>
            <w:tcW w:w="4954" w:type="dxa"/>
            <w:vAlign w:val="center"/>
          </w:tcPr>
          <w:p w14:paraId="00000324" w14:textId="77777777" w:rsidR="007B6D36" w:rsidRDefault="00525DDA">
            <w:p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Визнання діяльності незадовільною. Орган управління зобов’язаний ініціювати проведення аналізу причин невиконання КРІ, зокрема шляхом проведення службового або незалежного аудиту. За результатами такого аналізу орган управління затверджує план коригувальних заходів, може прийняти рішення про притягнення керівника до дисциплінарної відповідальності, а у разі встановлення систематичного невиконання КРІ з вини керівника (два роки поспіль) – може ініціювати процедуру дострокового припинення контракту відповідно до законодавства.</w:t>
            </w:r>
          </w:p>
        </w:tc>
      </w:tr>
    </w:tbl>
    <w:p w14:paraId="00000325"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26"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У перший рік після призначення керівника державної наукової установи, який вперше обіймає цю посаду, рівень виконання ключових показників ефективності діяльності нижче 60 відсотків не може бути підставою для ініціювання припинення контракту, якщо не встановлено його вини у їх невиконанні.</w:t>
      </w:r>
    </w:p>
    <w:p w14:paraId="00000327"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призначення керівника на новий строк (повторного обрання) така гарантія не застосовується, а оцінювання виконання ключових показників ефективності діяльності здійснюється з урахуванням результатів діяльності за попередній період.</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00000328"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повторного призначення керівника на новий строк ключові показники ефективності діяльності формуються з урахуванням:</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00000329"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результатів виконання ключових показників ефективності діяльності за попередній строк;</w:t>
      </w:r>
    </w:p>
    <w:p w14:paraId="0000032A"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динаміки розвитку наукової установи;</w:t>
      </w:r>
    </w:p>
    <w:p w14:paraId="0000032B"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необхідності забезпечення підвищення результативності діяльності установи.</w:t>
      </w:r>
    </w:p>
    <w:p w14:paraId="0000032C" w14:textId="77777777" w:rsidR="007B6D36" w:rsidRDefault="00525DDA">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Висновок органу управління за результатами щорічного оцінювання виконання КРІ діяльності керівника державної наукової установи (далі – висновок) оформлюється згідно з додатком 3 до цих Рекомендацій.</w:t>
      </w:r>
    </w:p>
    <w:p w14:paraId="0000032D"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прийняття рішення про притягнення керівника державної наукової установи до дисциплінарної відповідальності орган управління зобов’язаний запропонувати керівнику надати письмові пояснення щодо причин невиконання ключових показників ефективності діяльності. Строк для надання таких пояснень не може становити менше п’яти робочих днів з дня отримання відповідного запиту. Ненадання пояснень у визначений строк не перешкоджає прийняттю рішення, але фіксується органом управління. Рішення про притягнення до дисциплінарної відповідальності повинно бути мотивованим та містити оцінку наданих керівником пояснень. Притягнення до дисциплінарної відповідальності за результатами оцінювання виконання КРІ допускається виключно у разі встановлення систематично низького рівня виконання або наявності порушень, передбачених законодавством.</w:t>
      </w:r>
    </w:p>
    <w:p w14:paraId="0000032E" w14:textId="77777777" w:rsidR="007B6D36" w:rsidRDefault="00525DDA">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У разі якщо державна наукова установа перебуває у подвійному підпорядкуванні оцінювання виконання КРІ здійснюється органами управління спільно. За результатами оцінювання формується спільний висновок.</w:t>
      </w:r>
    </w:p>
    <w:p w14:paraId="0000032F"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наявності розбіжностей щодо окремих показників або інтегрального рівня виконання КРІ кожний із органів управління має право викласти окрему мотивовану позицію, що додається до підсумкового висновку.</w:t>
      </w:r>
    </w:p>
    <w:p w14:paraId="00000330"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щодо преміювання, продовження контракту або застосування заходів дисциплінарного впливу приймається органами управління у межах їх компетенції відповідно до законодавства та умов контракту.</w:t>
      </w:r>
    </w:p>
    <w:p w14:paraId="00000331"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контракт укладено одним із органів управління, остаточне рішення приймається таким органом управління з урахуванням письмової позиції іншого органу управління.</w:t>
      </w:r>
    </w:p>
    <w:p w14:paraId="00000332"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33"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Поточний моніторинг стану виконання КРІ</w:t>
      </w:r>
    </w:p>
    <w:p w14:paraId="00000334"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35"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Поточний моніторинг здійснюється з метою своєчасного виявлення ризиків невиконання КРІ та надання методичної допомоги керівнику державної наукової установи.</w:t>
      </w:r>
    </w:p>
    <w:p w14:paraId="00000336"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виконання КРІ здійснюється у межах щорічного звіту керівника державної наукової установи з урахуванням специфіки наукової діяльності, зокрема часових лагів між проведенням досліджень та отриманням їх результатів.</w:t>
      </w:r>
    </w:p>
    <w:p w14:paraId="00000337"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Поточний моніторинг виконання KPI здійснюється органом управління за потреби та має рекомендаційний характер.</w:t>
      </w:r>
    </w:p>
    <w:p w14:paraId="00000338"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Процедура моніторингу включає:</w:t>
      </w:r>
    </w:p>
    <w:p w14:paraId="00000339" w14:textId="66528C8B" w:rsidR="007B6D36" w:rsidRPr="0011516F" w:rsidRDefault="0011516F">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 а</w:t>
      </w:r>
      <w:r w:rsidR="00525DDA">
        <w:rPr>
          <w:rFonts w:ascii="Times New Roman" w:eastAsia="Times New Roman" w:hAnsi="Times New Roman" w:cs="Times New Roman"/>
          <w:sz w:val="28"/>
          <w:szCs w:val="28"/>
        </w:rPr>
        <w:t>наліз динаміки виконання КРІ у порівнянні з графіком (планом-графіко</w:t>
      </w:r>
      <w:r>
        <w:rPr>
          <w:rFonts w:ascii="Times New Roman" w:eastAsia="Times New Roman" w:hAnsi="Times New Roman" w:cs="Times New Roman"/>
          <w:sz w:val="28"/>
          <w:szCs w:val="28"/>
        </w:rPr>
        <w:t>м), якщо такий був затверджений</w:t>
      </w:r>
      <w:r>
        <w:rPr>
          <w:rFonts w:ascii="Times New Roman" w:eastAsia="Times New Roman" w:hAnsi="Times New Roman" w:cs="Times New Roman"/>
          <w:sz w:val="28"/>
          <w:szCs w:val="28"/>
          <w:lang w:val="uk-UA"/>
        </w:rPr>
        <w:t>;</w:t>
      </w:r>
    </w:p>
    <w:p w14:paraId="0000033A" w14:textId="6901D4AB" w:rsidR="007B6D36" w:rsidRPr="0011516F" w:rsidRDefault="0011516F">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 в</w:t>
      </w:r>
      <w:r w:rsidR="00525DDA">
        <w:rPr>
          <w:rFonts w:ascii="Times New Roman" w:eastAsia="Times New Roman" w:hAnsi="Times New Roman" w:cs="Times New Roman"/>
          <w:sz w:val="28"/>
          <w:szCs w:val="28"/>
        </w:rPr>
        <w:t>иявлення зовнішніх та внутрішніх факторів, що перешкоджають д</w:t>
      </w:r>
      <w:r>
        <w:rPr>
          <w:rFonts w:ascii="Times New Roman" w:eastAsia="Times New Roman" w:hAnsi="Times New Roman" w:cs="Times New Roman"/>
          <w:sz w:val="28"/>
          <w:szCs w:val="28"/>
        </w:rPr>
        <w:t>осягненню цільових значень</w:t>
      </w:r>
      <w:r>
        <w:rPr>
          <w:rFonts w:ascii="Times New Roman" w:eastAsia="Times New Roman" w:hAnsi="Times New Roman" w:cs="Times New Roman"/>
          <w:sz w:val="28"/>
          <w:szCs w:val="28"/>
          <w:lang w:val="uk-UA"/>
        </w:rPr>
        <w:t>;</w:t>
      </w:r>
    </w:p>
    <w:p w14:paraId="0000033B" w14:textId="6D895427" w:rsidR="007B6D36" w:rsidRDefault="0011516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w:t>
      </w:r>
      <w:bookmarkStart w:id="0" w:name="_GoBack"/>
      <w:bookmarkEnd w:id="0"/>
      <w:r w:rsidR="00525DDA">
        <w:rPr>
          <w:rFonts w:ascii="Times New Roman" w:eastAsia="Times New Roman" w:hAnsi="Times New Roman" w:cs="Times New Roman"/>
          <w:sz w:val="28"/>
          <w:szCs w:val="28"/>
        </w:rPr>
        <w:t xml:space="preserve">роведення робочих нарад (у тому числі в режимі </w:t>
      </w:r>
      <w:proofErr w:type="spellStart"/>
      <w:r w:rsidR="00525DDA">
        <w:rPr>
          <w:rFonts w:ascii="Times New Roman" w:eastAsia="Times New Roman" w:hAnsi="Times New Roman" w:cs="Times New Roman"/>
          <w:sz w:val="28"/>
          <w:szCs w:val="28"/>
        </w:rPr>
        <w:t>відеоконференцій</w:t>
      </w:r>
      <w:proofErr w:type="spellEnd"/>
      <w:r w:rsidR="00525DDA">
        <w:rPr>
          <w:rFonts w:ascii="Times New Roman" w:eastAsia="Times New Roman" w:hAnsi="Times New Roman" w:cs="Times New Roman"/>
          <w:sz w:val="28"/>
          <w:szCs w:val="28"/>
        </w:rPr>
        <w:t>) між представниками органу управління та керівником державної наукової установи.</w:t>
      </w:r>
    </w:p>
    <w:p w14:paraId="0000033C"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За результатами моніторингу орган управління може:</w:t>
      </w:r>
    </w:p>
    <w:p w14:paraId="0000033D"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визнати стан виконання КРІ задовільним;</w:t>
      </w:r>
    </w:p>
    <w:p w14:paraId="0000033E"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надати рекомендації щодо інтенсифікації роботи за окремими напрямами;</w:t>
      </w:r>
    </w:p>
    <w:p w14:paraId="0000033F"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ініціювати процедуру перегляду КРІ, якщо виявлено об’єктивні чинники, що унеможливлюють їх виконання.</w:t>
      </w:r>
    </w:p>
    <w:p w14:paraId="00000340"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У разі виявлення ризиків невиконання КРІ керівник державної наукової установи має право надати обґрунтовані пояснення. Якщо невиконання спричинене факторами, що не залежали від дій керівника (наприклад, затримка бюджетного фінансування або погоджень з боку органів виконавчої влади), орган управління враховує це при підсумковому оцінюванні та може ініціювати процедуру коригування цільових значень.</w:t>
      </w:r>
    </w:p>
    <w:p w14:paraId="00000341"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42" w14:textId="77777777" w:rsidR="007B6D36" w:rsidRDefault="00525DDA">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встановлення та оцінювання КРІ для державних наукових установ у стані реорганізації</w:t>
      </w:r>
    </w:p>
    <w:p w14:paraId="00000343"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44"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У цьому розділі визначаються підходи до застосування трансформаційних КРІ як складової системи оцінювання діяльності керівника державної наукової установи.</w:t>
      </w:r>
    </w:p>
    <w:p w14:paraId="00000345"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Прийняття рішення про реорганізацію державної наукової установи (злиття, приєднання, поділ, виділ, перетворення) є підставою для обов’язкового перегляду КРІ керівника такої державної наукової установи протягом 30 календарних днів з моменту видання відповідного розпорядчого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w:t>
      </w:r>
    </w:p>
    <w:p w14:paraId="00000346"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У разі, якщо керівника державної наукової установи призначено головою комісії з реорганізації, його КРІ мають бути адаптовані до нових завдань. У такому випадку до переліку КРІ в пріоритетному порядку (із загальною вагою не менше 50%) включаються такі показники:</w:t>
      </w:r>
    </w:p>
    <w:p w14:paraId="00000347"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дотримання термінів виконання заходів, передбачених планом реорганізації;</w:t>
      </w:r>
    </w:p>
    <w:p w14:paraId="00000348"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збереження кадрового потенціалу (мінімізація плинності ключових наукових співробітників під час реорганізації);</w:t>
      </w:r>
    </w:p>
    <w:p w14:paraId="00000349"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забезпечення цілісності майнового комплексу та передачі активів згідно з передавальним актом (розподільчим балансом);</w:t>
      </w:r>
    </w:p>
    <w:p w14:paraId="0000034A"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правонаступництво: забезпечення безперервності виконання наукових проєктів та міжнародних зобов’язань.</w:t>
      </w:r>
    </w:p>
    <w:p w14:paraId="0000034B"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Оцінювання діяльності керівника державної наукової установи, що припиняється як юридична особа, проводиться за фактичний період роботи у звітній рік до дати внесення запису до Єдиного державного реєстру про припинення діяльності юридичної особи або до дати звільнення керівника.</w:t>
      </w:r>
    </w:p>
    <w:p w14:paraId="0000034C"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У разі завершення процедури реорганізації державної наукової установи до закінчення звітного календарного року, підсумкове оцінювання виконання КРІ керівника проводиться за період фактичного функціонування такої установи до дати її виключення з Єдиного державного реєстру або завершення повноважень керівника як голови комісії з реорганізації.</w:t>
      </w:r>
    </w:p>
    <w:p w14:paraId="0000034D"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Якщо реорганізація триває понад один звітний період, оцінювання проводиться щорічно за спеціальними «трансформаційними» КРІ, що відображають ефективність управління змінами.</w:t>
      </w:r>
    </w:p>
    <w:p w14:paraId="0000034E"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У разі створення нової державної наукової установи шляхом реорганізації, КРІ для її керівника встановлюються протягом трьох місяців з моменту державної реєстрації нової юридичної особи.</w:t>
      </w:r>
    </w:p>
    <w:p w14:paraId="0000034F"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50" w14:textId="77777777" w:rsidR="007B6D36" w:rsidRDefault="00525DDA">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оскарження результатів оцінювання</w:t>
      </w:r>
    </w:p>
    <w:p w14:paraId="00000351"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52"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У разі незгоди з результатами щорічного оцінювання (інтегральним показником або оцінкою окремих КРІ), керівник державної наукової установи має право оскаржити висновок.</w:t>
      </w:r>
    </w:p>
    <w:p w14:paraId="00000353"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Оскарження здійснюється шляхом подання обґрунтованої письмової скарги на ім’я керівника органу управління протягом 5 робочих днів з дня ознайомлення керівника державної наукової установи з висновком органу управління.</w:t>
      </w:r>
    </w:p>
    <w:p w14:paraId="00000354"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У скарзі керівник державної наукової установи повинен зазначити:</w:t>
      </w:r>
    </w:p>
    <w:p w14:paraId="00000355"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конкретні показники, з оцінкою яких він не погоджується;</w:t>
      </w:r>
    </w:p>
    <w:p w14:paraId="00000356" w14:textId="77777777" w:rsidR="007B6D36" w:rsidRDefault="00525DDA">
      <w:pPr>
        <w:spacing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аргументовані підстави для перегляду (наприклад: помилка в розрахунках, ненадання органом управління запитуваної інформації, врахування даних, що не відповідають звітним періодам, або наявність форс-мажорних обставин, що не були враховані).</w:t>
      </w:r>
    </w:p>
    <w:p w14:paraId="00000357"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Для розгляду скарги наказом органу управління протягом п’яти робочих днів утворюється Апеляційна комісія. До її складу не включаються особи, які здійснювали розрахунок або оцінювання КРІ керівника, його близькі особи у розумінні Закону України «Про запобігання корупції», а також особи, які перебувають у прямому чи опосередкованому підпорядкуванні такому керівнику.</w:t>
      </w:r>
    </w:p>
    <w:p w14:paraId="00000358"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роботи Апеляційної комісії, за їх згодою, можуть залучатися незалежні експерти та представники громадських наукових організацій. Члени Апеляційної комісії та залучені особи до початку розгляду скарги письмово повідомляють орган управління про відсутність реального чи потенційного конфлікту інтересів; у разі його наявності така особа підлягає заміні.</w:t>
      </w:r>
    </w:p>
    <w:p w14:paraId="00000359"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Апеляційної комісії є відкритими, крім випадків розгляду матеріалів, що містять інформацію з обмеженим доступом.</w:t>
      </w:r>
    </w:p>
    <w:p w14:paraId="0000035A"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Апеляційна комісія розглядає скаргу протягом 10 робочих днів та приймає одне з таких рішень:</w:t>
      </w:r>
    </w:p>
    <w:p w14:paraId="0000035B"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залишити висновок без змін (скарга не задоволена);</w:t>
      </w:r>
    </w:p>
    <w:p w14:paraId="0000035C"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змінити значення окремих КРІ та перерахувати інтегральний показник (скарга задоволена частково або повністю);</w:t>
      </w:r>
    </w:p>
    <w:p w14:paraId="0000035D"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провести повторне оцінювання (у разі виявлення суттєвих процедурних порушень).</w:t>
      </w:r>
    </w:p>
    <w:p w14:paraId="0000035E"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Рішення Апеляційної комісії оформлюється протоколом і є підставою для прийняття відповідного рішення органом управління.</w:t>
      </w:r>
    </w:p>
    <w:p w14:paraId="0000035F"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Рішення органу управління за результатами оцінювання може бути оскаржене в судовому порядку відповідно до законодавства.</w:t>
      </w:r>
    </w:p>
    <w:p w14:paraId="00000360"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Подання скарги у строк, визначений пунктом 46 цих Рекомендацій, зупиняє дію управлінських рішень щодо дострокового припинення контракту з керівником або накладення на нього дисциплінарного стягнення, прийнятих на підставі оскаржуваного висновку, до моменту прийняття остаточного рішення Апеляційною комісією, крім випадків, коли таке рішення прийняте на підставах, не пов’язаних із результатами оцінювання КРІ.</w:t>
      </w:r>
    </w:p>
    <w:p w14:paraId="00000361"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62"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встановлення та оцінювання КРІ в умовах подвійного підпорядкування</w:t>
      </w:r>
    </w:p>
    <w:p w14:paraId="00000363"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64"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 Для керівника державної наукової установи, що перебуває у подвійному підпорядкуванні, перелік КРІ, їх цільові значення та результати виконання погоджуються обома органами управління (органом виконавчої влади та відповідною академією наук) на засадах партнерства та координації.</w:t>
      </w:r>
    </w:p>
    <w:p w14:paraId="00000365"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57. Формування груп показників здійснюється за розподілом компетенцій. Показники груп «Кадровий потенціал та підготовка дослідників», «Результативність наукової діяльності» (включно із галузевою специфікою згідно з  додатком  2 до цих Рекомендацій), «Інтелектуальна власність та інновації» та «Експертна діяльність» визначаються за пріоритетним поданням академії наук. Показники груп «Конкурсне та грантове фінансування» (як показник фінансової активності), «Фінансова стійкість», «Управлінська ефективність і стратегічний розвиток» (включаючи майно, </w:t>
      </w:r>
      <w:proofErr w:type="spellStart"/>
      <w:r>
        <w:rPr>
          <w:rFonts w:ascii="Times New Roman" w:eastAsia="Times New Roman" w:hAnsi="Times New Roman" w:cs="Times New Roman"/>
          <w:sz w:val="28"/>
          <w:szCs w:val="28"/>
        </w:rPr>
        <w:t>цифровізацію</w:t>
      </w:r>
      <w:proofErr w:type="spellEnd"/>
      <w:r>
        <w:rPr>
          <w:rFonts w:ascii="Times New Roman" w:eastAsia="Times New Roman" w:hAnsi="Times New Roman" w:cs="Times New Roman"/>
          <w:sz w:val="28"/>
          <w:szCs w:val="28"/>
        </w:rPr>
        <w:t xml:space="preserve"> та академічну доброчесність) визначаються за поданням органу виконавчої влади.</w:t>
      </w:r>
    </w:p>
    <w:p w14:paraId="00000366"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 КРІ стає невід’ємною частиною контракту після його візування уповноваженими особами обох органів управління.</w:t>
      </w:r>
    </w:p>
    <w:p w14:paraId="00000367"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Керівник подає річний звіт і звіт про виконання КРІ одночасно обом органам управління.</w:t>
      </w:r>
    </w:p>
    <w:p w14:paraId="00000368"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Для оцінювання звіту органи управління можуть створювати спільну експертну комісію або проводити взаємне погодження висновків. Оцінка «виконано» за окремим показником вважається дійсною, якщо вона підтверджена органом управління, до компетенції якого належить відповідна група показників.</w:t>
      </w:r>
    </w:p>
    <w:p w14:paraId="00000369"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Інтегральний показник виконання КРІ затверджується спільним актом або листами-погодженнями. У разі розбіжностей в оцінках органи управління проводять узгоджувальні консультації.</w:t>
      </w:r>
    </w:p>
    <w:p w14:paraId="0000036A"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Рішення про преміювання, стимулювання або розірвання контракту у зв’язку з невиконанням КРІ приймається органом управління, який уклав контракт, виключно за наявності офіційної згоди або спільного подання другого органу управління.</w:t>
      </w:r>
    </w:p>
    <w:p w14:paraId="0000036B" w14:textId="77777777" w:rsidR="007B6D36" w:rsidRDefault="00525DD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цьому оцінювання має враховувати пріоритетність наукових результатів для академічної складової та ефективність використання державних ресурсів для адміністративної складової.</w:t>
      </w:r>
    </w:p>
    <w:p w14:paraId="0000036C"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6D" w14:textId="77777777"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встановлення та оцінювання КРІ для виконувачів обов’язків керівника державної наукової установи</w:t>
      </w:r>
    </w:p>
    <w:p w14:paraId="0000036E"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6F"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Встановлення КРІ для особи, призначеної виконувачем обов’язків керівника державної наукової установи, є обов’язковим, якщо термін виконання обов’язків перевищує 3 місяці.</w:t>
      </w:r>
    </w:p>
    <w:p w14:paraId="00000370"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У разі, якщо керівник державної наукової установи не призначений за результатами виборів (вибори визнані такими, що не відбулися, результати не затверджені) або з інших причин, до КРІ виконувача обов’язків, окрім загальних показників наукової діяльності, обов’язково включається блок «Організаційна стабільність та підготовка до обрання керівника».</w:t>
      </w:r>
    </w:p>
    <w:p w14:paraId="00000371"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 Рекомендованими показниками для виконувача обов’язків у цей період є:</w:t>
      </w:r>
    </w:p>
    <w:p w14:paraId="00000372"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забезпечення проведення виборчої процедури: підготовка необхідних документів, дотримання визначених законодавством термінів організації виборів (вага – не менше 20%);</w:t>
      </w:r>
    </w:p>
    <w:p w14:paraId="00000373"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виконання фінансових зобов’язань: недопущення виникнення заборгованості з виплати заробітної плати та комунальних платежів у період відсутності постійного керівника державної наукової установи;</w:t>
      </w:r>
    </w:p>
    <w:p w14:paraId="00000374"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збереження кадрового складу: відсутність масового відтоку провідних наукових співробітників через управлінську невизначеність;</w:t>
      </w:r>
    </w:p>
    <w:p w14:paraId="00000375"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актуалізація стратегічних документів: приведення статуту (положення) чи іншого установчого документа та внутрішніх положень державної наукової установи у відповідність до чинного законодавства (для створення належних умов наступництва та забезпечення безперервності управління державною науковою установою).</w:t>
      </w:r>
    </w:p>
    <w:p w14:paraId="00000376"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 У разі тривалого </w:t>
      </w:r>
      <w:proofErr w:type="spellStart"/>
      <w:r>
        <w:rPr>
          <w:rFonts w:ascii="Times New Roman" w:eastAsia="Times New Roman" w:hAnsi="Times New Roman" w:cs="Times New Roman"/>
          <w:sz w:val="28"/>
          <w:szCs w:val="28"/>
        </w:rPr>
        <w:t>незаміщення</w:t>
      </w:r>
      <w:proofErr w:type="spellEnd"/>
      <w:r>
        <w:rPr>
          <w:rFonts w:ascii="Times New Roman" w:eastAsia="Times New Roman" w:hAnsi="Times New Roman" w:cs="Times New Roman"/>
          <w:sz w:val="28"/>
          <w:szCs w:val="28"/>
        </w:rPr>
        <w:t xml:space="preserve"> посади керівника державної наукової установи (понад 1 рік), орган управління має право переглянути КРІ виконувача обов’язків у бік посилення вимог до операційної ефективності, щоб уникнути стагнації наукової діяльності. </w:t>
      </w:r>
    </w:p>
    <w:p w14:paraId="00000377"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 Результати виконання КРІ виконувачем обов’язків враховуються органом управління під час:</w:t>
      </w:r>
    </w:p>
    <w:p w14:paraId="00000378"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прийняття рішення про продовження або припинення виконання обов’язків цією особою;</w:t>
      </w:r>
    </w:p>
    <w:p w14:paraId="00000379"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надання рекомендацій вченій (науковій, науково-технічній, технічній, наглядовій) раді або виборному органу державної наукової установи (як характеристика управлінських здібностей кандидата, якщо виконувач обов’язків висуває свою кандидатуру на вибори).</w:t>
      </w:r>
    </w:p>
    <w:p w14:paraId="0000037A"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Якщо за результатами оцінювання виконувач обов’язків керівника державної наукової установи отримав «Низький» рівень виконання КРІ, орган управління зобов’язаний розглянути питання про заміну виконувача обов’язків іншою особою до моменту проведення повноцінних виборів.</w:t>
      </w:r>
    </w:p>
    <w:p w14:paraId="0000037B"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7C" w14:textId="77777777" w:rsidR="007B6D36" w:rsidRDefault="00525DDA">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КРІ у разі довготривалої відсутності керівника</w:t>
      </w:r>
    </w:p>
    <w:p w14:paraId="0000037D"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7E"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 У разі запровадження воєнного або надзвичайного стану та мобілізації керівника державної наукової установи:</w:t>
      </w:r>
    </w:p>
    <w:p w14:paraId="0000037F"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дія контракту з керівником державної наукової установи призупиняється згідно із законодавством про працю, водночас посада за ним зберігається;</w:t>
      </w:r>
    </w:p>
    <w:p w14:paraId="00000380"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оцінювання виконання КРІ за період військової служби не проводиться;</w:t>
      </w:r>
    </w:p>
    <w:p w14:paraId="00000381"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якщо мобілізація відбулася протягом звітного періоду, оцінювання здійснюється </w:t>
      </w:r>
      <w:proofErr w:type="spellStart"/>
      <w:r>
        <w:rPr>
          <w:rFonts w:ascii="Times New Roman" w:eastAsia="Times New Roman" w:hAnsi="Times New Roman" w:cs="Times New Roman"/>
          <w:sz w:val="28"/>
          <w:szCs w:val="28"/>
        </w:rPr>
        <w:t>пропорційно</w:t>
      </w:r>
      <w:proofErr w:type="spellEnd"/>
      <w:r>
        <w:rPr>
          <w:rFonts w:ascii="Times New Roman" w:eastAsia="Times New Roman" w:hAnsi="Times New Roman" w:cs="Times New Roman"/>
          <w:sz w:val="28"/>
          <w:szCs w:val="28"/>
        </w:rPr>
        <w:t xml:space="preserve"> фактично відпрацьованому часу до моменту призову. Управлінські рішення за результатами такого оцінювання (наприклад, преміювання за результатами року, яке здійснюється у строки, визначені для державної наукової установи) приймаються з розрахунку фактичного внеску до моменту мобілізації;</w:t>
      </w:r>
    </w:p>
    <w:p w14:paraId="00000382"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тимчасовому виконувачу обов’язків керівника державної наукової установи на період мобілізації керівника встановлюються окремі КРІ згідно з розділом «Особливості встановлення та оцінювання КРІ для виконувачів обов’язків керівника державної наукової установи</w:t>
      </w:r>
      <w:r>
        <w:rPr>
          <w:rFonts w:ascii="Times New Roman" w:eastAsia="Times New Roman" w:hAnsi="Times New Roman" w:cs="Times New Roman"/>
          <w:color w:val="1F1F1F"/>
          <w:sz w:val="28"/>
          <w:szCs w:val="28"/>
        </w:rPr>
        <w:t>»</w:t>
      </w:r>
      <w:r>
        <w:rPr>
          <w:rFonts w:ascii="Times New Roman" w:eastAsia="Times New Roman" w:hAnsi="Times New Roman" w:cs="Times New Roman"/>
          <w:sz w:val="28"/>
          <w:szCs w:val="28"/>
        </w:rPr>
        <w:t xml:space="preserve"> цих Рекомендацій.</w:t>
      </w:r>
    </w:p>
    <w:p w14:paraId="00000383"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 У разі втрати керівником державної наукової установи працездатності (лікарняний) на строк понад 6 місяців:</w:t>
      </w:r>
    </w:p>
    <w:p w14:paraId="00000384"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якщо керівник державної наукової установи перебуває на лікарняному понад 6 місяців поспіль протягом звітного року, орган управління має право прийняти рішення про </w:t>
      </w:r>
      <w:proofErr w:type="spellStart"/>
      <w:r>
        <w:rPr>
          <w:rFonts w:ascii="Times New Roman" w:eastAsia="Times New Roman" w:hAnsi="Times New Roman" w:cs="Times New Roman"/>
          <w:sz w:val="28"/>
          <w:szCs w:val="28"/>
        </w:rPr>
        <w:t>непроведення</w:t>
      </w:r>
      <w:proofErr w:type="spellEnd"/>
      <w:r>
        <w:rPr>
          <w:rFonts w:ascii="Times New Roman" w:eastAsia="Times New Roman" w:hAnsi="Times New Roman" w:cs="Times New Roman"/>
          <w:sz w:val="28"/>
          <w:szCs w:val="28"/>
        </w:rPr>
        <w:t xml:space="preserve"> щорічного оцінювання через неможливість об’єктивного вимірювання особистого внеску керівника;</w:t>
      </w:r>
    </w:p>
    <w:p w14:paraId="00000385"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 разі, якщо до моменту хвороби керівник державної наукової установи встиг пропрацювати понад 6 місяців поспіль у звітному році, оцінювання може бути проведено за його письмовою згодою на основі досягнутих проміжних результатів;</w:t>
      </w:r>
    </w:p>
    <w:p w14:paraId="00000386" w14:textId="77777777" w:rsidR="007B6D36" w:rsidRDefault="00525D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якщо довготривала хвороба унеможливлює виконання стратегічних завдань державної наукової установи, КРІ можуть бути переглянуті або делеговані заступнику або тимчасовому виконувачу обов’язків керівника державної наукової установи без погіршення умов контракту основного керівника.</w:t>
      </w:r>
    </w:p>
    <w:p w14:paraId="00000387" w14:textId="77777777" w:rsidR="007B6D36" w:rsidRDefault="007B6D36">
      <w:pPr>
        <w:spacing w:after="0" w:line="240" w:lineRule="auto"/>
        <w:ind w:firstLine="709"/>
        <w:jc w:val="both"/>
        <w:rPr>
          <w:rFonts w:ascii="Times New Roman" w:eastAsia="Times New Roman" w:hAnsi="Times New Roman" w:cs="Times New Roman"/>
          <w:sz w:val="28"/>
          <w:szCs w:val="28"/>
        </w:rPr>
      </w:pPr>
    </w:p>
    <w:p w14:paraId="00000389" w14:textId="04B6E1D9" w:rsidR="007B6D36" w:rsidRDefault="00525DDA" w:rsidP="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Прозорість та документування</w:t>
      </w:r>
    </w:p>
    <w:p w14:paraId="770303EA" w14:textId="77777777" w:rsidR="00525DDA" w:rsidRDefault="00525DDA" w:rsidP="00525DDA">
      <w:pPr>
        <w:spacing w:after="0" w:line="240" w:lineRule="auto"/>
        <w:jc w:val="center"/>
        <w:rPr>
          <w:rFonts w:ascii="Times New Roman" w:eastAsia="Times New Roman" w:hAnsi="Times New Roman" w:cs="Times New Roman"/>
          <w:sz w:val="28"/>
          <w:szCs w:val="28"/>
        </w:rPr>
      </w:pPr>
    </w:p>
    <w:p w14:paraId="0000038A"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 Матеріали оцінювання КРІ додаються до щорічного звіту керівника державної наукової установи.</w:t>
      </w:r>
    </w:p>
    <w:p w14:paraId="0000038B"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 Державна наукова установа забезпечує збереження даних розрахунку КРІ та відкритість узагальнених результатів оцінювання.</w:t>
      </w:r>
    </w:p>
    <w:p w14:paraId="0000038C" w14:textId="77777777" w:rsidR="007B6D36" w:rsidRDefault="00525DD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 Узагальнені результати оцінювання оприлюднюються разом зі звітом керівника державної наукової установи на офіційному вебсайті державної наукової установи з урахуванням установлених обмежень (крім інформації, віднесеної відповідно до законодавства до інформації з обмеженим доступом).</w:t>
      </w:r>
    </w:p>
    <w:p w14:paraId="0000038D" w14:textId="77777777" w:rsidR="007B6D36" w:rsidRDefault="007B6D36">
      <w:pPr>
        <w:spacing w:after="0" w:line="240" w:lineRule="auto"/>
        <w:jc w:val="both"/>
        <w:rPr>
          <w:rFonts w:ascii="Times New Roman" w:eastAsia="Times New Roman" w:hAnsi="Times New Roman" w:cs="Times New Roman"/>
          <w:sz w:val="28"/>
          <w:szCs w:val="28"/>
        </w:rPr>
      </w:pPr>
    </w:p>
    <w:p w14:paraId="0000038E" w14:textId="38FE3669" w:rsidR="007B6D36" w:rsidRDefault="00525DD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p w14:paraId="0000038F" w14:textId="77777777" w:rsidR="007B6D36" w:rsidRDefault="007B6D36">
      <w:pPr>
        <w:spacing w:after="0" w:line="240" w:lineRule="auto"/>
        <w:ind w:left="5954"/>
        <w:jc w:val="both"/>
        <w:rPr>
          <w:rFonts w:ascii="Times New Roman" w:eastAsia="Times New Roman" w:hAnsi="Times New Roman" w:cs="Times New Roman"/>
          <w:color w:val="1F1F1F"/>
          <w:sz w:val="27"/>
          <w:szCs w:val="27"/>
          <w:highlight w:val="yellow"/>
        </w:rPr>
      </w:pPr>
    </w:p>
    <w:p w14:paraId="00000390" w14:textId="77777777" w:rsidR="007B6D36" w:rsidRDefault="007B6D36">
      <w:pPr>
        <w:spacing w:after="0" w:line="240" w:lineRule="auto"/>
        <w:ind w:left="5954"/>
        <w:jc w:val="both"/>
        <w:rPr>
          <w:rFonts w:ascii="Times New Roman" w:eastAsia="Times New Roman" w:hAnsi="Times New Roman" w:cs="Times New Roman"/>
          <w:color w:val="1F1F1F"/>
          <w:sz w:val="27"/>
          <w:szCs w:val="27"/>
          <w:highlight w:val="yellow"/>
        </w:rPr>
      </w:pPr>
    </w:p>
    <w:p w14:paraId="00000391" w14:textId="6C326173" w:rsidR="007B6D36" w:rsidRDefault="007B6D36" w:rsidP="00525DDA">
      <w:pPr>
        <w:spacing w:after="0" w:line="240" w:lineRule="auto"/>
        <w:jc w:val="both"/>
        <w:rPr>
          <w:rFonts w:ascii="Times New Roman" w:eastAsia="Times New Roman" w:hAnsi="Times New Roman" w:cs="Times New Roman"/>
          <w:color w:val="1F1F1F"/>
          <w:sz w:val="27"/>
          <w:szCs w:val="27"/>
          <w:highlight w:val="yellow"/>
        </w:rPr>
      </w:pPr>
    </w:p>
    <w:sectPr w:rsidR="007B6D36">
      <w:headerReference w:type="default" r:id="rId8"/>
      <w:pgSz w:w="11906" w:h="16838"/>
      <w:pgMar w:top="850" w:right="850" w:bottom="156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0EA32" w14:textId="77777777" w:rsidR="002534F0" w:rsidRDefault="00525DDA">
      <w:pPr>
        <w:spacing w:after="0" w:line="240" w:lineRule="auto"/>
      </w:pPr>
      <w:r>
        <w:separator/>
      </w:r>
    </w:p>
  </w:endnote>
  <w:endnote w:type="continuationSeparator" w:id="0">
    <w:p w14:paraId="6053ADD5" w14:textId="77777777" w:rsidR="002534F0" w:rsidRDefault="00525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2CE4A2A4-1099-4C69-81C7-D18917E6435B}"/>
    <w:embedBold r:id="rId2" w:fontKey="{009BAAD8-2A08-44F7-BA20-B77309747735}"/>
  </w:font>
  <w:font w:name="Times New Roman">
    <w:panose1 w:val="02020603050405020304"/>
    <w:charset w:val="CC"/>
    <w:family w:val="roman"/>
    <w:pitch w:val="variable"/>
    <w:sig w:usb0="E0002EFF" w:usb1="C000785B" w:usb2="00000009" w:usb3="00000000" w:csb0="000001FF" w:csb1="00000000"/>
  </w:font>
  <w:font w:name="Antiqua">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3" w:fontKey="{B399AD59-6065-4AC6-A0CB-7FE4BA04104A}"/>
  </w:font>
  <w:font w:name="Segoe UI">
    <w:panose1 w:val="020B0502040204020203"/>
    <w:charset w:val="CC"/>
    <w:family w:val="swiss"/>
    <w:pitch w:val="variable"/>
    <w:sig w:usb0="E4002EFF" w:usb1="C000E47F" w:usb2="00000009" w:usb3="00000000" w:csb0="000001FF" w:csb1="00000000"/>
    <w:embedRegular r:id="rId4" w:fontKey="{BC930572-240E-4CBD-8005-AAF666FB4FAA}"/>
  </w:font>
  <w:font w:name="Calibri Light">
    <w:panose1 w:val="020F0302020204030204"/>
    <w:charset w:val="CC"/>
    <w:family w:val="swiss"/>
    <w:pitch w:val="variable"/>
    <w:sig w:usb0="E4002EFF" w:usb1="C000247B" w:usb2="00000009" w:usb3="00000000" w:csb0="000001FF" w:csb1="00000000"/>
    <w:embedRegular r:id="rId5" w:fontKey="{937A2068-B404-41D3-B950-6D9D52EE6AC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5D810" w14:textId="77777777" w:rsidR="002534F0" w:rsidRDefault="00525DDA">
      <w:pPr>
        <w:spacing w:after="0" w:line="240" w:lineRule="auto"/>
      </w:pPr>
      <w:r>
        <w:separator/>
      </w:r>
    </w:p>
  </w:footnote>
  <w:footnote w:type="continuationSeparator" w:id="0">
    <w:p w14:paraId="205D085F" w14:textId="77777777" w:rsidR="002534F0" w:rsidRDefault="00525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F8" w14:textId="4DC57420" w:rsidR="007B6D36" w:rsidRDefault="00525DDA">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1516F">
      <w:rPr>
        <w:rFonts w:ascii="Times New Roman" w:eastAsia="Times New Roman" w:hAnsi="Times New Roman" w:cs="Times New Roman"/>
        <w:noProof/>
        <w:color w:val="000000"/>
        <w:sz w:val="24"/>
        <w:szCs w:val="24"/>
      </w:rPr>
      <w:t>10</w:t>
    </w:r>
    <w:r>
      <w:rPr>
        <w:rFonts w:ascii="Times New Roman" w:eastAsia="Times New Roman" w:hAnsi="Times New Roman" w:cs="Times New Roman"/>
        <w:color w:val="000000"/>
        <w:sz w:val="24"/>
        <w:szCs w:val="24"/>
      </w:rPr>
      <w:fldChar w:fldCharType="end"/>
    </w:r>
  </w:p>
  <w:p w14:paraId="000007F9" w14:textId="77777777" w:rsidR="007B6D36" w:rsidRDefault="007B6D36">
    <w:pPr>
      <w:pBdr>
        <w:top w:val="nil"/>
        <w:left w:val="nil"/>
        <w:bottom w:val="nil"/>
        <w:right w:val="nil"/>
        <w:between w:val="nil"/>
      </w:pBdr>
      <w:tabs>
        <w:tab w:val="center" w:pos="4819"/>
        <w:tab w:val="right" w:pos="9639"/>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84063"/>
    <w:multiLevelType w:val="multilevel"/>
    <w:tmpl w:val="AE5C6B5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D36"/>
    <w:rsid w:val="0011516F"/>
    <w:rsid w:val="002534F0"/>
    <w:rsid w:val="00525DDA"/>
    <w:rsid w:val="007B6D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1E7D2"/>
  <w15:docId w15:val="{D94CECE2-84E0-4CBE-80ED-1D523D7E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pPr>
      <w:spacing w:line="240" w:lineRule="auto"/>
      <w:outlineLvl w:val="1"/>
    </w:pPr>
    <w:rPr>
      <w:rFonts w:ascii="Times New Roman" w:eastAsia="Times New Roman" w:hAnsi="Times New Roman" w:cs="Times New Roman"/>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rvps6">
    <w:name w:val="rvps6"/>
    <w:rsid w:val="00B2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B2315B"/>
  </w:style>
  <w:style w:type="paragraph" w:customStyle="1" w:styleId="rvps7">
    <w:name w:val="rvps7"/>
    <w:rsid w:val="00B2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B2315B"/>
  </w:style>
  <w:style w:type="character" w:styleId="a4">
    <w:name w:val="Hyperlink"/>
    <w:basedOn w:val="a0"/>
    <w:uiPriority w:val="99"/>
    <w:unhideWhenUsed/>
    <w:rsid w:val="00B2315B"/>
    <w:rPr>
      <w:color w:val="0563C1" w:themeColor="hyperlink"/>
      <w:u w:val="single"/>
    </w:rPr>
  </w:style>
  <w:style w:type="paragraph" w:styleId="a5">
    <w:name w:val="header"/>
    <w:link w:val="a6"/>
    <w:uiPriority w:val="99"/>
    <w:unhideWhenUsed/>
    <w:rsid w:val="0082003A"/>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82003A"/>
  </w:style>
  <w:style w:type="paragraph" w:styleId="a7">
    <w:name w:val="footer"/>
    <w:link w:val="a8"/>
    <w:uiPriority w:val="99"/>
    <w:unhideWhenUsed/>
    <w:rsid w:val="0082003A"/>
    <w:pPr>
      <w:tabs>
        <w:tab w:val="center" w:pos="4819"/>
        <w:tab w:val="right" w:pos="9639"/>
      </w:tabs>
      <w:spacing w:after="0" w:line="240" w:lineRule="auto"/>
    </w:pPr>
  </w:style>
  <w:style w:type="character" w:customStyle="1" w:styleId="a8">
    <w:name w:val="Нижній колонтитул Знак"/>
    <w:basedOn w:val="a0"/>
    <w:link w:val="a7"/>
    <w:uiPriority w:val="99"/>
    <w:rsid w:val="0082003A"/>
  </w:style>
  <w:style w:type="paragraph" w:customStyle="1" w:styleId="rvps2">
    <w:name w:val="rvps2"/>
    <w:rsid w:val="00820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97309A"/>
  </w:style>
  <w:style w:type="paragraph" w:styleId="a9">
    <w:name w:val="List Paragraph"/>
    <w:uiPriority w:val="34"/>
    <w:qFormat/>
    <w:rsid w:val="00556F73"/>
    <w:pPr>
      <w:ind w:left="720"/>
      <w:contextualSpacing/>
    </w:pPr>
  </w:style>
  <w:style w:type="paragraph" w:styleId="aa">
    <w:name w:val="Normal (Web)"/>
    <w:uiPriority w:val="99"/>
    <w:semiHidden/>
    <w:unhideWhenUsed/>
    <w:rsid w:val="009D0E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49">
    <w:name w:val="citation-149"/>
    <w:basedOn w:val="a0"/>
    <w:rsid w:val="009D0E8A"/>
  </w:style>
  <w:style w:type="character" w:customStyle="1" w:styleId="citation-148">
    <w:name w:val="citation-148"/>
    <w:basedOn w:val="a0"/>
    <w:rsid w:val="009D0E8A"/>
  </w:style>
  <w:style w:type="character" w:customStyle="1" w:styleId="button-label">
    <w:name w:val="button-label"/>
    <w:basedOn w:val="a0"/>
    <w:rsid w:val="009D0E8A"/>
  </w:style>
  <w:style w:type="character" w:customStyle="1" w:styleId="citation-147">
    <w:name w:val="citation-147"/>
    <w:basedOn w:val="a0"/>
    <w:rsid w:val="009D0E8A"/>
  </w:style>
  <w:style w:type="character" w:customStyle="1" w:styleId="citation-146">
    <w:name w:val="citation-146"/>
    <w:basedOn w:val="a0"/>
    <w:rsid w:val="009D0E8A"/>
  </w:style>
  <w:style w:type="character" w:customStyle="1" w:styleId="citation-145">
    <w:name w:val="citation-145"/>
    <w:basedOn w:val="a0"/>
    <w:rsid w:val="009D0E8A"/>
  </w:style>
  <w:style w:type="character" w:customStyle="1" w:styleId="citation-144">
    <w:name w:val="citation-144"/>
    <w:basedOn w:val="a0"/>
    <w:rsid w:val="009D0E8A"/>
  </w:style>
  <w:style w:type="character" w:customStyle="1" w:styleId="citation-143">
    <w:name w:val="citation-143"/>
    <w:basedOn w:val="a0"/>
    <w:rsid w:val="009D0E8A"/>
  </w:style>
  <w:style w:type="character" w:customStyle="1" w:styleId="citation-142">
    <w:name w:val="citation-142"/>
    <w:basedOn w:val="a0"/>
    <w:rsid w:val="009D0E8A"/>
  </w:style>
  <w:style w:type="character" w:customStyle="1" w:styleId="citation-141">
    <w:name w:val="citation-141"/>
    <w:basedOn w:val="a0"/>
    <w:rsid w:val="009D0E8A"/>
  </w:style>
  <w:style w:type="character" w:customStyle="1" w:styleId="citation-140">
    <w:name w:val="citation-140"/>
    <w:basedOn w:val="a0"/>
    <w:rsid w:val="009D0E8A"/>
  </w:style>
  <w:style w:type="character" w:customStyle="1" w:styleId="citation-139">
    <w:name w:val="citation-139"/>
    <w:basedOn w:val="a0"/>
    <w:rsid w:val="009D0E8A"/>
  </w:style>
  <w:style w:type="character" w:customStyle="1" w:styleId="citation-138">
    <w:name w:val="citation-138"/>
    <w:basedOn w:val="a0"/>
    <w:rsid w:val="009D0E8A"/>
  </w:style>
  <w:style w:type="paragraph" w:customStyle="1" w:styleId="ab">
    <w:name w:val="Нормальний текст"/>
    <w:rsid w:val="00AF4548"/>
    <w:pPr>
      <w:spacing w:before="120" w:after="0" w:line="240" w:lineRule="auto"/>
      <w:ind w:firstLine="567"/>
      <w:jc w:val="both"/>
    </w:pPr>
    <w:rPr>
      <w:rFonts w:ascii="Antiqua" w:eastAsia="Times New Roman" w:hAnsi="Antiqua" w:cs="Times New Roman"/>
      <w:sz w:val="26"/>
      <w:szCs w:val="20"/>
      <w:lang w:eastAsia="ru-RU"/>
    </w:rPr>
  </w:style>
  <w:style w:type="paragraph" w:customStyle="1" w:styleId="ac">
    <w:name w:val="Назва документа"/>
    <w:next w:val="ab"/>
    <w:rsid w:val="00AF4548"/>
    <w:pPr>
      <w:keepNext/>
      <w:keepLines/>
      <w:spacing w:before="240" w:after="240" w:line="240" w:lineRule="auto"/>
      <w:jc w:val="center"/>
    </w:pPr>
    <w:rPr>
      <w:rFonts w:ascii="Antiqua" w:eastAsia="Times New Roman" w:hAnsi="Antiqua" w:cs="Times New Roman"/>
      <w:b/>
      <w:sz w:val="26"/>
      <w:szCs w:val="20"/>
      <w:lang w:eastAsia="ru-RU"/>
    </w:rPr>
  </w:style>
  <w:style w:type="paragraph" w:customStyle="1" w:styleId="ShapkaDocumentu">
    <w:name w:val="Shapka Documentu"/>
    <w:rsid w:val="00AF4548"/>
    <w:pPr>
      <w:keepNext/>
      <w:keepLines/>
      <w:spacing w:after="240" w:line="240" w:lineRule="auto"/>
      <w:ind w:left="3969"/>
      <w:jc w:val="center"/>
    </w:pPr>
    <w:rPr>
      <w:rFonts w:ascii="Antiqua" w:eastAsia="Times New Roman" w:hAnsi="Antiqua" w:cs="Times New Roman"/>
      <w:sz w:val="26"/>
      <w:szCs w:val="20"/>
      <w:lang w:eastAsia="ru-RU"/>
    </w:rPr>
  </w:style>
  <w:style w:type="character" w:customStyle="1" w:styleId="10">
    <w:name w:val="Заголовок 1 Знак"/>
    <w:basedOn w:val="a0"/>
    <w:rsid w:val="002228CE"/>
    <w:rPr>
      <w:rFonts w:ascii="Times New Roman" w:eastAsia="Times New Roman" w:hAnsi="Times New Roman" w:cs="Times New Roman"/>
      <w:b/>
      <w:bCs/>
      <w:sz w:val="48"/>
      <w:szCs w:val="48"/>
      <w:lang w:val="uk" w:eastAsia="uk-UA"/>
    </w:rPr>
  </w:style>
  <w:style w:type="character" w:customStyle="1" w:styleId="20">
    <w:name w:val="Заголовок 2 Знак"/>
    <w:basedOn w:val="a0"/>
    <w:rsid w:val="002228CE"/>
    <w:rPr>
      <w:rFonts w:ascii="Times New Roman" w:eastAsia="Times New Roman" w:hAnsi="Times New Roman" w:cs="Times New Roman"/>
      <w:b/>
      <w:bCs/>
      <w:sz w:val="36"/>
      <w:szCs w:val="36"/>
      <w:lang w:val="uk" w:eastAsia="uk-UA"/>
    </w:rPr>
  </w:style>
  <w:style w:type="character" w:customStyle="1" w:styleId="30">
    <w:name w:val="Заголовок 3 Знак"/>
    <w:basedOn w:val="a0"/>
    <w:rsid w:val="002228CE"/>
    <w:rPr>
      <w:rFonts w:ascii="Times New Roman" w:eastAsia="Times New Roman" w:hAnsi="Times New Roman" w:cs="Times New Roman"/>
      <w:b/>
      <w:bCs/>
      <w:sz w:val="27"/>
      <w:szCs w:val="27"/>
      <w:lang w:val="uk" w:eastAsia="uk-UA"/>
    </w:rPr>
  </w:style>
  <w:style w:type="character" w:customStyle="1" w:styleId="40">
    <w:name w:val="Заголовок 4 Знак"/>
    <w:basedOn w:val="a0"/>
    <w:rsid w:val="002228CE"/>
    <w:rPr>
      <w:rFonts w:ascii="Calibri" w:eastAsia="Calibri" w:hAnsi="Calibri" w:cs="Calibri"/>
      <w:b/>
      <w:bCs/>
      <w:sz w:val="24"/>
      <w:szCs w:val="24"/>
      <w:lang w:val="uk" w:eastAsia="uk-UA"/>
    </w:rPr>
  </w:style>
  <w:style w:type="character" w:customStyle="1" w:styleId="50">
    <w:name w:val="Заголовок 5 Знак"/>
    <w:basedOn w:val="a0"/>
    <w:rsid w:val="002228CE"/>
    <w:rPr>
      <w:rFonts w:ascii="Calibri" w:eastAsia="Calibri" w:hAnsi="Calibri" w:cs="Calibri"/>
      <w:b/>
      <w:bCs/>
      <w:lang w:val="uk" w:eastAsia="uk-UA"/>
    </w:rPr>
  </w:style>
  <w:style w:type="character" w:customStyle="1" w:styleId="60">
    <w:name w:val="Заголовок 6 Знак"/>
    <w:basedOn w:val="a0"/>
    <w:rsid w:val="002228CE"/>
    <w:rPr>
      <w:rFonts w:ascii="Calibri" w:eastAsia="Calibri" w:hAnsi="Calibri" w:cs="Calibri"/>
      <w:b/>
      <w:bCs/>
      <w:sz w:val="20"/>
      <w:szCs w:val="20"/>
      <w:lang w:val="uk" w:eastAsia="uk-UA"/>
    </w:rPr>
  </w:style>
  <w:style w:type="table" w:customStyle="1" w:styleId="TableNormal0">
    <w:name w:val="TableNormal"/>
    <w:rsid w:val="002228CE"/>
    <w:tblPr>
      <w:tblCellMar>
        <w:top w:w="100" w:type="dxa"/>
        <w:left w:w="100" w:type="dxa"/>
        <w:bottom w:w="100" w:type="dxa"/>
        <w:right w:w="100" w:type="dxa"/>
      </w:tblCellMar>
    </w:tblPr>
  </w:style>
  <w:style w:type="character" w:customStyle="1" w:styleId="ad">
    <w:name w:val="Заголовок Знак"/>
    <w:basedOn w:val="a0"/>
    <w:rsid w:val="002228CE"/>
    <w:rPr>
      <w:rFonts w:ascii="Calibri" w:eastAsia="Calibri" w:hAnsi="Calibri" w:cs="Calibri"/>
      <w:b/>
      <w:bCs/>
      <w:sz w:val="72"/>
      <w:szCs w:val="72"/>
      <w:lang w:val="uk" w:eastAsia="uk-UA"/>
    </w:rPr>
  </w:style>
  <w:style w:type="character" w:styleId="ae">
    <w:name w:val="Strong"/>
    <w:basedOn w:val="a0"/>
    <w:uiPriority w:val="22"/>
    <w:qFormat/>
    <w:rsid w:val="002228CE"/>
    <w:rPr>
      <w:b/>
      <w:bCs/>
    </w:rPr>
  </w:style>
  <w:style w:type="table" w:styleId="af">
    <w:name w:val="Table Grid"/>
    <w:basedOn w:val="a1"/>
    <w:uiPriority w:val="39"/>
    <w:rsid w:val="00222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Подзаголовок Знак"/>
    <w:basedOn w:val="a0"/>
    <w:rsid w:val="002228CE"/>
    <w:rPr>
      <w:rFonts w:ascii="Georgia" w:eastAsia="Georgia" w:hAnsi="Georgia" w:cs="Georgia"/>
      <w:i/>
      <w:iCs/>
      <w:color w:val="666666"/>
      <w:sz w:val="48"/>
      <w:szCs w:val="48"/>
      <w:lang w:val="uk" w:eastAsia="uk-UA"/>
    </w:rPr>
  </w:style>
  <w:style w:type="paragraph" w:styleId="af1">
    <w:name w:val="Balloon Text"/>
    <w:link w:val="af2"/>
    <w:uiPriority w:val="99"/>
    <w:semiHidden/>
    <w:unhideWhenUsed/>
    <w:rsid w:val="002228CE"/>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2228CE"/>
    <w:rPr>
      <w:rFonts w:ascii="Segoe UI" w:eastAsia="Calibri" w:hAnsi="Segoe UI" w:cs="Segoe UI"/>
      <w:sz w:val="18"/>
      <w:szCs w:val="18"/>
      <w:lang w:val="uk" w:eastAsia="uk-UA"/>
    </w:rPr>
  </w:style>
  <w:style w:type="paragraph" w:styleId="af3">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paragraph" w:styleId="aff7">
    <w:name w:val="annotation text"/>
    <w:basedOn w:val="a"/>
    <w:link w:val="aff8"/>
    <w:uiPriority w:val="99"/>
    <w:semiHidden/>
    <w:unhideWhenUsed/>
    <w:pPr>
      <w:spacing w:line="240" w:lineRule="auto"/>
    </w:pPr>
    <w:rPr>
      <w:sz w:val="20"/>
      <w:szCs w:val="20"/>
    </w:rPr>
  </w:style>
  <w:style w:type="character" w:customStyle="1" w:styleId="aff8">
    <w:name w:val="Текст примітки Знак"/>
    <w:basedOn w:val="a0"/>
    <w:link w:val="aff7"/>
    <w:uiPriority w:val="99"/>
    <w:semiHidden/>
    <w:rPr>
      <w:sz w:val="20"/>
      <w:szCs w:val="20"/>
    </w:rPr>
  </w:style>
  <w:style w:type="character" w:styleId="aff9">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UNGcDf1DzaAPQHyciul/M14r5g==">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21317</Words>
  <Characters>12152</Characters>
  <Application>Microsoft Office Word</Application>
  <DocSecurity>0</DocSecurity>
  <Lines>101</Lines>
  <Paragraphs>66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Dvigun O.V.</dc:creator>
  <cp:lastModifiedBy>Dvigun O.V.</cp:lastModifiedBy>
  <cp:revision>3</cp:revision>
  <dcterms:created xsi:type="dcterms:W3CDTF">2026-04-10T13:03:00Z</dcterms:created>
  <dcterms:modified xsi:type="dcterms:W3CDTF">2026-04-13T10:25:00Z</dcterms:modified>
</cp:coreProperties>
</file>