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1C" w14:textId="77777777" w:rsidR="00862F5E" w:rsidRPr="00452BA2" w:rsidRDefault="008F6295">
      <w:pPr>
        <w:spacing w:before="240" w:after="240" w:line="240" w:lineRule="auto"/>
        <w:ind w:left="4680"/>
        <w:jc w:val="center"/>
        <w:rPr>
          <w:rFonts w:ascii="Times New Roman" w:eastAsia="Times New Roman" w:hAnsi="Times New Roman" w:cs="Times New Roman"/>
          <w:bCs/>
          <w:sz w:val="28"/>
          <w:szCs w:val="28"/>
        </w:rPr>
      </w:pPr>
      <w:r w:rsidRPr="00452BA2">
        <w:rPr>
          <w:rFonts w:ascii="Times New Roman" w:eastAsia="Times New Roman" w:hAnsi="Times New Roman" w:cs="Times New Roman"/>
          <w:bCs/>
          <w:sz w:val="28"/>
          <w:szCs w:val="28"/>
        </w:rPr>
        <w:t>ЗАТВЕРДЖЕНО</w:t>
      </w:r>
      <w:r w:rsidRPr="00452BA2">
        <w:rPr>
          <w:rFonts w:ascii="Times New Roman" w:eastAsia="Times New Roman" w:hAnsi="Times New Roman" w:cs="Times New Roman"/>
          <w:bCs/>
          <w:sz w:val="28"/>
          <w:szCs w:val="28"/>
        </w:rPr>
        <w:br/>
        <w:t xml:space="preserve"> постановою Кабінету Міністрів України</w:t>
      </w:r>
      <w:r w:rsidRPr="00452BA2">
        <w:rPr>
          <w:rFonts w:ascii="Times New Roman" w:eastAsia="Times New Roman" w:hAnsi="Times New Roman" w:cs="Times New Roman"/>
          <w:bCs/>
          <w:sz w:val="28"/>
          <w:szCs w:val="28"/>
        </w:rPr>
        <w:br/>
        <w:t xml:space="preserve"> від                     </w:t>
      </w:r>
      <w:r w:rsidRPr="00452BA2">
        <w:rPr>
          <w:rFonts w:ascii="Times New Roman" w:eastAsia="Times New Roman" w:hAnsi="Times New Roman" w:cs="Times New Roman"/>
          <w:bCs/>
          <w:sz w:val="28"/>
          <w:szCs w:val="28"/>
        </w:rPr>
        <w:tab/>
        <w:t>2026 р. №</w:t>
      </w:r>
    </w:p>
    <w:p w14:paraId="0000001D" w14:textId="77777777" w:rsidR="00862F5E" w:rsidRDefault="008F6295">
      <w:pPr>
        <w:shd w:val="clear" w:color="auto" w:fill="FFFFFF"/>
        <w:spacing w:before="300" w:after="460" w:line="276" w:lineRule="auto"/>
        <w:ind w:left="460" w:right="4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МЕТОДИЧНІ РЕКОМЕНДАЦІЇ</w:t>
      </w:r>
      <w:r>
        <w:rPr>
          <w:rFonts w:ascii="Times New Roman" w:eastAsia="Times New Roman" w:hAnsi="Times New Roman" w:cs="Times New Roman"/>
          <w:b/>
          <w:bCs/>
          <w:sz w:val="28"/>
          <w:szCs w:val="28"/>
        </w:rPr>
        <w:br/>
        <w:t xml:space="preserve"> щодо особливостей обрання керівника державної наукової установи</w:t>
      </w:r>
    </w:p>
    <w:p w14:paraId="0000001E" w14:textId="77777777" w:rsidR="00862F5E" w:rsidRDefault="008F6295">
      <w:pPr>
        <w:shd w:val="clear" w:color="auto" w:fill="FFFFFF"/>
        <w:spacing w:before="160" w:line="240" w:lineRule="auto"/>
        <w:ind w:left="460" w:right="4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частина</w:t>
      </w:r>
    </w:p>
    <w:p w14:paraId="0000001F"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Ці Методичні рекомендації щодо особливостей обрання керівника державної наукової установи (далі – Методичні рекомендації) розроблені з метою забезпечення єдиних підходів до організації та проведення процедури обрання керівників державних наукових установ, підвищення прозорості, об’єктивності та доброчесності виборчого процесу, запровадження зрозумілих і юридично визначених механізмів оцінювання кандидатів та результатів їх діяльності, а також узгодження управлінських процедур із вимогами законодавства України у сфері науки, запобігання корупції, академічної доброчесності, захисту персональних даних і належного врядування з урахуванням принципів відкритості, підзвітності та ефективного використання державних ресурсів.</w:t>
      </w:r>
    </w:p>
    <w:p w14:paraId="00000020"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застосовуються з урахуванням вимог Законів України «Про наукову і науково-технічну діяльність», «Про запобігання корупції», «Про забезпечення функціонування української мови як державної», «Про академічну доброчесність».</w:t>
      </w:r>
    </w:p>
    <w:p w14:paraId="00000021"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не поширюються на державні комерційні підприємства та казенні підприємства, які відповідно до</w:t>
      </w:r>
      <w:hyperlink r:id="rId8" w:anchor="n7">
        <w:r>
          <w:rPr>
            <w:rFonts w:ascii="Times New Roman" w:eastAsia="Times New Roman" w:hAnsi="Times New Roman" w:cs="Times New Roman"/>
            <w:sz w:val="28"/>
            <w:szCs w:val="28"/>
          </w:rPr>
          <w:t xml:space="preserve"> статті 1</w:t>
        </w:r>
      </w:hyperlink>
      <w:r>
        <w:rPr>
          <w:rFonts w:ascii="Times New Roman" w:eastAsia="Times New Roman" w:hAnsi="Times New Roman" w:cs="Times New Roman"/>
          <w:sz w:val="28"/>
          <w:szCs w:val="28"/>
        </w:rPr>
        <w:t xml:space="preserve"> Закону України «Про наукову і науково-технічну діяльність» належать до наукових установ.</w:t>
      </w:r>
    </w:p>
    <w:p w14:paraId="00000022"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Керівник державної наукової установи (далі – керівник) обирається шляхом таємного голосування колективу штатних наукових працівників державної наукової установи на строк до п’яти років у межах строку, визначеного статутом (положенням) державної наукової установи, з правом бути переобраним і призначається на посаду власником (власниками) наукової установи або уповноваженим ним (ними) органом, або засновником (далі – орган управління) у порядку, передбаченому Законом України «Про наукову і науково-технічну діяльність» і статутом (положенням) державної наукової установи.</w:t>
      </w:r>
    </w:p>
    <w:p w14:paraId="00000023"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й та сама особа не може бути призначена органом управління на посаду керівника відповідної державної наукової установи більше ніж на два строки.</w:t>
      </w:r>
    </w:p>
    <w:p w14:paraId="00000024"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разі зміни найменування та (або) реорганізації (злиття, приєднання, поділу, перетворення або виділу) державної наукової установи, строки перебування особи на посаді керівника підсумовуються.</w:t>
      </w:r>
    </w:p>
    <w:p w14:paraId="00000025" w14:textId="77777777" w:rsidR="00862F5E" w:rsidRDefault="00862F5E">
      <w:pPr>
        <w:shd w:val="clear" w:color="auto" w:fill="FFFFFF"/>
        <w:spacing w:after="0" w:line="240" w:lineRule="auto"/>
        <w:ind w:firstLine="700"/>
        <w:jc w:val="both"/>
        <w:rPr>
          <w:rFonts w:ascii="Times New Roman" w:eastAsia="Times New Roman" w:hAnsi="Times New Roman" w:cs="Times New Roman"/>
          <w:sz w:val="28"/>
          <w:szCs w:val="28"/>
        </w:rPr>
      </w:pPr>
    </w:p>
    <w:p w14:paraId="00000026" w14:textId="31832393"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52BA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Кандидат на посаду керівника повинен:</w:t>
      </w:r>
    </w:p>
    <w:p w14:paraId="00000027"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відповідати вимогам, встановленим частиною третьою статті 9 Закону України «Про наукову і науково-технічну діяльність»;</w:t>
      </w:r>
    </w:p>
    <w:p w14:paraId="00000028" w14:textId="5639FE16"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52BA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володіти державною мовою відповідно до вимог Закону України «Про забезпечення функціонування української мови як державної»;</w:t>
      </w:r>
    </w:p>
    <w:p w14:paraId="00000029" w14:textId="2DA182BC"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52BA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відповідати вимогам Закону України «Про запобігання корупції»;</w:t>
      </w:r>
    </w:p>
    <w:p w14:paraId="0000002A"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не перебувати у статусі особи, щодо якої набрало законної сили рішення суду або уповноваженого законом органу про встановлення факту порушення академічної доброчесності відповідно до Закону України «Про академічну доброчесність»;</w:t>
      </w:r>
    </w:p>
    <w:p w14:paraId="0000002B" w14:textId="3C9ADD7B"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52BA2">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 xml:space="preserve">не бути протягом останніх трьох років притягнутим у встановленому законодавством України порядку до адміністративної або кримінальної відповідальності за порушення законодавства про </w:t>
      </w:r>
      <w:sdt>
        <w:sdtPr>
          <w:tag w:val="goog_rdk_1"/>
          <w:id w:val="1750795441"/>
        </w:sdtPr>
        <w:sdtEndPr/>
        <w:sdtContent/>
      </w:sdt>
      <w:sdt>
        <w:sdtPr>
          <w:tag w:val="goog_rdk_2"/>
          <w:id w:val="228246724"/>
        </w:sdtPr>
        <w:sdtEndPr/>
        <w:sdtContent/>
      </w:sdt>
      <w:r>
        <w:rPr>
          <w:rFonts w:ascii="Times New Roman" w:eastAsia="Times New Roman" w:hAnsi="Times New Roman" w:cs="Times New Roman"/>
          <w:sz w:val="28"/>
          <w:szCs w:val="28"/>
        </w:rPr>
        <w:t>працю.</w:t>
      </w:r>
    </w:p>
    <w:p w14:paraId="0000002C" w14:textId="0153640E"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участі у виборах на посаду керівника державної наукової установи не допускаються особи, щодо яких у встановленому законом порядку застосовано спеціальні економічні та інші обмежувальні заходи (санкції) відповідно до Закону України «Про санкції», а також особи, на яких поширюються передбачені законодавством України обмеження, пов’язані з їх громадянством, місцем проживання або наявністю прямих чи опосередкованих економічних, корпоративних або організаційних зв’язків з Російською Федерацією чи Республікою Білорусь як державою-агресором та державою, що її підтримує, зокрема через участь у юридичних особах, здійснення контролю, </w:t>
      </w:r>
      <w:proofErr w:type="spellStart"/>
      <w:r>
        <w:rPr>
          <w:rFonts w:ascii="Times New Roman" w:eastAsia="Times New Roman" w:hAnsi="Times New Roman" w:cs="Times New Roman"/>
          <w:sz w:val="28"/>
          <w:szCs w:val="28"/>
        </w:rPr>
        <w:t>бенефіціарне</w:t>
      </w:r>
      <w:proofErr w:type="spellEnd"/>
      <w:r>
        <w:rPr>
          <w:rFonts w:ascii="Times New Roman" w:eastAsia="Times New Roman" w:hAnsi="Times New Roman" w:cs="Times New Roman"/>
          <w:sz w:val="28"/>
          <w:szCs w:val="28"/>
        </w:rPr>
        <w:t xml:space="preserve"> володіння, перебування у відносинах підконтрольності або здійснення спільної господарської діяльності.</w:t>
      </w:r>
    </w:p>
    <w:p w14:paraId="7732232E"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2D"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Вибори керівника (далі – вибори) проводяться з дотриманням таких принципів:</w:t>
      </w:r>
    </w:p>
    <w:p w14:paraId="0000002E"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відкритості;</w:t>
      </w:r>
    </w:p>
    <w:p w14:paraId="0000002F"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гласності;</w:t>
      </w:r>
    </w:p>
    <w:p w14:paraId="00000030"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таємного та вільного волевиявлення;</w:t>
      </w:r>
    </w:p>
    <w:p w14:paraId="00000031"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добровільної участі у виборах;</w:t>
      </w:r>
    </w:p>
    <w:p w14:paraId="00000032"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демократичності;</w:t>
      </w:r>
    </w:p>
    <w:p w14:paraId="00000033"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безпечності процедури голосування;</w:t>
      </w:r>
    </w:p>
    <w:p w14:paraId="00000034"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рівності прав учасників виборів;</w:t>
      </w:r>
    </w:p>
    <w:p w14:paraId="00000035"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вимог законодавства у сфері запобігання корупції;</w:t>
      </w:r>
    </w:p>
    <w:p w14:paraId="00000036" w14:textId="40D54F65" w:rsidR="00862F5E" w:rsidRPr="00452BA2" w:rsidRDefault="008F6295" w:rsidP="00452BA2">
      <w:pPr>
        <w:spacing w:after="0" w:line="24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забезпечення дотри</w:t>
      </w:r>
      <w:r w:rsidR="00452BA2">
        <w:rPr>
          <w:rFonts w:ascii="Times New Roman" w:eastAsia="Times New Roman" w:hAnsi="Times New Roman" w:cs="Times New Roman"/>
          <w:sz w:val="28"/>
          <w:szCs w:val="28"/>
        </w:rPr>
        <w:t>мання академічної доброчесності</w:t>
      </w:r>
      <w:r w:rsidR="00452BA2">
        <w:rPr>
          <w:rFonts w:ascii="Times New Roman" w:eastAsia="Times New Roman" w:hAnsi="Times New Roman" w:cs="Times New Roman"/>
          <w:sz w:val="28"/>
          <w:szCs w:val="28"/>
          <w:lang w:val="uk-UA"/>
        </w:rPr>
        <w:t>;</w:t>
      </w:r>
    </w:p>
    <w:p w14:paraId="00000037" w14:textId="534DB768" w:rsidR="00862F5E" w:rsidRDefault="00452BA2"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8F6295">
        <w:rPr>
          <w:rFonts w:ascii="Times New Roman" w:eastAsia="Times New Roman" w:hAnsi="Times New Roman" w:cs="Times New Roman"/>
          <w:sz w:val="28"/>
          <w:szCs w:val="28"/>
        </w:rPr>
        <w:t>абезпечення проведення виборів здійснюється органом управління.</w:t>
      </w:r>
    </w:p>
    <w:p w14:paraId="00000038"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Процедура обрання керівника проводиться у три етапи:</w:t>
      </w:r>
    </w:p>
    <w:p w14:paraId="0000003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оголошення конкурсу та прийом документів від кандидатів на посаду керівника державної наукової установи (далі – кандидати);</w:t>
      </w:r>
    </w:p>
    <w:p w14:paraId="0000003A"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виборів;</w:t>
      </w:r>
    </w:p>
    <w:p w14:paraId="0000003B"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виборів.</w:t>
      </w:r>
    </w:p>
    <w:p w14:paraId="0000003C" w14:textId="77777777" w:rsidR="00862F5E" w:rsidRDefault="00862F5E">
      <w:pPr>
        <w:shd w:val="clear" w:color="auto" w:fill="FFFFFF"/>
        <w:spacing w:before="240" w:after="0" w:line="240" w:lineRule="auto"/>
        <w:ind w:firstLine="700"/>
        <w:jc w:val="both"/>
        <w:rPr>
          <w:rFonts w:ascii="Times New Roman" w:eastAsia="Times New Roman" w:hAnsi="Times New Roman" w:cs="Times New Roman"/>
          <w:sz w:val="28"/>
          <w:szCs w:val="28"/>
        </w:rPr>
      </w:pPr>
    </w:p>
    <w:p w14:paraId="0000003D" w14:textId="77777777" w:rsidR="00862F5E" w:rsidRDefault="008F6295">
      <w:pPr>
        <w:shd w:val="clear" w:color="auto" w:fill="FFFFFF"/>
        <w:spacing w:after="0" w:line="240" w:lineRule="auto"/>
        <w:ind w:right="4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Оголошення про проведення конкурсу</w:t>
      </w:r>
    </w:p>
    <w:p w14:paraId="0000003E" w14:textId="77777777" w:rsidR="00862F5E" w:rsidRDefault="008F6295">
      <w:pPr>
        <w:shd w:val="clear" w:color="auto" w:fill="FFFFFF"/>
        <w:spacing w:after="0" w:line="240" w:lineRule="auto"/>
        <w:ind w:right="4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 прийом документів від кандидатів</w:t>
      </w:r>
    </w:p>
    <w:p w14:paraId="0000003F" w14:textId="77777777" w:rsidR="00862F5E" w:rsidRDefault="008F6295">
      <w:pPr>
        <w:shd w:val="clear" w:color="auto" w:fill="FFFFFF"/>
        <w:spacing w:after="0" w:line="240" w:lineRule="auto"/>
        <w:ind w:right="4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0"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Конкурс оголошується органом управління.</w:t>
      </w:r>
    </w:p>
    <w:p w14:paraId="00000041"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Орган управління не пізніше ніж за два місяці до закінчення строку контракту особи, яка займає посаду керівника, або протягом одного тижня з дня утворення вакансії опубліковує в офіційному друкованому виданні оголошення про проведення конкурсу з одночасним розміщенням його на своєму вебсайті (за наявності), офіційному вебсайті органу, до сфери управління якого він належить (у віданні якого перебуває), та інформує про це МОН.</w:t>
      </w:r>
    </w:p>
    <w:p w14:paraId="00000042"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Оголошення про конкурс дублюється англійською мовою на офіційному вебсайті установи та МОН, а також на міжнародних порталах (на платформі «Українська наукова діаспора», EURAXESS тощо).</w:t>
      </w:r>
    </w:p>
    <w:p w14:paraId="00000043" w14:textId="71C72082"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 управління може оприлюднювати таке оголошення також в інших засобах масової інформації.</w:t>
      </w:r>
    </w:p>
    <w:p w14:paraId="7F371CD9" w14:textId="77777777" w:rsidR="00452BA2" w:rsidRDefault="00452BA2" w:rsidP="00452BA2">
      <w:pPr>
        <w:spacing w:after="0" w:line="240" w:lineRule="auto"/>
        <w:ind w:firstLine="697"/>
        <w:jc w:val="both"/>
        <w:rPr>
          <w:rFonts w:ascii="Times New Roman" w:eastAsia="Times New Roman" w:hAnsi="Times New Roman" w:cs="Times New Roman"/>
          <w:sz w:val="28"/>
          <w:szCs w:val="28"/>
        </w:rPr>
      </w:pPr>
    </w:p>
    <w:p w14:paraId="00000044"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Оголошення про проведення конкурсу містить:</w:t>
      </w:r>
    </w:p>
    <w:p w14:paraId="0000004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повне найменування державної наукової установи;</w:t>
      </w:r>
    </w:p>
    <w:p w14:paraId="00000046"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інформацію про строк подання кандидатами документів, перелік яких зазначений у</w:t>
      </w:r>
      <w:hyperlink r:id="rId9" w:anchor="n40">
        <w:r>
          <w:rPr>
            <w:rFonts w:ascii="Times New Roman" w:eastAsia="Times New Roman" w:hAnsi="Times New Roman" w:cs="Times New Roman"/>
            <w:sz w:val="28"/>
            <w:szCs w:val="28"/>
          </w:rPr>
          <w:t xml:space="preserve"> пункті 10</w:t>
        </w:r>
      </w:hyperlink>
      <w:r>
        <w:rPr>
          <w:rFonts w:ascii="Times New Roman" w:eastAsia="Times New Roman" w:hAnsi="Times New Roman" w:cs="Times New Roman"/>
          <w:sz w:val="28"/>
          <w:szCs w:val="28"/>
        </w:rPr>
        <w:t xml:space="preserve"> цих Методичних рекомендацій;</w:t>
      </w:r>
    </w:p>
    <w:p w14:paraId="0000004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адресу, за якою здійснюється прийом документів;</w:t>
      </w:r>
    </w:p>
    <w:p w14:paraId="00000048"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контактну інформацію (номер телефону, адресу електронної пошти);</w:t>
      </w:r>
    </w:p>
    <w:p w14:paraId="0000004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інформацію про дату проведення виборів.</w:t>
      </w:r>
    </w:p>
    <w:p w14:paraId="0000004A"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Кандидати можуть бути висунуті колективом штатних наукових працівників державної наукової установи чи її структурним підрозділом, первинною профспілковою організацією працівників, а також шляхом </w:t>
      </w:r>
      <w:proofErr w:type="spellStart"/>
      <w:r>
        <w:rPr>
          <w:rFonts w:ascii="Times New Roman" w:eastAsia="Times New Roman" w:hAnsi="Times New Roman" w:cs="Times New Roman"/>
          <w:sz w:val="28"/>
          <w:szCs w:val="28"/>
        </w:rPr>
        <w:t>самовисування</w:t>
      </w:r>
      <w:proofErr w:type="spellEnd"/>
      <w:r>
        <w:rPr>
          <w:rFonts w:ascii="Times New Roman" w:eastAsia="Times New Roman" w:hAnsi="Times New Roman" w:cs="Times New Roman"/>
          <w:sz w:val="28"/>
          <w:szCs w:val="28"/>
        </w:rPr>
        <w:t xml:space="preserve"> або в іншому порядку, визначеному статутом (положенням) державної наукової установи.</w:t>
      </w:r>
    </w:p>
    <w:p w14:paraId="0000004B"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Кандидати подають для участі у конкурсі такі документи:</w:t>
      </w:r>
    </w:p>
    <w:p w14:paraId="0000004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заяву про участь у конкурсі на ім’я керівника органу управління, з наданням згоди на проведення спеціальної перевірки відповідно до Закону України «Про запобігання корупції» та на обробку персональних даних відповідно до</w:t>
      </w:r>
      <w:hyperlink r:id="rId10">
        <w:r>
          <w:rPr>
            <w:rFonts w:ascii="Times New Roman" w:eastAsia="Times New Roman" w:hAnsi="Times New Roman" w:cs="Times New Roman"/>
            <w:sz w:val="28"/>
            <w:szCs w:val="28"/>
          </w:rPr>
          <w:t xml:space="preserve"> Закону України</w:t>
        </w:r>
      </w:hyperlink>
      <w:r>
        <w:rPr>
          <w:rFonts w:ascii="Times New Roman" w:eastAsia="Times New Roman" w:hAnsi="Times New Roman" w:cs="Times New Roman"/>
          <w:sz w:val="28"/>
          <w:szCs w:val="28"/>
        </w:rPr>
        <w:t xml:space="preserve"> «Про захист персональних даних»;</w:t>
      </w:r>
    </w:p>
    <w:p w14:paraId="0000004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резюме у довільній формі;</w:t>
      </w:r>
    </w:p>
    <w:p w14:paraId="0000004E" w14:textId="56A1CD6C"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особовий листок з обліку </w:t>
      </w:r>
      <w:r w:rsidR="00452BA2">
        <w:rPr>
          <w:rFonts w:ascii="Times New Roman" w:eastAsia="Times New Roman" w:hAnsi="Times New Roman" w:cs="Times New Roman"/>
          <w:sz w:val="28"/>
          <w:szCs w:val="28"/>
        </w:rPr>
        <w:t>кадрів з фотографією розміром 3</w:t>
      </w:r>
      <w:r w:rsidR="00452BA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х 4 сантиметри;</w:t>
      </w:r>
    </w:p>
    <w:p w14:paraId="0000004F"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документів про вищу освіту, науковий ступінь та вчене звання;</w:t>
      </w:r>
    </w:p>
    <w:p w14:paraId="00000050"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довідку про відсутність судимості;</w:t>
      </w:r>
    </w:p>
    <w:p w14:paraId="00000051"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інформаційну довідку з Єдиного державного реєстру осіб, які вчинили корупційні правопорушення;</w:t>
      </w:r>
    </w:p>
    <w:p w14:paraId="00000052"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копію декларації особи, уповноваженої на виконання функцій держави або місцевого самоврядування, за рік, що передує року, в якому було оприлюднено оголошення про конкурс, та посилання на відповідну сторінку Єдиного державного реєстру декларацій осіб, уповноважених на виконання функцій держави або місцевого самоврядування;</w:t>
      </w:r>
    </w:p>
    <w:p w14:paraId="00000053" w14:textId="77777777" w:rsidR="00862F5E" w:rsidRPr="00452BA2"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копію паспорта громадянина України (для паспорту у формі книжечки – сторінки 1, 2 та сторінку з відміткою про реєстрацію місця проживання; для паспорту у формі ID-картки – разом із витягом із реєстру територіальної громади щодо реєстрації місця проживання особи) або сформований засобами Єдиного державного </w:t>
      </w:r>
      <w:proofErr w:type="spellStart"/>
      <w:r>
        <w:rPr>
          <w:rFonts w:ascii="Times New Roman" w:eastAsia="Times New Roman" w:hAnsi="Times New Roman" w:cs="Times New Roman"/>
          <w:sz w:val="28"/>
          <w:szCs w:val="28"/>
        </w:rPr>
        <w:t>вебпорталу</w:t>
      </w:r>
      <w:proofErr w:type="spellEnd"/>
      <w:r>
        <w:rPr>
          <w:rFonts w:ascii="Times New Roman" w:eastAsia="Times New Roman" w:hAnsi="Times New Roman" w:cs="Times New Roman"/>
          <w:sz w:val="28"/>
          <w:szCs w:val="28"/>
        </w:rPr>
        <w:t xml:space="preserve"> електронних послуг (Портал Дія) е-паспорт; </w:t>
      </w:r>
      <w:r w:rsidRPr="00452BA2">
        <w:rPr>
          <w:rFonts w:ascii="Times New Roman" w:eastAsia="Times New Roman" w:hAnsi="Times New Roman" w:cs="Times New Roman"/>
          <w:sz w:val="28"/>
          <w:szCs w:val="28"/>
        </w:rPr>
        <w:t>або</w:t>
      </w:r>
      <w:r w:rsidRPr="00452BA2">
        <w:t xml:space="preserve"> </w:t>
      </w:r>
      <w:r w:rsidRPr="00452BA2">
        <w:rPr>
          <w:rFonts w:ascii="Times New Roman" w:eastAsia="Times New Roman" w:hAnsi="Times New Roman" w:cs="Times New Roman"/>
          <w:sz w:val="28"/>
          <w:szCs w:val="28"/>
        </w:rPr>
        <w:t>копію паспортного документа іноземця та копію посвідки на постійне або тимчасове проживання в Україні (за наявності), разом із документом, що підтверджує реєстрацію місця проживання на території України (у разі наявності у кандидата громадянства (підданства) іншої держави (інших держав), додатково подаються копії відповідних паспортних документів);</w:t>
      </w:r>
    </w:p>
    <w:p w14:paraId="00000054" w14:textId="77777777" w:rsidR="00862F5E" w:rsidRDefault="008F6295" w:rsidP="00452BA2">
      <w:pPr>
        <w:pBdr>
          <w:top w:val="nil"/>
          <w:left w:val="nil"/>
          <w:bottom w:val="nil"/>
          <w:right w:val="nil"/>
          <w:between w:val="nil"/>
        </w:pBd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відомості про стаж роботи, досвід роботи на відповідних посадах згідно з вимогами, передбаченими частиною третьою статті 9 Закону України «Про наукову і науково-технічну діяльність», та іншими умовами конкурсу;</w:t>
      </w:r>
    </w:p>
    <w:p w14:paraId="00000055" w14:textId="77777777" w:rsidR="00862F5E" w:rsidRDefault="008F6295" w:rsidP="00452BA2">
      <w:pPr>
        <w:pBdr>
          <w:top w:val="nil"/>
          <w:left w:val="nil"/>
          <w:bottom w:val="nil"/>
          <w:right w:val="nil"/>
          <w:between w:val="nil"/>
        </w:pBd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копію Державного сертифіката про рівень володіння державною мовою (витяг з реєстру Державних сертифікатів про рівень володіння державною мовою), що підтверджує рівень володіння державною мовою, визначений Національною комісією зі стандартів державної мови або документ про повну загальну середню освіту за умови, що такий документ підтверджує вивчення особою української мови як навчального предмета (дисципліни);</w:t>
      </w:r>
    </w:p>
    <w:p w14:paraId="00000056"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виборчу програму, що містить план з конкретними показниками на 5 років (далі – виборча програма).</w:t>
      </w:r>
    </w:p>
    <w:p w14:paraId="0000005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Виборча програма – це документ, у якому кандидат викладає свої пропозиції щодо концепції розвитку державної наукової установи на п’ятирічний строк. Вона містить опис пріоритетних кроків кандидата у разі його обрання, зокрема щодо наукової діяльності, кадрової політики, залучення фінансування, міжнародного співробітництва, модернізації матеріально-технічної бази та забезпечення академічної доброчесності; положення виборчої програми враховуються під час укладення контракту з керівником та формування системи оцінювання його діяльності.</w:t>
      </w:r>
    </w:p>
    <w:p w14:paraId="00000058" w14:textId="77777777"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документів, які подаються кандидатом (крім копії паспорта), мають бути засвідчені в установленому порядку.</w:t>
      </w:r>
    </w:p>
    <w:p w14:paraId="00000059" w14:textId="77777777"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 управління може встановити додаткові кваліфікаційні та інші вимоги до кандидатів, що випливають із специфіки діяльності наукової установи.</w:t>
      </w:r>
    </w:p>
    <w:p w14:paraId="0000005A"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Кандидати можуть подавати додаткову інформацію, яка підтверджує відповідність встановленим вимогам, зокрема, стосовно рівня володіння іноземною мовою, досвіду управління міжнародними проектами, професійних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репутації (характеристики, рекомендації, наукові публікації тощо).</w:t>
      </w:r>
    </w:p>
    <w:p w14:paraId="0000005B"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Прийом документів кандидатів здійснюється органом управління протягом двох місяців з дня опублікування оголошення про проведення конкурсу.</w:t>
      </w:r>
    </w:p>
    <w:p w14:paraId="0000005C"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надсилання документів поштою, датою подання документів вважається дата, зазначена на поштовому штемпелі.</w:t>
      </w:r>
    </w:p>
    <w:p w14:paraId="0000005D"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Документи, подані кандидатами після закінчення встановленого строку, не розглядаються та повертаються особам, які їх подали.</w:t>
      </w:r>
    </w:p>
    <w:p w14:paraId="0000005E" w14:textId="13666056" w:rsidR="00862F5E" w:rsidRDefault="008F6295" w:rsidP="00452BA2">
      <w:pPr>
        <w:spacing w:after="0" w:line="24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Особа, яка перемогла у конкурсі на заміщення посади керівника, надає органу управління для ознайомлення оригінали документів, зазначених у</w:t>
      </w:r>
      <w:hyperlink r:id="rId11" w:anchor="n40">
        <w:r>
          <w:rPr>
            <w:rFonts w:ascii="Times New Roman" w:eastAsia="Times New Roman" w:hAnsi="Times New Roman" w:cs="Times New Roman"/>
            <w:sz w:val="28"/>
            <w:szCs w:val="28"/>
          </w:rPr>
          <w:t xml:space="preserve"> пункті 10</w:t>
        </w:r>
      </w:hyperlink>
      <w:r w:rsidR="005F6129">
        <w:rPr>
          <w:rFonts w:ascii="Times New Roman" w:eastAsia="Times New Roman" w:hAnsi="Times New Roman" w:cs="Times New Roman"/>
          <w:sz w:val="28"/>
          <w:szCs w:val="28"/>
        </w:rPr>
        <w:t xml:space="preserve"> цих Методичних рекомендацій</w:t>
      </w:r>
      <w:r w:rsidR="005F6129">
        <w:rPr>
          <w:rFonts w:ascii="Times New Roman" w:eastAsia="Times New Roman" w:hAnsi="Times New Roman" w:cs="Times New Roman"/>
          <w:sz w:val="28"/>
          <w:szCs w:val="28"/>
          <w:lang w:val="uk-UA"/>
        </w:rPr>
        <w:t>.</w:t>
      </w:r>
    </w:p>
    <w:p w14:paraId="598A6FC0" w14:textId="77777777" w:rsidR="005F6129" w:rsidRPr="005F6129" w:rsidRDefault="005F6129" w:rsidP="00452BA2">
      <w:pPr>
        <w:spacing w:after="0" w:line="240" w:lineRule="auto"/>
        <w:ind w:firstLine="697"/>
        <w:jc w:val="both"/>
        <w:rPr>
          <w:rFonts w:ascii="Times New Roman" w:eastAsia="Times New Roman" w:hAnsi="Times New Roman" w:cs="Times New Roman"/>
          <w:sz w:val="28"/>
          <w:szCs w:val="28"/>
          <w:lang w:val="uk-UA"/>
        </w:rPr>
      </w:pPr>
      <w:bookmarkStart w:id="0" w:name="_GoBack"/>
      <w:bookmarkEnd w:id="0"/>
    </w:p>
    <w:p w14:paraId="0000005F"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Орган управління проводить перевірку відповідності кандидатів вимогам до керівника, встановлених пунктом 3 цих Методичних рекомендацій, додатковим вимогам, установленим органом управління, і протягом 20 календарних днів з дати завершення строку подання кандидатами документів подає перелік кандидатів на розгляд зборів колективу штатних наукових працівників державної наукової установи.</w:t>
      </w:r>
    </w:p>
    <w:p w14:paraId="00000060"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виборчих програм кандидатів орган управління може створювати експертну раду, висновок якої має рекомендаційний характер для виборців.</w:t>
      </w:r>
    </w:p>
    <w:p w14:paraId="00000061" w14:textId="77777777" w:rsidR="00862F5E" w:rsidRDefault="008F6295">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Орган управління письмово повідомляє усім кандидатам, які своєчасно подали документи для участі в конкурсі, про прийняте рішення щодо їх кандидатур не пізніше ніж протягом десяти календарних днів з дати закінчення строку подання кандидатами документів.</w:t>
      </w:r>
    </w:p>
    <w:p w14:paraId="00000062"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Кандидат має право:</w:t>
      </w:r>
    </w:p>
    <w:p w14:paraId="00000063"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проводити зустрічі з колективом штатних наукових працівників державної наукової установи;</w:t>
      </w:r>
    </w:p>
    <w:p w14:paraId="00000064"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визначати не більше двох спостерігачів за ходом голосування;</w:t>
      </w:r>
    </w:p>
    <w:p w14:paraId="00000065"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бути присутнім під час голосування за місцем його проведення;</w:t>
      </w:r>
    </w:p>
    <w:p w14:paraId="00000066"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бути присутнім під час проведення підрахунку голосів та складення протоколу про результати голосування.</w:t>
      </w:r>
    </w:p>
    <w:p w14:paraId="00000067"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може мати інші права, які випливають з його участі у виборах і передбачені статутом державної наукової установи.</w:t>
      </w:r>
    </w:p>
    <w:p w14:paraId="00000068"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кандидати мають рівні права.</w:t>
      </w:r>
    </w:p>
    <w:p w14:paraId="00000069" w14:textId="77777777" w:rsidR="00862F5E" w:rsidRDefault="008F6295">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Оприлюднення кандидатами виборчих програм та їх обговорення здійснюються на зустрічах та зборах колективу штатних наукових працівників державної наукової установи</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без будь-яких обмежень.</w:t>
      </w:r>
    </w:p>
    <w:p w14:paraId="0000006A" w14:textId="77777777" w:rsidR="00862F5E" w:rsidRDefault="008F6295">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Виборчі програми кандидатів та відеозаписи їх презентацій розміщуються на офіційному вебсайті державної наукової установи не пізніше ніж на третій день з дати отримання від органу управління переліку кандидатів.</w:t>
      </w:r>
    </w:p>
    <w:p w14:paraId="0000006B" w14:textId="77777777" w:rsidR="00862F5E" w:rsidRDefault="008F6295">
      <w:pPr>
        <w:shd w:val="clear" w:color="auto" w:fill="FFFFFF"/>
        <w:spacing w:before="160" w:line="240" w:lineRule="auto"/>
        <w:ind w:left="460" w:right="4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виборів</w:t>
      </w:r>
    </w:p>
    <w:p w14:paraId="0000006C"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Вибори призначаються не пізніше ніж на двадцятий день з дати отримання від органу управління переліку кандидатів.</w:t>
      </w:r>
    </w:p>
    <w:p w14:paraId="0000006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Право голосу має особа, яка обіймає посаду штатного наукового працівника державної наукової установи за основним місцем роботи станом на дату формування списку виборців.</w:t>
      </w:r>
    </w:p>
    <w:p w14:paraId="0000006E"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голосу мають також штатні наукові працівники державної наукової установи, які на момент проведення виборів проходять військову службу за призовом під час мобілізації, на особливий період, або військову службу за контрактом, та за якими згідно із законом зберігається місце роботи і посада. </w:t>
      </w:r>
    </w:p>
    <w:p w14:paraId="0000006F"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Організаційний комітет зобов’язаний забезпечити умови для реалізації права голосу такими працівниками, шляхом електронного голосування з використанням відповідного програмного забезпечення (засобу), що гарантує таємність та вільне волевиявлення, за умови технічної можливості та підтвердження особи.</w:t>
      </w:r>
    </w:p>
    <w:p w14:paraId="00000070"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Штатний науковий працівник державної наукової установи, який на момент проведення виборів перебуває у відпустці, також має право голосу. Якщо на посаді, яку займає такий штатний науковий працівник, у період його відпустки (у випадках, передбачених законодавством України) перебуває інша особа, вона також має право голосу.</w:t>
      </w:r>
    </w:p>
    <w:p w14:paraId="00000071"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Керівник видає протягом семи календарних днів з дати опублікування оголошення про проведення конкурсу наказ про організацію виборів, в якому, зокрема, визначається:</w:t>
      </w:r>
    </w:p>
    <w:p w14:paraId="00000072"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персональний склад організаційного комітету з проведення виборів (далі – організаційний комітет);</w:t>
      </w:r>
    </w:p>
    <w:p w14:paraId="00000073"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персональний склад виборчої комісії;</w:t>
      </w:r>
    </w:p>
    <w:p w14:paraId="00000074"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персональний склад дільничної виборчої комісії (у разі її утворення).</w:t>
      </w:r>
    </w:p>
    <w:p w14:paraId="0000007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Пропозиції щодо персонального складу організаційного комітету та виборчих комісій подаються вченою радою державної наукової установи.</w:t>
      </w:r>
    </w:p>
    <w:p w14:paraId="00000076" w14:textId="78808D91"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 включені до складу організаційного комітету, виборчої комісії, дільничної виборчої комісії (у разі її утворення) зобов’язані до початку виконання повноважень письмово повідомити керівника про відсутність реального чи потенційного конфлікту інтересів відповідно до Закону України «Про запобігання корупції». У разі виникнення конфлікту інтересів така особа підлягає заміні.</w:t>
      </w:r>
    </w:p>
    <w:p w14:paraId="76C3DD2C" w14:textId="77777777" w:rsidR="00452BA2" w:rsidRDefault="00452BA2" w:rsidP="00452BA2">
      <w:pPr>
        <w:shd w:val="clear" w:color="auto" w:fill="FFFFFF"/>
        <w:spacing w:after="0" w:line="240" w:lineRule="auto"/>
        <w:ind w:firstLine="700"/>
        <w:jc w:val="both"/>
        <w:rPr>
          <w:rFonts w:ascii="Times New Roman" w:eastAsia="Times New Roman" w:hAnsi="Times New Roman" w:cs="Times New Roman"/>
          <w:sz w:val="28"/>
          <w:szCs w:val="28"/>
        </w:rPr>
      </w:pPr>
    </w:p>
    <w:p w14:paraId="0000007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У разі коли у виборах беруть участь більш як 500 осіб, а також за наявності у структурі державної наукової установи відокремлених структурних підрозділів, у тому числі територіальних, організаційний комітет може утворювати виборчі дільниці та дільничні виборчі комісії. При цьому виборча комісія, утворена наказом про організацію виборів керівника, має статус головної виборчої комісії.</w:t>
      </w:r>
    </w:p>
    <w:p w14:paraId="00000078" w14:textId="026C9801"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Організаційний комітет оприлюднює в одноденний строк з використанням інформаційних ресурсів державної наукової установи (дошки оголошень, офіційного </w:t>
      </w:r>
      <w:proofErr w:type="spellStart"/>
      <w:r>
        <w:rPr>
          <w:rFonts w:ascii="Times New Roman" w:eastAsia="Times New Roman" w:hAnsi="Times New Roman" w:cs="Times New Roman"/>
          <w:sz w:val="28"/>
          <w:szCs w:val="28"/>
        </w:rPr>
        <w:t>вебсайту</w:t>
      </w:r>
      <w:proofErr w:type="spellEnd"/>
      <w:r>
        <w:rPr>
          <w:rFonts w:ascii="Times New Roman" w:eastAsia="Times New Roman" w:hAnsi="Times New Roman" w:cs="Times New Roman"/>
          <w:sz w:val="28"/>
          <w:szCs w:val="28"/>
        </w:rPr>
        <w:t xml:space="preserve"> тощо) рішення про утворення виборчих дільниць та дільничних виборчих комісій.</w:t>
      </w:r>
    </w:p>
    <w:p w14:paraId="1B100D59"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7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Організаційний комітет, виборча комісія та дільнична виборча комісія (у разі її утворення) діють відповідно до статуту (положення) державної наукової установи та положень про них, які затверджуються вченою радою державної наукової установи за погодженням з виборним органом первинної профспілкової організації державної наукової установи.</w:t>
      </w:r>
    </w:p>
    <w:p w14:paraId="0000007A"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організаційного комітету, виборчої комісії, дільничної виборчої комісії (у разі її утворення) включаються наукові та інші працівники державної наукової установи.</w:t>
      </w:r>
    </w:p>
    <w:p w14:paraId="0000007B"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не може бути членом організаційного комітету, виборчої комісії чи дільничної виборчої комісії (у разі її утворення). Одна і та сама особа не може бути одночасно членом організаційного комітету, виборчої комісії чи дільничної виборчої комісії (у разі її утворення).</w:t>
      </w:r>
    </w:p>
    <w:p w14:paraId="0000007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Організаційний комітет, виборча комісія, дільнична виборча комісія (у разі її утворення) обирають на першому засіданні із свого складу голову, заступника голови та секретаря.</w:t>
      </w:r>
    </w:p>
    <w:p w14:paraId="0000007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Особи, які є членами організаційного комітету, виборчої комісії або дільничної виборчої комісії (у разі її утворення) здійснюють свої повноваження на громадських засадах і на час виконання ними зазначених повноважень звільняються від основної роботи у державній науковій установі, у якій проводяться вибори, із збереженням за ними заробітної плати.</w:t>
      </w:r>
    </w:p>
    <w:p w14:paraId="0000007E"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Керівник зобов’язаний забезпечити створення належних умов для роботи організаційного комітету, виборчої комісії та дільничної виборчої комісії (у разі її утворення), подавати інформацію і документи, необхідні для виконання покладених на них завдань, а також надати організаційному комітетові, виборчій комісії та дільничній виборчій комісії (у разі її утворення) окремі придатні для роботи приміщення, забезпечити наявність у таких приміщеннях необхідних засобів зв’язку, оргтехніки тощо.</w:t>
      </w:r>
    </w:p>
    <w:p w14:paraId="0000007F"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дії воєнного стану керівник зобов’язаний забезпечити розробку та затвердження окремого Плану евакуаційних заходів у разі оголошення сигналу «Повітряна тривога» під час виборчого процесу, що має містити чіткий алгоритм дій членів виборчої комісії щодо збереження виборчої документації та скриньок; маршрути руху до укриття; а також порядок дій після отримання сповіщення про відміну повітряної тривоги.</w:t>
      </w:r>
    </w:p>
    <w:p w14:paraId="00000080"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Організаційний комітет складає та подає виборчій комісії список осіб, які мають право брати участь у виборах (далі – список виборців), не пізніше ніж за сім календарних днів до дати проведення виборів.</w:t>
      </w:r>
    </w:p>
    <w:p w14:paraId="00000081"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утворення дільничних виборчих комісій список виборців передається головною виборчою комісією дільничним виборчим комісіям не пізніше наступного дня після його надходження від організаційного комітету.</w:t>
      </w:r>
    </w:p>
    <w:p w14:paraId="00000082" w14:textId="1AC6ED50"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Кандидат має право зняти свою кандидатуру шляхом подання письмової заяви до організаційного комітету не пізніше ніж за 24 години до початку виборів. Така інформація невідкладно доводиться організаційним комітетом до відома виборчої комісії (головною виборчою комісією – до відома дільничних виборчих комісій у разі їх утворення) для внесення відповідних змін до бюлетенів для голосування.</w:t>
      </w:r>
    </w:p>
    <w:p w14:paraId="5C8AE88F" w14:textId="77777777" w:rsidR="00452BA2" w:rsidRDefault="00452BA2">
      <w:pPr>
        <w:shd w:val="clear" w:color="auto" w:fill="FFFFFF"/>
        <w:spacing w:before="240" w:after="0" w:line="240" w:lineRule="auto"/>
        <w:ind w:firstLine="700"/>
        <w:jc w:val="both"/>
        <w:rPr>
          <w:rFonts w:ascii="Times New Roman" w:eastAsia="Times New Roman" w:hAnsi="Times New Roman" w:cs="Times New Roman"/>
          <w:sz w:val="28"/>
          <w:szCs w:val="28"/>
        </w:rPr>
      </w:pPr>
    </w:p>
    <w:p w14:paraId="00000083" w14:textId="66B4535F"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Бюлетені для голосування виготовляються виборчою комісією (у разі утворення дільничних виборчих комісій – дільничними виборчими комісіями) не раніше ніж за 20 і не пізніше ніж за 12 годин до початку виборів у кількості, що відповідає кількості осіб, які мають право брати участь у виборах (далі – виборці) та включені до списку виборців (у разі утворення виборчих дільниць – у кількості, що відповідає кількості осіб, включених до списку виборців на виборчій дільниці), посвідчуються на зворотному боці підписом голови та секретаря виборчої комісії, що виготовляє бюлетені, та скріплюються печаткою державної наукової установи або її відокремленого структурного підрозділу.</w:t>
      </w:r>
    </w:p>
    <w:p w14:paraId="00000084" w14:textId="6853334D"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Кандидати та спостерігачі мають право бути присутніми під час виготовлення бюлетенів для голосування.</w:t>
      </w:r>
    </w:p>
    <w:p w14:paraId="5AE40A35"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8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 Форма бюлетеня для голосування затверджується органом управління.</w:t>
      </w:r>
    </w:p>
    <w:p w14:paraId="00000086"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Бюлетені для голосування зберігаються у приміщенні виборчої комісії (дільничної виборчої комісії у разі її утворення)</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у закритому сейфі (металевій шафі), який опечатується стрічкою з проставлянням на ній підписів голови комісії, а також його заступника або секретаря.</w:t>
      </w:r>
    </w:p>
    <w:p w14:paraId="0000008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Персональна відповідальність за відповідність кількості бюлетенів кількості виборців та збереження бюлетенів покладається на голову виборчої комісії.</w:t>
      </w:r>
    </w:p>
    <w:p w14:paraId="00000088"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Скриньки для голосування повинні бути прозорі, опломбовані та опечатані печаткою державної наукової установи або її відокремленого структурного підрозділу.</w:t>
      </w:r>
    </w:p>
    <w:p w14:paraId="00000089" w14:textId="77777777" w:rsidR="00862F5E" w:rsidRDefault="008F6295">
      <w:pPr>
        <w:shd w:val="clear" w:color="auto" w:fill="FFFFFF"/>
        <w:spacing w:before="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Порядок організації роботи спостерігачів визначається організаційним комітетом.</w:t>
      </w:r>
    </w:p>
    <w:p w14:paraId="0000008A" w14:textId="77777777" w:rsidR="00862F5E" w:rsidRDefault="008F6295">
      <w:pPr>
        <w:shd w:val="clear" w:color="auto" w:fill="FFFFFF"/>
        <w:spacing w:before="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виборів</w:t>
      </w:r>
    </w:p>
    <w:p w14:paraId="0000008B"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shd w:val="clear" w:color="auto" w:fill="990000"/>
        </w:rPr>
      </w:pPr>
      <w:r>
        <w:rPr>
          <w:rFonts w:ascii="Times New Roman" w:eastAsia="Times New Roman" w:hAnsi="Times New Roman" w:cs="Times New Roman"/>
          <w:sz w:val="28"/>
          <w:szCs w:val="28"/>
        </w:rPr>
        <w:t>30. Вибори проводяться шляхом таємного голосування, яке здійснюється з 9 до 15 години. Таємне голосування може проводитися у формі фізичного опускання бюлетенів до скриньок у приміщенні державної наукової установи та її відокремлених структурних підрозділах, або шляхом електронного голосування з використанням відповідного програмного забезпечення (засобу).</w:t>
      </w:r>
    </w:p>
    <w:p w14:paraId="0000008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спосіб проведення процедури голосування приймає організаційний комітет.</w:t>
      </w:r>
    </w:p>
    <w:p w14:paraId="0000008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якщо всі штатні працівники державної наукової установи та її відокремлених структурних підрозділів, що включені до списків голосування, проголосували до 15 години, то виборчі дільниці можуть бути зачинені раніше.</w:t>
      </w:r>
    </w:p>
    <w:p w14:paraId="0000008E"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неможливості фізичної присутності штатного наукового працівника, який має право голосувати, в приміщенні, де проводяться вибори (відрядження, лікарняний, дистанційна робота, проходження військової служби тощо), за рішенням організаційного комітету має бути організоване електронне голосування із використанням програмного забезпечення (засобу). </w:t>
      </w:r>
    </w:p>
    <w:p w14:paraId="0000008F"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електронного голосування оформлюються окремим протоколом виборчої комісії та додаються до загального підрахунку голосів.</w:t>
      </w:r>
    </w:p>
    <w:p w14:paraId="00000090" w14:textId="77777777" w:rsidR="00862F5E" w:rsidRDefault="008F6295" w:rsidP="00452BA2">
      <w:pPr>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застосування електронного голосування організаційний комітет зобов’язаний не пізніше ніж за п’ять робочих днів до дати проведення виборів оприлюднити на офіційному вебсайті установи та розіслати на електронні адреси працівників детальну інструкцію щодо процедури електронного голосування, яка містить опис технічних засобів ідентифікації, етапи авторизації та порядок підтвердження волевиявлення. </w:t>
      </w:r>
    </w:p>
    <w:p w14:paraId="00000091"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застосування електронного голосування програмне забезпечення (засіб), що використовується для його проведення, підлягає обов’язковому попередньому тестуванню та незалежному технічному аудиту. За результатами тестування складається протокол технічної перевірки, який зберігається разом із виборчою документацією.</w:t>
      </w:r>
    </w:p>
    <w:p w14:paraId="00000092"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(засіб) електронного голосування повинне забезпечувати належну ідентифікацію виборця (без збереження зв’язку між особою виборця та змістом його волевиявлення), унеможливлення повторного голосування, фіксацію технічних подій (</w:t>
      </w:r>
      <w:proofErr w:type="spellStart"/>
      <w:r>
        <w:rPr>
          <w:rFonts w:ascii="Times New Roman" w:eastAsia="Times New Roman" w:hAnsi="Times New Roman" w:cs="Times New Roman"/>
          <w:sz w:val="28"/>
          <w:szCs w:val="28"/>
        </w:rPr>
        <w:t>логів</w:t>
      </w:r>
      <w:proofErr w:type="spellEnd"/>
      <w:r>
        <w:rPr>
          <w:rFonts w:ascii="Times New Roman" w:eastAsia="Times New Roman" w:hAnsi="Times New Roman" w:cs="Times New Roman"/>
          <w:sz w:val="28"/>
          <w:szCs w:val="28"/>
        </w:rPr>
        <w:t>) без розкриття таємниці волевиявлення, цілісність результатів підрахунку, а також захист від несанкціонованого втручання.</w:t>
      </w:r>
    </w:p>
    <w:p w14:paraId="00000093"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виникнення технічних проблем (неможливість авторизації, недоступність сервера тощо) технічний адміністратор негайно інформує голову виборчої комісії, який вносить відповідний запис до протоколу із зазначенням часу та характеру збою.</w:t>
      </w:r>
    </w:p>
    <w:p w14:paraId="00000094"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електронного голосування можуть бути визнані недійсними організаційним комітетом у разі:</w:t>
      </w:r>
    </w:p>
    <w:p w14:paraId="0000009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доведеного несанкціонованого втручання в роботу системи (кібератаки), що вплинуло на результати підрахунку;</w:t>
      </w:r>
    </w:p>
    <w:p w14:paraId="00000096"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неможливості ідентифікації понад 10% виборців через технічні причини протягом встановленого часу голосування;</w:t>
      </w:r>
    </w:p>
    <w:p w14:paraId="0000009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цілісності бази даних голосів, що підтверджено технічним звітом.</w:t>
      </w:r>
    </w:p>
    <w:p w14:paraId="00000098"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анулювання результатів через істотний технічний збій, повторне голосування проводиться протягом 3 робочих днів після усунення технічних причин, про що виборці повідомляються не пізніше ніж за 24 години до його початку.</w:t>
      </w:r>
    </w:p>
    <w:p w14:paraId="0000009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 управління затверджує перелік рекомендованого програмного забезпечення (засобу), що може використовуватися для проведення електронного голосування.</w:t>
      </w:r>
    </w:p>
    <w:p w14:paraId="0000009A"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Програмне забезпечення (засіб) для електронного голосування повинне відповідати вимогам законодавства у сфері захисту інформації та персональних даних. У разі якщо під час його використання обробляється інформація з обмеженим доступом, така система повинна мати підтвердження відповідності у вигляді атестата відповідності комплексної системи захисту інформації або іншого документа, передбаченого законодавством України.</w:t>
      </w:r>
    </w:p>
    <w:p w14:paraId="0000009B" w14:textId="798BC59F"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Доступ до голосування надається виключно особам, включеним до списку виборців, через засоби електронної ідентифікації з високим рівнем довіри (КЕП, </w:t>
      </w:r>
      <w:proofErr w:type="spellStart"/>
      <w:r>
        <w:rPr>
          <w:rFonts w:ascii="Times New Roman" w:eastAsia="Times New Roman" w:hAnsi="Times New Roman" w:cs="Times New Roman"/>
          <w:sz w:val="28"/>
          <w:szCs w:val="28"/>
        </w:rPr>
        <w:t>BankID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Дія.Підпис</w:t>
      </w:r>
      <w:proofErr w:type="spellEnd"/>
      <w:r>
        <w:rPr>
          <w:rFonts w:ascii="Times New Roman" w:eastAsia="Times New Roman" w:hAnsi="Times New Roman" w:cs="Times New Roman"/>
          <w:sz w:val="28"/>
          <w:szCs w:val="28"/>
        </w:rPr>
        <w:t>).</w:t>
      </w:r>
    </w:p>
    <w:p w14:paraId="022961F9"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9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Під час голосування та підрахунку голосів має право бути присутнім представник органу управління.</w:t>
      </w:r>
    </w:p>
    <w:p w14:paraId="0000009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утворення дільничних виборчих комісій орган управління може делегувати до таких комісій своїх представників.</w:t>
      </w:r>
    </w:p>
    <w:p w14:paraId="0000009E"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 може делегувати свого представника на вибори до державної наукової установи незалежно від підпорядкування.</w:t>
      </w:r>
    </w:p>
    <w:p w14:paraId="0000009F"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голосування та підрахунку голосів мають право бути присутніми не більше двох спостерігачів від кожного кандидата, а також не більше трьох громадських спостерігачів, акредитованих організаційним комітетом, а в разі утворення виборчих дільниць – не більше двох спостерігачів від кожного кандидата і трьох громадських спостерігачів на кожній виборчій дільниці.</w:t>
      </w:r>
    </w:p>
    <w:p w14:paraId="000000A0" w14:textId="77777777"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акредитації громадських спостерігачів визначається організаційним комітетом.</w:t>
      </w:r>
    </w:p>
    <w:p w14:paraId="000000A1" w14:textId="39545419"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 Приміщення для голосування повинне бути обладнане достатньою кількістю кабін для таємного голосування. Розміщення обладнання у приміщенні для голосування здійснюється у такий спосіб, щоб місця видачі бюлетенів для голосування, вхід і вихід із кабін для таємного голосування, виборчі скриньки перебували у полі зору членів виборчої комісії та осіб, які мають право бути присутніми у приміщенні для голосування. У кабінах для таємного голосування необхідно забезпечити наявність належного освітлення та засобів для заповнення бюлетеня для голосування.</w:t>
      </w:r>
    </w:p>
    <w:p w14:paraId="732B14D3" w14:textId="77777777" w:rsidR="00452BA2" w:rsidRDefault="00452BA2" w:rsidP="00452BA2">
      <w:pPr>
        <w:shd w:val="clear" w:color="auto" w:fill="FFFFFF"/>
        <w:spacing w:after="0" w:line="240" w:lineRule="auto"/>
        <w:ind w:firstLine="700"/>
        <w:jc w:val="both"/>
        <w:rPr>
          <w:rFonts w:ascii="Times New Roman" w:eastAsia="Times New Roman" w:hAnsi="Times New Roman" w:cs="Times New Roman"/>
          <w:sz w:val="28"/>
          <w:szCs w:val="28"/>
        </w:rPr>
      </w:pPr>
    </w:p>
    <w:p w14:paraId="000000A2"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Організація проведення голосування, підтримання належного порядку у приміщенні для голосування та забезпечення таємності голосування покладаються на виборчу комісію або дільничну виборчу комісію (у разі її утворення).</w:t>
      </w:r>
    </w:p>
    <w:p w14:paraId="000000A3"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виборчої комісії або дільничної виборчої комісії перед початком голосування:</w:t>
      </w:r>
    </w:p>
    <w:p w14:paraId="000000A4"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надає для огляду членам виборчої комісії, присутнім кандидатам, а також спостерігачам усі наявні на виборчій дільниці виборчі скриньки;</w:t>
      </w:r>
    </w:p>
    <w:p w14:paraId="000000A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передає необхідну кількість бюлетенів для голосування членам виборчої комісії, які видають бюлетені виборцям;</w:t>
      </w:r>
    </w:p>
    <w:p w14:paraId="000000A6" w14:textId="3BD0CD9C"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передає членам виборчої комісії, які видають бюлетені для голосування, список виборців. Відповідні члени виборчої комісії забезпечують їх збереження і дотримання порядку використання.</w:t>
      </w:r>
    </w:p>
    <w:p w14:paraId="546CBE00"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A7" w14:textId="4AC56076" w:rsidR="00862F5E" w:rsidRDefault="008F6295" w:rsidP="00452BA2">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Член виборчої комісії здійснює видачу бюлетеня для голосування за умови пред’явлення виборцем документа, що посвідчує особу. Особа, яка отримує бюлетень для голосування, ставить у списку виборців навпроти свого прізвища підпис.</w:t>
      </w:r>
    </w:p>
    <w:p w14:paraId="11127346" w14:textId="77777777" w:rsidR="00452BA2" w:rsidRDefault="00452BA2" w:rsidP="00452BA2">
      <w:pPr>
        <w:shd w:val="clear" w:color="auto" w:fill="FFFFFF"/>
        <w:spacing w:after="0" w:line="240" w:lineRule="auto"/>
        <w:ind w:firstLine="700"/>
        <w:jc w:val="both"/>
        <w:rPr>
          <w:rFonts w:ascii="Times New Roman" w:eastAsia="Times New Roman" w:hAnsi="Times New Roman" w:cs="Times New Roman"/>
          <w:sz w:val="28"/>
          <w:szCs w:val="28"/>
        </w:rPr>
      </w:pPr>
    </w:p>
    <w:p w14:paraId="000000A8"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Бюлетень для голосування заповнюється виборцем особисто в кабіні для таємного голосування. Під час заповнення бюлетенів забороняється присутність у кабіні для таємного голосування інших осіб, здійснення фото- та </w:t>
      </w:r>
      <w:proofErr w:type="spellStart"/>
      <w:r>
        <w:rPr>
          <w:rFonts w:ascii="Times New Roman" w:eastAsia="Times New Roman" w:hAnsi="Times New Roman" w:cs="Times New Roman"/>
          <w:sz w:val="28"/>
          <w:szCs w:val="28"/>
        </w:rPr>
        <w:t>відеофіксації</w:t>
      </w:r>
      <w:proofErr w:type="spellEnd"/>
      <w:r>
        <w:rPr>
          <w:rFonts w:ascii="Times New Roman" w:eastAsia="Times New Roman" w:hAnsi="Times New Roman" w:cs="Times New Roman"/>
          <w:sz w:val="28"/>
          <w:szCs w:val="28"/>
        </w:rPr>
        <w:t xml:space="preserve"> у будь-який спосіб. Особа, яка внаслідок фізичних вад не може самостійно заповнити бюлетень для голосування, має право за дозволом голови виборчої комісії скористатися допомогою іншої особи, крім членів виборчої комісії, кандидатів, а також спостерігачів.</w:t>
      </w:r>
    </w:p>
    <w:p w14:paraId="000000A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бюлетені для голосування виборець у квадраті навпроти прізвища кандидата, за якого він голосує, проставляє позначку («+» або іншу), що засвідчує його волевиявлення. Виборець може голосувати лише за одного кандидата або не підтримувати жодної з кандидатур.</w:t>
      </w:r>
    </w:p>
    <w:p w14:paraId="000000AA"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Виборець опускає заповнений бюлетень для голосування у скриньку.</w:t>
      </w:r>
    </w:p>
    <w:p w14:paraId="000000AB"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Забороняється висувати вимогу або висловлювати прохання до виборця оприлюднити своє волевиявлення.</w:t>
      </w:r>
    </w:p>
    <w:p w14:paraId="000000A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У разі оголошення сигналу «Повітряна тривога» виборчий процес призупиняється. Дії виборчої комісії, виборців та спостерігачів здійснюються відповідно до Плану евакуаційних заходів.</w:t>
      </w:r>
    </w:p>
    <w:p w14:paraId="000000AD"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безпеки учасників виборчого процесу та їх негайна евакуація до укриття є пріоритетними щодо процедур опечатування приміщень та виборчих скриньок.</w:t>
      </w:r>
    </w:p>
    <w:p w14:paraId="000000AE"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збереження виборчої документації та скриньок для голосування шляхом опечатування приміщення дільниці та отворів виборчих скриньок підписами голови і членів комісії покладається на керівника (виконувача обов’язків керівника) державної наукової установи та здійснюється виключно за умови відсутності безпосередньої загрози життю та здоров’ю членів комісії.</w:t>
      </w:r>
    </w:p>
    <w:p w14:paraId="000000AF"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отримання сповіщення про відміну повітряної тривоги виборчий процес відновлюється за умови цілісності контрольних паперових стрічок із підписами голови та членів комісії, про що складається відповідний акт. Час для голосування продовжується на тривалість повітряної тривоги.</w:t>
      </w:r>
    </w:p>
    <w:p w14:paraId="000000B0" w14:textId="6FD7B464"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Після завершення голосування приміщення для голосування зачиняється і в ньому мають право перебувати тільки члени виборчої комісії, представники органу управління, кандидати і спостерігачі.</w:t>
      </w:r>
    </w:p>
    <w:p w14:paraId="41305810" w14:textId="77777777" w:rsidR="00452BA2" w:rsidRDefault="00452BA2">
      <w:pPr>
        <w:shd w:val="clear" w:color="auto" w:fill="FFFFFF"/>
        <w:spacing w:before="240" w:after="0" w:line="240" w:lineRule="auto"/>
        <w:ind w:firstLine="700"/>
        <w:jc w:val="both"/>
        <w:rPr>
          <w:rFonts w:ascii="Times New Roman" w:eastAsia="Times New Roman" w:hAnsi="Times New Roman" w:cs="Times New Roman"/>
          <w:sz w:val="28"/>
          <w:szCs w:val="28"/>
        </w:rPr>
      </w:pPr>
    </w:p>
    <w:p w14:paraId="000000B1"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Скриньки для голосування після перевірки цілісності пломб та печаток відкриваються членами виборчої комісії почергово. Під час відкриття скриньки її вміст викладається на стіл, за яким розміщуються члени виборчої комісії.</w:t>
      </w:r>
    </w:p>
    <w:p w14:paraId="000000B2" w14:textId="07A25DAD"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Підрахунок голосів членами виборчої комісії починається відразу після закінчення голосування та проводиться відкрито у тому ж приміщенні, де відбувалося голосування, без перерви і закінчується після складення та підписання протоколу про результати голосування.</w:t>
      </w:r>
    </w:p>
    <w:p w14:paraId="7AF0754F"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B3"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Члени виборчої комісії підраховують загальну кількість виданих для голосування бюлетенів та кількість бюлетенів, наявних у скриньках для голосування. Бюлетені для голосування розкладаються на місця, позначені окремими табличками, що містять з обох боків прізвища та ініціали кандидатів.</w:t>
      </w:r>
    </w:p>
    <w:p w14:paraId="000000B4"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 робляться таблички з написом «Недійсні», «Не підтримую жодної з кандидатур».</w:t>
      </w:r>
    </w:p>
    <w:p w14:paraId="000000B5"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розкладання бюлетенів визначений виборчою комісією член комісії показує кожний бюлетень усім членам комісії та особам, які присутні під час підрахунку голосів, та оголошує прізвище кандидата, за якого подано голос.</w:t>
      </w:r>
    </w:p>
    <w:p w14:paraId="000000B6" w14:textId="7939F3A3"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виникнення сумнівів щодо змісту бюлетеня виборча комісія приймає рішення шляхом голосування. При цьому кожен член виборчої комісії має право оглянути бюлетень особисто. На час огляду бюлетеня робота з іншими бюлетенями припиняється.</w:t>
      </w:r>
    </w:p>
    <w:p w14:paraId="3F44B983"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B7"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Бюлетень для голосування може бути визнаний недійсним, якщо:</w:t>
      </w:r>
    </w:p>
    <w:p w14:paraId="000000B8"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бюлетені проставлено більш як одну позначку;</w:t>
      </w:r>
    </w:p>
    <w:p w14:paraId="000000B9"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проставлена жодна позначка;</w:t>
      </w:r>
    </w:p>
    <w:p w14:paraId="000000BA"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волевиявлення виборця неможливо встановити з інших причин.</w:t>
      </w:r>
    </w:p>
    <w:p w14:paraId="000000BB" w14:textId="5BD13D0D"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коли члени виборчої комісії не можуть дійти згоди щодо визнання бюлетеня недійсним, зазначене питання вирішується шляхом голосування. Такий бюлетень повинен бути продемонстрований членам комісії та особам, присутнім під час підрахунку голосів. При цьому кожен член виборчої комісії має право особисто оглянути зазначений бюлетень. На час огляду такого бюлетеня підрахунок інших бюлетенів припиняється.</w:t>
      </w:r>
    </w:p>
    <w:p w14:paraId="051FF651" w14:textId="77777777" w:rsidR="00452BA2" w:rsidRDefault="00452BA2"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BC" w14:textId="77777777"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Після розкладення окремо бюлетенів, поданих за кожного з кандидатів, а також визнаних недійсними, визначений виборчою комісією член комісії вголос підраховує кількість відповідних бюлетенів. На вимогу члена виборчої комісії, кандидата чи спостерігача може бути проведено повторний підрахунок бюлетенів, поданих за кожного з кандидатів; якими не підтримано жодного з кандидатів; визнаних недійсними.</w:t>
      </w:r>
    </w:p>
    <w:p w14:paraId="000000BD" w14:textId="213B7149" w:rsidR="00862F5E" w:rsidRDefault="008F6295" w:rsidP="00452BA2">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підрахунку голосів кожен член виборчої комісії має право перевірити або перерахувати відповідні бюлетені. Результати підрахунку голосів оголошуються головою виборчої комісії і включаються секретарем до протоколу про результати голосування.</w:t>
      </w:r>
    </w:p>
    <w:p w14:paraId="0075D0C5" w14:textId="77777777" w:rsidR="00D83F4A" w:rsidRDefault="00D83F4A" w:rsidP="00452BA2">
      <w:pPr>
        <w:shd w:val="clear" w:color="auto" w:fill="FFFFFF"/>
        <w:spacing w:after="0" w:line="240" w:lineRule="auto"/>
        <w:ind w:firstLine="697"/>
        <w:jc w:val="both"/>
        <w:rPr>
          <w:rFonts w:ascii="Times New Roman" w:eastAsia="Times New Roman" w:hAnsi="Times New Roman" w:cs="Times New Roman"/>
          <w:sz w:val="28"/>
          <w:szCs w:val="28"/>
        </w:rPr>
      </w:pPr>
    </w:p>
    <w:p w14:paraId="000000BE" w14:textId="0B3BC6C7" w:rsidR="00862F5E" w:rsidRDefault="008F6295" w:rsidP="00D83F4A">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Виборча комісія зобов’язана під час підрахунку голосів перевірити відповідність кількості осіб, які взяли участь у голосуванні, кількості бюлетенів, поданих за кожного з кандидатів; якими не підтримано жодного з кандидатів; визнаних недійсними.</w:t>
      </w:r>
    </w:p>
    <w:p w14:paraId="0F4581DC" w14:textId="77777777" w:rsidR="00D83F4A" w:rsidRDefault="00D83F4A" w:rsidP="00D83F4A">
      <w:pPr>
        <w:shd w:val="clear" w:color="auto" w:fill="FFFFFF"/>
        <w:spacing w:after="0" w:line="240" w:lineRule="auto"/>
        <w:ind w:firstLine="700"/>
        <w:jc w:val="both"/>
        <w:rPr>
          <w:rFonts w:ascii="Times New Roman" w:eastAsia="Times New Roman" w:hAnsi="Times New Roman" w:cs="Times New Roman"/>
          <w:sz w:val="28"/>
          <w:szCs w:val="28"/>
        </w:rPr>
      </w:pPr>
    </w:p>
    <w:p w14:paraId="000000BF" w14:textId="7777777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Виборча комісія за результатами підрахунку голосів складає протокол за формою, затвердженою органом управління.</w:t>
      </w:r>
    </w:p>
    <w:p w14:paraId="000000C0" w14:textId="7777777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про результати голосування складається виборчою комісією у двох примірниках. Копії протоколу надаються кожному членові виборчої комісії, кандидатам та спостерігачам.</w:t>
      </w:r>
    </w:p>
    <w:p w14:paraId="000000C1" w14:textId="7777777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примірник протоколу підписується головою, заступником голови, секретарем та присутніми членами виборчої комісії. У разі незгоди з результатами підрахунку голосів, зафіксованими у протоколі, член виборчої комісії має право письмово викласти свою окрему думку, яка обов’язково додається до протоколу. Відмова від підписання протоколу не допускається.</w:t>
      </w:r>
    </w:p>
    <w:p w14:paraId="000000C2" w14:textId="55910DA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Перший примірник протоколу про результати голосування передається організаційному комітетові з подальшою їх передачею органу управління, другий – залишається у державній науковій установі.</w:t>
      </w:r>
    </w:p>
    <w:p w14:paraId="38C5984F" w14:textId="77777777" w:rsidR="00D83F4A" w:rsidRDefault="00D83F4A" w:rsidP="00D83F4A">
      <w:pPr>
        <w:shd w:val="clear" w:color="auto" w:fill="FFFFFF"/>
        <w:spacing w:after="0" w:line="240" w:lineRule="auto"/>
        <w:ind w:firstLine="697"/>
        <w:jc w:val="both"/>
        <w:rPr>
          <w:rFonts w:ascii="Times New Roman" w:eastAsia="Times New Roman" w:hAnsi="Times New Roman" w:cs="Times New Roman"/>
          <w:sz w:val="28"/>
          <w:szCs w:val="28"/>
        </w:rPr>
      </w:pPr>
    </w:p>
    <w:p w14:paraId="000000C3" w14:textId="7777777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Дільничні виборчі комісії (у разі їх утворення)</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передають протокол про результати голосування на виборчій дільниці головній виборчій комісії відразу після його складення. У разі коли дільнична виборча комісія розміщується в іншому населеному пункті, допускається передача такого протоколу головній виборчій комісії за допомогою засобів зв’язку з подальшою передачею оригіналів бюлетенів та протоколу протягом доби з моменту його складення. Головна виборча комісія після прийняття і розгляду протоколів дільничних виборчих комісій складає підсумковий протокол про результати голосування і передає його організаційному комітетові.</w:t>
      </w:r>
    </w:p>
    <w:p w14:paraId="000000C4" w14:textId="77777777" w:rsidR="00862F5E" w:rsidRDefault="008F6295" w:rsidP="00D83F4A">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з протоколом організаційному комітетові передаються усі заяви та скарги, подані кандидатами, спостерігачами, а також рішення, прийняті за результатами їх розгляду.</w:t>
      </w:r>
    </w:p>
    <w:p w14:paraId="000000C5"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 Процес голосування і підрахунку голосів фіксується за допомогою </w:t>
      </w:r>
      <w:proofErr w:type="spellStart"/>
      <w:r>
        <w:rPr>
          <w:rFonts w:ascii="Times New Roman" w:eastAsia="Times New Roman" w:hAnsi="Times New Roman" w:cs="Times New Roman"/>
          <w:sz w:val="28"/>
          <w:szCs w:val="28"/>
        </w:rPr>
        <w:t>відеозасобів</w:t>
      </w:r>
      <w:proofErr w:type="spellEnd"/>
      <w:r>
        <w:rPr>
          <w:rFonts w:ascii="Times New Roman" w:eastAsia="Times New Roman" w:hAnsi="Times New Roman" w:cs="Times New Roman"/>
          <w:sz w:val="28"/>
          <w:szCs w:val="28"/>
        </w:rPr>
        <w:t>. При цьому таке фіксування не може порушувати таємницю голосування.</w:t>
      </w:r>
    </w:p>
    <w:p w14:paraId="000000C6"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Результати виборів оприлюднюються протягом 24 годин після складення протоколу про результати голосування шляхом розміщення у друкованому вигляді відповідної інформації на інформаційних стендах у доступних для загального огляду місцях, розташованих у приміщеннях державної наукової установи, а також на офіційному вебсайті державної наукової установи та вебсайті органу управління.</w:t>
      </w:r>
    </w:p>
    <w:p w14:paraId="000000C7" w14:textId="4F376319"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Якщо у виборах брали участь кілька кандидатів і жоден з них не набрав більше 50 відсотків голосів виборців, організаційний комітет приймає рішення про проведення другого туру виборів, який проводиться через 14 календарних днів після проведення першого туру. У разі коли дата другого туру виборів припадає на святковий (неробочий) день, вибори проводяться у робочий день, що настає після святкового (неробочого) дня. До бюлетенів для голосування включаються два кандидати, які в першому турі набрали найбільшу кількість голосів. У разі коли за результатами першого туру виборів на другому місці (за кількістю набраних голосів) опинилися два і більше кандидатів з однаковою кількістю голосів, між ними проводиться </w:t>
      </w:r>
      <w:proofErr w:type="spellStart"/>
      <w:r>
        <w:rPr>
          <w:rFonts w:ascii="Times New Roman" w:eastAsia="Times New Roman" w:hAnsi="Times New Roman" w:cs="Times New Roman"/>
          <w:sz w:val="28"/>
          <w:szCs w:val="28"/>
        </w:rPr>
        <w:t>міжтурове</w:t>
      </w:r>
      <w:proofErr w:type="spellEnd"/>
      <w:r>
        <w:rPr>
          <w:rFonts w:ascii="Times New Roman" w:eastAsia="Times New Roman" w:hAnsi="Times New Roman" w:cs="Times New Roman"/>
          <w:sz w:val="28"/>
          <w:szCs w:val="28"/>
        </w:rPr>
        <w:t xml:space="preserve"> голосування для відбору кандидата, який братиме участь у другому турі виборів.</w:t>
      </w:r>
    </w:p>
    <w:p w14:paraId="000000C8"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Міжтурове</w:t>
      </w:r>
      <w:proofErr w:type="spellEnd"/>
      <w:r>
        <w:rPr>
          <w:rFonts w:ascii="Times New Roman" w:eastAsia="Times New Roman" w:hAnsi="Times New Roman" w:cs="Times New Roman"/>
          <w:sz w:val="28"/>
          <w:szCs w:val="28"/>
        </w:rPr>
        <w:t xml:space="preserve"> голосування призначається організаційним комітетом та проводиться не пізніше ніж на третій робочий день після офіційного оголошення результатів першого туру.</w:t>
      </w:r>
    </w:p>
    <w:p w14:paraId="000000C9"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рішенням організаційного комітету </w:t>
      </w:r>
      <w:proofErr w:type="spellStart"/>
      <w:r>
        <w:rPr>
          <w:rFonts w:ascii="Times New Roman" w:eastAsia="Times New Roman" w:hAnsi="Times New Roman" w:cs="Times New Roman"/>
          <w:sz w:val="28"/>
          <w:szCs w:val="28"/>
        </w:rPr>
        <w:t>міжтурове</w:t>
      </w:r>
      <w:proofErr w:type="spellEnd"/>
      <w:r>
        <w:rPr>
          <w:rFonts w:ascii="Times New Roman" w:eastAsia="Times New Roman" w:hAnsi="Times New Roman" w:cs="Times New Roman"/>
          <w:sz w:val="28"/>
          <w:szCs w:val="28"/>
        </w:rPr>
        <w:t xml:space="preserve"> голосування може бути проведено дистанційно з використанням програмного забезпечення (засобу) відповідно до пункту 32 цих Методичних рекомендацій.</w:t>
      </w:r>
    </w:p>
    <w:p w14:paraId="000000CA"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Організаційний комітет забезпечує виготовлення нових бюлетенів, до яких включаються лише кандидати, що набрали однакову кількість голосів за друге місце.</w:t>
      </w:r>
    </w:p>
    <w:p w14:paraId="000000CB"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Голосування проводиться з дотриманням принципів таємності, вільного волевиявлення та безпечності.</w:t>
      </w:r>
    </w:p>
    <w:p w14:paraId="000000CC"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якщо один з кандидатів прийняв рішення зняти свою кандидатуру з подальшої участі у виборах, він не пізніше ніж за 24 години до початку </w:t>
      </w:r>
      <w:proofErr w:type="spellStart"/>
      <w:r>
        <w:rPr>
          <w:rFonts w:ascii="Times New Roman" w:eastAsia="Times New Roman" w:hAnsi="Times New Roman" w:cs="Times New Roman"/>
          <w:sz w:val="28"/>
          <w:szCs w:val="28"/>
        </w:rPr>
        <w:t>міжтурового</w:t>
      </w:r>
      <w:proofErr w:type="spellEnd"/>
      <w:r>
        <w:rPr>
          <w:rFonts w:ascii="Times New Roman" w:eastAsia="Times New Roman" w:hAnsi="Times New Roman" w:cs="Times New Roman"/>
          <w:sz w:val="28"/>
          <w:szCs w:val="28"/>
        </w:rPr>
        <w:t xml:space="preserve"> голосування подає заяву організаційному комітету.</w:t>
      </w:r>
    </w:p>
    <w:p w14:paraId="000000CD"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Переможцем </w:t>
      </w:r>
      <w:proofErr w:type="spellStart"/>
      <w:r>
        <w:rPr>
          <w:rFonts w:ascii="Times New Roman" w:eastAsia="Times New Roman" w:hAnsi="Times New Roman" w:cs="Times New Roman"/>
          <w:sz w:val="28"/>
          <w:szCs w:val="28"/>
        </w:rPr>
        <w:t>міжтурового</w:t>
      </w:r>
      <w:proofErr w:type="spellEnd"/>
      <w:r>
        <w:rPr>
          <w:rFonts w:ascii="Times New Roman" w:eastAsia="Times New Roman" w:hAnsi="Times New Roman" w:cs="Times New Roman"/>
          <w:sz w:val="28"/>
          <w:szCs w:val="28"/>
        </w:rPr>
        <w:t xml:space="preserve"> голосування вважається кандидат, який набрав просту більшість голосів виборців, що взяли участь у </w:t>
      </w:r>
      <w:proofErr w:type="spellStart"/>
      <w:r>
        <w:rPr>
          <w:rFonts w:ascii="Times New Roman" w:eastAsia="Times New Roman" w:hAnsi="Times New Roman" w:cs="Times New Roman"/>
          <w:sz w:val="28"/>
          <w:szCs w:val="28"/>
        </w:rPr>
        <w:t>міжтуровому</w:t>
      </w:r>
      <w:proofErr w:type="spellEnd"/>
      <w:r>
        <w:rPr>
          <w:rFonts w:ascii="Times New Roman" w:eastAsia="Times New Roman" w:hAnsi="Times New Roman" w:cs="Times New Roman"/>
          <w:sz w:val="28"/>
          <w:szCs w:val="28"/>
        </w:rPr>
        <w:t xml:space="preserve"> голосуванні.</w:t>
      </w:r>
    </w:p>
    <w:p w14:paraId="000000CE"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про результати </w:t>
      </w:r>
      <w:proofErr w:type="spellStart"/>
      <w:r>
        <w:rPr>
          <w:rFonts w:ascii="Times New Roman" w:eastAsia="Times New Roman" w:hAnsi="Times New Roman" w:cs="Times New Roman"/>
          <w:sz w:val="28"/>
          <w:szCs w:val="28"/>
        </w:rPr>
        <w:t>міжтурового</w:t>
      </w:r>
      <w:proofErr w:type="spellEnd"/>
      <w:r>
        <w:rPr>
          <w:rFonts w:ascii="Times New Roman" w:eastAsia="Times New Roman" w:hAnsi="Times New Roman" w:cs="Times New Roman"/>
          <w:sz w:val="28"/>
          <w:szCs w:val="28"/>
        </w:rPr>
        <w:t xml:space="preserve"> голосування оприлюднюється на офіційному вебсайті наукової установи протягом 24 годин після завершення підрахунку голосів.</w:t>
      </w:r>
    </w:p>
    <w:p w14:paraId="000000CF"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якщо кандидат, який увійшов до другого туру, подає до організаційного комітету заяву про зняття своєї кандидатури не пізніше ніж за 7 календарних днів до дати його проведення, до виборчого бюлетеня включається кандидат, який за кількістю набраних голосів є наступним за результатами </w:t>
      </w:r>
      <w:proofErr w:type="spellStart"/>
      <w:r>
        <w:rPr>
          <w:rFonts w:ascii="Times New Roman" w:eastAsia="Times New Roman" w:hAnsi="Times New Roman" w:cs="Times New Roman"/>
          <w:sz w:val="28"/>
          <w:szCs w:val="28"/>
        </w:rPr>
        <w:t>міжтурового</w:t>
      </w:r>
      <w:proofErr w:type="spellEnd"/>
      <w:r>
        <w:rPr>
          <w:rFonts w:ascii="Times New Roman" w:eastAsia="Times New Roman" w:hAnsi="Times New Roman" w:cs="Times New Roman"/>
          <w:sz w:val="28"/>
          <w:szCs w:val="28"/>
        </w:rPr>
        <w:t xml:space="preserve"> (або першого туру) голосування.</w:t>
      </w:r>
    </w:p>
    <w:p w14:paraId="000000D0"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зняття кандидатури пізніше ніж за 7 днів до дати проведення другого туру, вибори проводяться з одним кандидатом.</w:t>
      </w:r>
    </w:p>
    <w:p w14:paraId="000000D1" w14:textId="5808D850"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визнання виборів такими, що відбулися за наявності одного кандидата, він має отримати більше половини голосів виборців, які взяли участь у голосуванні.</w:t>
      </w:r>
    </w:p>
    <w:p w14:paraId="665F69E0" w14:textId="77777777" w:rsidR="008F6295"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p>
    <w:p w14:paraId="000000D2"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 Вибори вважаються такими, що не відбулися, якщо:</w:t>
      </w:r>
    </w:p>
    <w:p w14:paraId="000000D3"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виборах взяли менш як дві третини фактичної чисельності штатних наукових працівників цієї державної наукової установи;</w:t>
      </w:r>
    </w:p>
    <w:p w14:paraId="000000D4"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турі виборів брав участь один кандидат і він не набрав більш як 50 відсотків голосів виборців, які брали участь у голосуванні;</w:t>
      </w:r>
    </w:p>
    <w:p w14:paraId="000000D5"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другому турі виборів жоден з кандидатів не набрав більш як 50 відсотків голосів виборців,  які брали участь у голосуванні;</w:t>
      </w:r>
    </w:p>
    <w:p w14:paraId="000000D7" w14:textId="316F8A89"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кандидат на посаду керівника державної наукової установи у другому турі набрав більше 50 відсотків, але менше двох третин голосів наукових працівників, присутніх на зборах колективу наукових працівників цієї державної наукової установи, орган управління має право призначити його на посаду або, за наявності вмотивованих заперечень, оголосити новий конкурс, призначивши виконувача обов’язків керівника державної наукової установи на строк не більш як шість місяців.</w:t>
      </w:r>
    </w:p>
    <w:p w14:paraId="000000D8"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У разі прийняття виборчою комісією рішення про визнання виборів такими, що не відбулися, орган управління протягом двох тижнів з дня прийняття зазначеного рішення оголошує проведення нового конкурсу.</w:t>
      </w:r>
    </w:p>
    <w:p w14:paraId="000000D9"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Обробка, зберігання та використання персональних даних кандидатів і виборців здійснюються відповідно до Закону України «Про захист персональних даних».</w:t>
      </w:r>
    </w:p>
    <w:p w14:paraId="000000DA"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Виборча документація та матеріали, що містять персональні дані, зберігаються не менше п’яти років з дня завершення виборчого процесу, якщо інший строк не встановлено законодавством.</w:t>
      </w:r>
    </w:p>
    <w:p w14:paraId="000000DB"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 до таких матеріалів мають лише особи, визначені рішенням органу управління або виборчої комісії, в межах їх повноважень.</w:t>
      </w:r>
    </w:p>
    <w:p w14:paraId="000000DC" w14:textId="77777777" w:rsidR="00862F5E" w:rsidRDefault="008F6295" w:rsidP="008F6295">
      <w:pPr>
        <w:shd w:val="clear" w:color="auto" w:fill="FFFFFF"/>
        <w:spacing w:after="0" w:line="240" w:lineRule="auto"/>
        <w:ind w:firstLine="697"/>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Після закінчення строку зберігання документація підлягає знищенню в установленому порядку з оформленням відповідного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w:t>
      </w:r>
    </w:p>
    <w:p w14:paraId="000000DD" w14:textId="77777777" w:rsidR="00862F5E" w:rsidRDefault="008F6295">
      <w:pPr>
        <w:pStyle w:val="3"/>
        <w:shd w:val="clear" w:color="auto" w:fill="FFFFFF"/>
        <w:spacing w:before="280" w:after="0"/>
        <w:ind w:firstLine="700"/>
        <w:jc w:val="center"/>
        <w:rPr>
          <w:sz w:val="28"/>
          <w:szCs w:val="28"/>
        </w:rPr>
      </w:pPr>
      <w:bookmarkStart w:id="1" w:name="_heading=h.hopvg34dfoye" w:colFirst="0" w:colLast="0"/>
      <w:bookmarkEnd w:id="1"/>
      <w:r>
        <w:rPr>
          <w:b w:val="0"/>
          <w:bCs w:val="0"/>
          <w:sz w:val="28"/>
          <w:szCs w:val="28"/>
        </w:rPr>
        <w:t>Особливості організації та проведення виборів у державних наукових установах подвійного підпорядкування</w:t>
      </w:r>
    </w:p>
    <w:p w14:paraId="000000DE" w14:textId="77777777" w:rsidR="00862F5E" w:rsidRDefault="008F6295">
      <w:pPr>
        <w:pStyle w:val="3"/>
        <w:shd w:val="clear" w:color="auto" w:fill="FFFFFF"/>
        <w:spacing w:before="280" w:after="0"/>
        <w:ind w:firstLine="700"/>
        <w:jc w:val="both"/>
        <w:rPr>
          <w:b w:val="0"/>
          <w:bCs w:val="0"/>
          <w:sz w:val="28"/>
          <w:szCs w:val="28"/>
        </w:rPr>
      </w:pPr>
      <w:bookmarkStart w:id="2" w:name="_heading=h.5a17vm4zihyh" w:colFirst="0" w:colLast="0"/>
      <w:bookmarkEnd w:id="2"/>
      <w:r>
        <w:rPr>
          <w:b w:val="0"/>
          <w:bCs w:val="0"/>
          <w:sz w:val="28"/>
          <w:szCs w:val="28"/>
        </w:rPr>
        <w:t>51. Організація та проведення виборів керівника державної наукової установи, що перебуває у подвійному підпорядкуванні, здійснюються на основі взаємодії органу виконавчої влади, до сфери управління якого належить державна наукова установа, та Національної академії наук України (або відповідної національної галузевої академії наук), у віданні якої вона перебуває.</w:t>
      </w:r>
    </w:p>
    <w:p w14:paraId="000000DF" w14:textId="77777777" w:rsidR="00862F5E" w:rsidRDefault="008F6295">
      <w:pPr>
        <w:pStyle w:val="3"/>
        <w:shd w:val="clear" w:color="auto" w:fill="FFFFFF"/>
        <w:spacing w:before="280" w:after="0"/>
        <w:ind w:firstLine="700"/>
        <w:jc w:val="both"/>
        <w:rPr>
          <w:sz w:val="28"/>
          <w:szCs w:val="28"/>
        </w:rPr>
      </w:pPr>
      <w:bookmarkStart w:id="3" w:name="_heading=h.3ob5w9axwtqo" w:colFirst="0" w:colLast="0"/>
      <w:bookmarkEnd w:id="3"/>
      <w:r>
        <w:rPr>
          <w:b w:val="0"/>
          <w:bCs w:val="0"/>
          <w:sz w:val="28"/>
          <w:szCs w:val="28"/>
        </w:rPr>
        <w:t>52. Органи управління не пізніше ніж за два місяці до закінчення строку контракту чинного керівника (або протягом десяти днів з моменту дострокового припинення його повноважень) проводять консультації щодо узгодження термінів проведення конкурсу та спільних додаткових вимог до кандидатів.</w:t>
      </w:r>
    </w:p>
    <w:p w14:paraId="000000E0"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Конкурс на заміщення посади керівника оголошується органом управління, що є головним розпорядником бюджетних коштів, щодо призначення на посаду, за попереднім письмовим погодженням з іншим органом управління.</w:t>
      </w:r>
    </w:p>
    <w:p w14:paraId="000000E1"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54. Оголошення про конкурс оприлюднюється на офіційних </w:t>
      </w:r>
      <w:proofErr w:type="spellStart"/>
      <w:r>
        <w:rPr>
          <w:rFonts w:ascii="Times New Roman" w:eastAsia="Times New Roman" w:hAnsi="Times New Roman" w:cs="Times New Roman"/>
          <w:sz w:val="28"/>
          <w:szCs w:val="28"/>
        </w:rPr>
        <w:t>вебсайтах</w:t>
      </w:r>
      <w:proofErr w:type="spellEnd"/>
      <w:r>
        <w:rPr>
          <w:rFonts w:ascii="Times New Roman" w:eastAsia="Times New Roman" w:hAnsi="Times New Roman" w:cs="Times New Roman"/>
          <w:sz w:val="28"/>
          <w:szCs w:val="28"/>
        </w:rPr>
        <w:t xml:space="preserve"> обох органів управління.</w:t>
      </w:r>
    </w:p>
    <w:p w14:paraId="000000E3" w14:textId="0E73DB3C" w:rsidR="00862F5E" w:rsidRDefault="008F6295" w:rsidP="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Для забезпечення прозорості виборів органи управління мають право делегувати своїх представників (спостерігачів) до складу організаційного комітету та виборчої комісії державної наукової установи.</w:t>
      </w:r>
    </w:p>
    <w:p w14:paraId="000000E4"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 Процедура таємного голосування колективу штатних наукових працівників проводиться відповідно до цих Методичних рекомендацій.</w:t>
      </w:r>
    </w:p>
    <w:p w14:paraId="000000E5"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Протокол виборчої комісії про результати голосування протягом трьох робочих днів надсилається обом органам управління.</w:t>
      </w:r>
    </w:p>
    <w:p w14:paraId="000000E6" w14:textId="1570B11E" w:rsidR="00862F5E" w:rsidRDefault="008F6295">
      <w:pPr>
        <w:spacing w:before="240" w:after="0" w:line="240" w:lineRule="auto"/>
        <w:ind w:firstLine="700"/>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58. Рішення про призначення обраної особи на посаду керівника державної наукової установи та укладання з нею контракту приймається органом управління, уповноваженим на це законом, за наявності офіційного подання або погодження від іншого органу управління (відповідно до галузевої належності та статутних завдань державної наукової установи).</w:t>
      </w:r>
      <w:r>
        <w:rPr>
          <w:rFonts w:ascii="Times New Roman" w:eastAsia="Times New Roman" w:hAnsi="Times New Roman" w:cs="Times New Roman"/>
          <w:color w:val="EE0000"/>
          <w:sz w:val="28"/>
          <w:szCs w:val="28"/>
        </w:rPr>
        <w:t xml:space="preserve"> </w:t>
      </w:r>
    </w:p>
    <w:p w14:paraId="1F479A47" w14:textId="77777777" w:rsidR="008F6295" w:rsidRDefault="008F6295">
      <w:pPr>
        <w:spacing w:before="240" w:after="0" w:line="240" w:lineRule="auto"/>
        <w:ind w:firstLine="700"/>
        <w:jc w:val="both"/>
        <w:rPr>
          <w:rFonts w:ascii="Times New Roman" w:eastAsia="Times New Roman" w:hAnsi="Times New Roman" w:cs="Times New Roman"/>
          <w:color w:val="EE0000"/>
          <w:sz w:val="28"/>
          <w:szCs w:val="28"/>
        </w:rPr>
      </w:pPr>
    </w:p>
    <w:p w14:paraId="000000E7" w14:textId="77777777" w:rsidR="00862F5E" w:rsidRDefault="008F6295">
      <w:pPr>
        <w:shd w:val="clear" w:color="auto" w:fill="FFFFFF"/>
        <w:spacing w:before="240" w:after="0" w:line="240" w:lineRule="auto"/>
        <w:ind w:firstLine="700"/>
        <w:jc w:val="center"/>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Оскарження результатів конкурсу</w:t>
      </w:r>
      <w:r>
        <w:rPr>
          <w:rFonts w:ascii="Times New Roman" w:eastAsia="Times New Roman" w:hAnsi="Times New Roman" w:cs="Times New Roman"/>
          <w:color w:val="EE0000"/>
          <w:sz w:val="28"/>
          <w:szCs w:val="28"/>
        </w:rPr>
        <w:t xml:space="preserve"> </w:t>
      </w:r>
    </w:p>
    <w:p w14:paraId="000000E8"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Рішення, дії або бездіяльність організаційного комітету, виборчої комісії та дільничної виборчої комісії (у разі її утворення), що мають індивідуальний характер та впливають на права, свободи чи законні інтереси кандидатів, виборців або інших заінтересованих осіб, можуть бути оскаржені в порядку, визначеному цими Методичними рекомендаціями та Законом України «Про адміністративну процедуру».</w:t>
      </w:r>
    </w:p>
    <w:p w14:paraId="000000E9"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Скарга подається у письмовій або електронній формі протягом одного робочого дня з дня, коли особа дізналася або повинна була дізнатися про прийняття відповідного рішення, вчинення дії або допущення бездіяльності.</w:t>
      </w:r>
    </w:p>
    <w:p w14:paraId="000000EA"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Скарга розглядається виборчою комісією (головною виборчою комісією – у разі утворення дільничних комісій) як адміністративним органом протягом двох робочих днів з моменту її надходження. Під час розгляду скарги забезпечується право особи подати пояснення, докази та заперечення, бути вислуханою.</w:t>
      </w:r>
    </w:p>
    <w:p w14:paraId="000000EB"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За результатами розгляду скарги приймається мотивоване рішення та складається адміністративний акт, який повинен містити:</w:t>
      </w:r>
    </w:p>
    <w:p w14:paraId="000000EC"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найменування органу, що його прийняв;</w:t>
      </w:r>
    </w:p>
    <w:p w14:paraId="000000ED"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дату та місце прийняття;</w:t>
      </w:r>
    </w:p>
    <w:p w14:paraId="000000EE"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 обставин справи;</w:t>
      </w:r>
    </w:p>
    <w:p w14:paraId="000000EF"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правове обґрунтування;</w:t>
      </w:r>
    </w:p>
    <w:p w14:paraId="000000F0"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та прийняте рішення;</w:t>
      </w:r>
    </w:p>
    <w:p w14:paraId="000000F1"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і строк його оскарження.</w:t>
      </w:r>
    </w:p>
    <w:p w14:paraId="000000F2" w14:textId="77777777" w:rsidR="00862F5E" w:rsidRDefault="008F6295">
      <w:pPr>
        <w:pBdr>
          <w:top w:val="nil"/>
          <w:left w:val="nil"/>
          <w:bottom w:val="nil"/>
          <w:right w:val="nil"/>
          <w:between w:val="nil"/>
        </w:pBd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набирає чинності з моменту його доведення до відома заінтересованих осіб, якщо інше не визначено у самому рішенні.</w:t>
      </w:r>
    </w:p>
    <w:p w14:paraId="000000F3" w14:textId="77777777" w:rsidR="00862F5E" w:rsidRDefault="00862F5E">
      <w:pPr>
        <w:pBdr>
          <w:top w:val="nil"/>
          <w:left w:val="nil"/>
          <w:bottom w:val="nil"/>
          <w:right w:val="nil"/>
          <w:between w:val="nil"/>
        </w:pBdr>
        <w:shd w:val="clear" w:color="auto" w:fill="FFFFFF"/>
        <w:spacing w:after="0" w:line="240" w:lineRule="auto"/>
        <w:ind w:firstLine="700"/>
        <w:jc w:val="both"/>
        <w:rPr>
          <w:rFonts w:ascii="Times New Roman" w:eastAsia="Times New Roman" w:hAnsi="Times New Roman" w:cs="Times New Roman"/>
          <w:sz w:val="28"/>
          <w:szCs w:val="28"/>
        </w:rPr>
      </w:pPr>
    </w:p>
    <w:p w14:paraId="000000F4" w14:textId="77777777" w:rsidR="00862F5E" w:rsidRDefault="008F6295">
      <w:pPr>
        <w:pBdr>
          <w:top w:val="nil"/>
          <w:left w:val="nil"/>
          <w:bottom w:val="nil"/>
          <w:right w:val="nil"/>
          <w:between w:val="nil"/>
        </w:pBd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За результатами розгляду скарги може бути прийнято рішення про:</w:t>
      </w:r>
    </w:p>
    <w:p w14:paraId="000000F5" w14:textId="77777777" w:rsidR="00862F5E" w:rsidRDefault="008F6295">
      <w:pPr>
        <w:pBdr>
          <w:top w:val="nil"/>
          <w:left w:val="nil"/>
          <w:bottom w:val="nil"/>
          <w:right w:val="nil"/>
          <w:between w:val="nil"/>
        </w:pBd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залишення рішення без змін;</w:t>
      </w:r>
    </w:p>
    <w:p w14:paraId="000000F6" w14:textId="77777777" w:rsidR="00862F5E" w:rsidRDefault="008F6295">
      <w:pPr>
        <w:pBdr>
          <w:top w:val="nil"/>
          <w:left w:val="nil"/>
          <w:bottom w:val="nil"/>
          <w:right w:val="nil"/>
          <w:between w:val="nil"/>
        </w:pBd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його зміну;</w:t>
      </w:r>
    </w:p>
    <w:p w14:paraId="000000F7"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скасування повністю або частково;</w:t>
      </w:r>
    </w:p>
    <w:p w14:paraId="000000F8"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зобов’язання вчинити певні дії;</w:t>
      </w:r>
    </w:p>
    <w:p w14:paraId="000000F9"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повторного голосування на відповідній виборчій дільниці.</w:t>
      </w:r>
    </w:p>
    <w:p w14:paraId="000000FA" w14:textId="77777777" w:rsidR="00862F5E" w:rsidRDefault="008F6295">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невідкладно оприлюднюється на офіційному вебсайті державної наукової установи.</w:t>
      </w:r>
    </w:p>
    <w:p w14:paraId="000000FB"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Особа має право на адміністративне оскарження або безпосереднє звернення до суду в порядку, встановленому законодавством України.</w:t>
      </w:r>
    </w:p>
    <w:p w14:paraId="000000FC" w14:textId="745D4932"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9CE04CA" w14:textId="77777777" w:rsidR="008F6295"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p>
    <w:p w14:paraId="000000FD" w14:textId="77777777" w:rsidR="00862F5E" w:rsidRDefault="008F629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Укладання контракту з обраним керівником</w:t>
      </w:r>
    </w:p>
    <w:p w14:paraId="000000FE" w14:textId="77777777" w:rsidR="00862F5E" w:rsidRDefault="008F629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державної наукової установи </w:t>
      </w:r>
    </w:p>
    <w:p w14:paraId="000000FF" w14:textId="77777777" w:rsidR="00862F5E" w:rsidRDefault="008F6295">
      <w:pPr>
        <w:shd w:val="clear" w:color="auto" w:fill="FFFFFF"/>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Контракт з обраним керівником державної наукової установи укладається органом управління в установленому порядку протягом одного місяця з дня обрання на строк, визначений статутом (положенням) цієї державної наукової установи, але не більш як на п’ять років.</w:t>
      </w:r>
    </w:p>
    <w:p w14:paraId="00000100"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 При оформленні трудових відносин сторони використовують «Типову форму контракту з керівником державної наукової установи», затверджену постановою Кабінету Міністрів України від ___ __________2026 року (далі – контракт).</w:t>
      </w:r>
    </w:p>
    <w:p w14:paraId="00000101" w14:textId="77777777" w:rsidR="00862F5E" w:rsidRDefault="008F6295">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 За рішенням органу управління керівнику можуть бути встановлені цільові показники ефективності (далі – KPI) діяльності керівника державної наукової установи, які оформляються за формою згідно з додатком</w:t>
      </w:r>
      <w:r>
        <w:rPr>
          <w:rFonts w:ascii="Times New Roman" w:eastAsia="Times New Roman" w:hAnsi="Times New Roman" w:cs="Times New Roman"/>
          <w:color w:val="4A86E8"/>
          <w:sz w:val="28"/>
          <w:szCs w:val="28"/>
        </w:rPr>
        <w:t xml:space="preserve"> </w:t>
      </w:r>
      <w:r>
        <w:rPr>
          <w:rFonts w:ascii="Times New Roman" w:eastAsia="Times New Roman" w:hAnsi="Times New Roman" w:cs="Times New Roman"/>
          <w:sz w:val="28"/>
          <w:szCs w:val="28"/>
        </w:rPr>
        <w:t>до контракту «Ключові показники ефективності (КРІ) діяльності керівника державної наукової установи» та підписуються сторонами одночасно з основним текстом контракту.</w:t>
      </w:r>
    </w:p>
    <w:p w14:paraId="00000102" w14:textId="77777777" w:rsidR="00862F5E" w:rsidRDefault="008F6295">
      <w:pPr>
        <w:pBdr>
          <w:top w:val="nil"/>
          <w:left w:val="nil"/>
          <w:bottom w:val="nil"/>
          <w:right w:val="nil"/>
          <w:between w:val="nil"/>
        </w:pBd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Орган управління під час встановлення КРІ діяльності керівника державної наукової установи повинен керуватись Рекомендаціями щодо формування ключових показників ефективності діяльності керівника державної наукової установи та оцінювання їх виконання (далі – Рекомендації) згідно з додатком 1 до цих Методичних рекомендацій, а для обрання КРІ, які будуть встановлені керівнику, – Переліком рекомендованих ключових показників ефективності (КРІ) діяльності керівника державної наукової установи згідно з додатком 1 до Рекомендацій та Переліком додаткових ключових показників ефективності (КРІ) за галузевою специфікою діяльності наукових установ згідно з додатком 2 до Рекомендацій.</w:t>
      </w:r>
    </w:p>
    <w:p w14:paraId="00000103" w14:textId="77777777" w:rsidR="00862F5E" w:rsidRDefault="008F6295">
      <w:pPr>
        <w:pBdr>
          <w:top w:val="nil"/>
          <w:left w:val="nil"/>
          <w:bottom w:val="nil"/>
          <w:right w:val="nil"/>
          <w:between w:val="nil"/>
        </w:pBd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 Керівник несе персональну відповідальність за виконання встановлених KPI. Оцінка діяльності керівника здійснюється органом управління відповідно до Рекомендацій та за формою згідно з додатком 3 до Рекомендацій.</w:t>
      </w:r>
    </w:p>
    <w:p w14:paraId="00000104" w14:textId="77777777" w:rsidR="00862F5E" w:rsidRDefault="008F6295">
      <w:pPr>
        <w:spacing w:after="20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Встановлення та застосування KPI не замінює та не дублює процедуру державної атестації наукових установ, а використовується як інструмент управління діяльністю керівника.</w:t>
      </w:r>
    </w:p>
    <w:p w14:paraId="00000105" w14:textId="06FBF4B4" w:rsidR="00862F5E" w:rsidRDefault="008F6295">
      <w:pPr>
        <w:spacing w:before="240" w:after="0" w:line="240" w:lineRule="auto"/>
        <w:ind w:firstLine="7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w:t>
      </w:r>
    </w:p>
    <w:p w14:paraId="00000106" w14:textId="77777777" w:rsidR="00862F5E" w:rsidRDefault="00862F5E">
      <w:pPr>
        <w:spacing w:before="840" w:after="240" w:line="240" w:lineRule="auto"/>
        <w:jc w:val="both"/>
        <w:rPr>
          <w:rFonts w:ascii="Times New Roman" w:eastAsia="Times New Roman" w:hAnsi="Times New Roman" w:cs="Times New Roman"/>
          <w:sz w:val="28"/>
          <w:szCs w:val="28"/>
        </w:rPr>
      </w:pPr>
    </w:p>
    <w:sectPr w:rsidR="00862F5E">
      <w:headerReference w:type="default" r:id="rId12"/>
      <w:pgSz w:w="11906" w:h="16838"/>
      <w:pgMar w:top="850" w:right="850" w:bottom="156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EB307" w14:textId="77777777" w:rsidR="008F6295" w:rsidRDefault="008F6295">
      <w:pPr>
        <w:spacing w:after="0" w:line="240" w:lineRule="auto"/>
      </w:pPr>
      <w:r>
        <w:separator/>
      </w:r>
    </w:p>
  </w:endnote>
  <w:endnote w:type="continuationSeparator" w:id="0">
    <w:p w14:paraId="768DA020" w14:textId="77777777" w:rsidR="008F6295" w:rsidRDefault="008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425ED47B-8DE9-4465-8FB3-1EA899F4D565}"/>
    <w:embedBold r:id="rId2" w:fontKey="{0BE18AEC-DB55-4286-9858-2673BB6A3A09}"/>
  </w:font>
  <w:font w:name="Times New Roman">
    <w:panose1 w:val="02020603050405020304"/>
    <w:charset w:val="CC"/>
    <w:family w:val="roman"/>
    <w:pitch w:val="variable"/>
    <w:sig w:usb0="E0002EFF" w:usb1="C000785B" w:usb2="00000009" w:usb3="00000000" w:csb0="000001FF" w:csb1="00000000"/>
  </w:font>
  <w:font w:name="Antiqu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3" w:fontKey="{66ECCD97-B89E-4402-9890-277898BB6BFE}"/>
  </w:font>
  <w:font w:name="Segoe UI">
    <w:panose1 w:val="020B0502040204020203"/>
    <w:charset w:val="CC"/>
    <w:family w:val="swiss"/>
    <w:pitch w:val="variable"/>
    <w:sig w:usb0="E4002EFF" w:usb1="C000E47F" w:usb2="00000009" w:usb3="00000000" w:csb0="000001FF" w:csb1="00000000"/>
    <w:embedRegular r:id="rId4" w:fontKey="{7EA0017B-DBBB-456F-9468-B90633117C45}"/>
  </w:font>
  <w:font w:name="Calibri Light">
    <w:panose1 w:val="020F0302020204030204"/>
    <w:charset w:val="CC"/>
    <w:family w:val="swiss"/>
    <w:pitch w:val="variable"/>
    <w:sig w:usb0="E4002EFF" w:usb1="C000247B" w:usb2="00000009" w:usb3="00000000" w:csb0="000001FF" w:csb1="00000000"/>
    <w:embedRegular r:id="rId5" w:fontKey="{1D680E5B-44E3-4458-AFDF-9F08CCD5006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210F6" w14:textId="77777777" w:rsidR="008F6295" w:rsidRDefault="008F6295">
      <w:pPr>
        <w:spacing w:after="0" w:line="240" w:lineRule="auto"/>
      </w:pPr>
      <w:r>
        <w:separator/>
      </w:r>
    </w:p>
  </w:footnote>
  <w:footnote w:type="continuationSeparator" w:id="0">
    <w:p w14:paraId="18E8D22A" w14:textId="77777777" w:rsidR="008F6295" w:rsidRDefault="008F6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F8" w14:textId="7E2C881A" w:rsidR="008F6295" w:rsidRDefault="008F6295">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F6129">
      <w:rPr>
        <w:rFonts w:ascii="Times New Roman" w:eastAsia="Times New Roman" w:hAnsi="Times New Roman" w:cs="Times New Roman"/>
        <w:noProof/>
        <w:color w:val="000000"/>
        <w:sz w:val="24"/>
        <w:szCs w:val="24"/>
      </w:rPr>
      <w:t>18</w:t>
    </w:r>
    <w:r>
      <w:rPr>
        <w:rFonts w:ascii="Times New Roman" w:eastAsia="Times New Roman" w:hAnsi="Times New Roman" w:cs="Times New Roman"/>
        <w:color w:val="000000"/>
        <w:sz w:val="24"/>
        <w:szCs w:val="24"/>
      </w:rPr>
      <w:fldChar w:fldCharType="end"/>
    </w:r>
  </w:p>
  <w:p w14:paraId="000007F9" w14:textId="77777777" w:rsidR="008F6295" w:rsidRDefault="008F6295">
    <w:pPr>
      <w:pBdr>
        <w:top w:val="nil"/>
        <w:left w:val="nil"/>
        <w:bottom w:val="nil"/>
        <w:right w:val="nil"/>
        <w:between w:val="nil"/>
      </w:pBdr>
      <w:tabs>
        <w:tab w:val="center" w:pos="4819"/>
        <w:tab w:val="right" w:pos="9639"/>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C912D5"/>
    <w:multiLevelType w:val="multilevel"/>
    <w:tmpl w:val="3A82D5B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F5E"/>
    <w:rsid w:val="00063834"/>
    <w:rsid w:val="00452BA2"/>
    <w:rsid w:val="005F6129"/>
    <w:rsid w:val="00862F5E"/>
    <w:rsid w:val="008F6295"/>
    <w:rsid w:val="00D83F4A"/>
    <w:rsid w:val="00DE46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1C32"/>
  <w15:docId w15:val="{17DA037D-F386-43C6-A7A1-C7B489CD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bCs/>
      <w:sz w:val="48"/>
      <w:szCs w:val="48"/>
    </w:rPr>
  </w:style>
  <w:style w:type="paragraph" w:styleId="2">
    <w:name w:val="heading 2"/>
    <w:basedOn w:val="a"/>
    <w:next w:val="a"/>
    <w:pPr>
      <w:spacing w:line="240" w:lineRule="auto"/>
      <w:outlineLvl w:val="1"/>
    </w:pPr>
    <w:rPr>
      <w:rFonts w:ascii="Times New Roman" w:eastAsia="Times New Roman" w:hAnsi="Times New Roman" w:cs="Times New Roman"/>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rvps6">
    <w:name w:val="rvps6"/>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B2315B"/>
  </w:style>
  <w:style w:type="paragraph" w:customStyle="1" w:styleId="rvps7">
    <w:name w:val="rvps7"/>
    <w:rsid w:val="00B231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B2315B"/>
  </w:style>
  <w:style w:type="character" w:styleId="a4">
    <w:name w:val="Hyperlink"/>
    <w:basedOn w:val="a0"/>
    <w:uiPriority w:val="99"/>
    <w:unhideWhenUsed/>
    <w:rsid w:val="00B2315B"/>
    <w:rPr>
      <w:color w:val="0563C1" w:themeColor="hyperlink"/>
      <w:u w:val="single"/>
    </w:rPr>
  </w:style>
  <w:style w:type="paragraph" w:styleId="a5">
    <w:name w:val="header"/>
    <w:link w:val="a6"/>
    <w:uiPriority w:val="99"/>
    <w:unhideWhenUsed/>
    <w:rsid w:val="0082003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82003A"/>
  </w:style>
  <w:style w:type="paragraph" w:styleId="a7">
    <w:name w:val="footer"/>
    <w:link w:val="a8"/>
    <w:uiPriority w:val="99"/>
    <w:unhideWhenUsed/>
    <w:rsid w:val="0082003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82003A"/>
  </w:style>
  <w:style w:type="paragraph" w:customStyle="1" w:styleId="rvps2">
    <w:name w:val="rvps2"/>
    <w:rsid w:val="008200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97309A"/>
  </w:style>
  <w:style w:type="paragraph" w:styleId="a9">
    <w:name w:val="List Paragraph"/>
    <w:uiPriority w:val="34"/>
    <w:qFormat/>
    <w:rsid w:val="00556F73"/>
    <w:pPr>
      <w:ind w:left="720"/>
      <w:contextualSpacing/>
    </w:pPr>
  </w:style>
  <w:style w:type="paragraph" w:styleId="aa">
    <w:name w:val="Normal (Web)"/>
    <w:uiPriority w:val="99"/>
    <w:semiHidden/>
    <w:unhideWhenUsed/>
    <w:rsid w:val="009D0E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149">
    <w:name w:val="citation-149"/>
    <w:basedOn w:val="a0"/>
    <w:rsid w:val="009D0E8A"/>
  </w:style>
  <w:style w:type="character" w:customStyle="1" w:styleId="citation-148">
    <w:name w:val="citation-148"/>
    <w:basedOn w:val="a0"/>
    <w:rsid w:val="009D0E8A"/>
  </w:style>
  <w:style w:type="character" w:customStyle="1" w:styleId="button-label">
    <w:name w:val="button-label"/>
    <w:basedOn w:val="a0"/>
    <w:rsid w:val="009D0E8A"/>
  </w:style>
  <w:style w:type="character" w:customStyle="1" w:styleId="citation-147">
    <w:name w:val="citation-147"/>
    <w:basedOn w:val="a0"/>
    <w:rsid w:val="009D0E8A"/>
  </w:style>
  <w:style w:type="character" w:customStyle="1" w:styleId="citation-146">
    <w:name w:val="citation-146"/>
    <w:basedOn w:val="a0"/>
    <w:rsid w:val="009D0E8A"/>
  </w:style>
  <w:style w:type="character" w:customStyle="1" w:styleId="citation-145">
    <w:name w:val="citation-145"/>
    <w:basedOn w:val="a0"/>
    <w:rsid w:val="009D0E8A"/>
  </w:style>
  <w:style w:type="character" w:customStyle="1" w:styleId="citation-144">
    <w:name w:val="citation-144"/>
    <w:basedOn w:val="a0"/>
    <w:rsid w:val="009D0E8A"/>
  </w:style>
  <w:style w:type="character" w:customStyle="1" w:styleId="citation-143">
    <w:name w:val="citation-143"/>
    <w:basedOn w:val="a0"/>
    <w:rsid w:val="009D0E8A"/>
  </w:style>
  <w:style w:type="character" w:customStyle="1" w:styleId="citation-142">
    <w:name w:val="citation-142"/>
    <w:basedOn w:val="a0"/>
    <w:rsid w:val="009D0E8A"/>
  </w:style>
  <w:style w:type="character" w:customStyle="1" w:styleId="citation-141">
    <w:name w:val="citation-141"/>
    <w:basedOn w:val="a0"/>
    <w:rsid w:val="009D0E8A"/>
  </w:style>
  <w:style w:type="character" w:customStyle="1" w:styleId="citation-140">
    <w:name w:val="citation-140"/>
    <w:basedOn w:val="a0"/>
    <w:rsid w:val="009D0E8A"/>
  </w:style>
  <w:style w:type="character" w:customStyle="1" w:styleId="citation-139">
    <w:name w:val="citation-139"/>
    <w:basedOn w:val="a0"/>
    <w:rsid w:val="009D0E8A"/>
  </w:style>
  <w:style w:type="character" w:customStyle="1" w:styleId="citation-138">
    <w:name w:val="citation-138"/>
    <w:basedOn w:val="a0"/>
    <w:rsid w:val="009D0E8A"/>
  </w:style>
  <w:style w:type="paragraph" w:customStyle="1" w:styleId="ab">
    <w:name w:val="Нормальний текст"/>
    <w:rsid w:val="00AF4548"/>
    <w:pPr>
      <w:spacing w:before="120" w:after="0" w:line="240" w:lineRule="auto"/>
      <w:ind w:firstLine="567"/>
      <w:jc w:val="both"/>
    </w:pPr>
    <w:rPr>
      <w:rFonts w:ascii="Antiqua" w:eastAsia="Times New Roman" w:hAnsi="Antiqua" w:cs="Times New Roman"/>
      <w:sz w:val="26"/>
      <w:szCs w:val="20"/>
      <w:lang w:eastAsia="ru-RU"/>
    </w:rPr>
  </w:style>
  <w:style w:type="paragraph" w:customStyle="1" w:styleId="ac">
    <w:name w:val="Назва документа"/>
    <w:next w:val="ab"/>
    <w:rsid w:val="00AF4548"/>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rsid w:val="00AF4548"/>
    <w:pPr>
      <w:keepNext/>
      <w:keepLines/>
      <w:spacing w:after="240" w:line="240" w:lineRule="auto"/>
      <w:ind w:left="3969"/>
      <w:jc w:val="center"/>
    </w:pPr>
    <w:rPr>
      <w:rFonts w:ascii="Antiqua" w:eastAsia="Times New Roman" w:hAnsi="Antiqua" w:cs="Times New Roman"/>
      <w:sz w:val="26"/>
      <w:szCs w:val="20"/>
      <w:lang w:eastAsia="ru-RU"/>
    </w:rPr>
  </w:style>
  <w:style w:type="character" w:customStyle="1" w:styleId="10">
    <w:name w:val="Заголовок 1 Знак"/>
    <w:basedOn w:val="a0"/>
    <w:rsid w:val="002228CE"/>
    <w:rPr>
      <w:rFonts w:ascii="Times New Roman" w:eastAsia="Times New Roman" w:hAnsi="Times New Roman" w:cs="Times New Roman"/>
      <w:b/>
      <w:bCs/>
      <w:sz w:val="48"/>
      <w:szCs w:val="48"/>
      <w:lang w:val="uk" w:eastAsia="uk-UA"/>
    </w:rPr>
  </w:style>
  <w:style w:type="character" w:customStyle="1" w:styleId="20">
    <w:name w:val="Заголовок 2 Знак"/>
    <w:basedOn w:val="a0"/>
    <w:rsid w:val="002228CE"/>
    <w:rPr>
      <w:rFonts w:ascii="Times New Roman" w:eastAsia="Times New Roman" w:hAnsi="Times New Roman" w:cs="Times New Roman"/>
      <w:b/>
      <w:bCs/>
      <w:sz w:val="36"/>
      <w:szCs w:val="36"/>
      <w:lang w:val="uk" w:eastAsia="uk-UA"/>
    </w:rPr>
  </w:style>
  <w:style w:type="character" w:customStyle="1" w:styleId="30">
    <w:name w:val="Заголовок 3 Знак"/>
    <w:basedOn w:val="a0"/>
    <w:rsid w:val="002228CE"/>
    <w:rPr>
      <w:rFonts w:ascii="Times New Roman" w:eastAsia="Times New Roman" w:hAnsi="Times New Roman" w:cs="Times New Roman"/>
      <w:b/>
      <w:bCs/>
      <w:sz w:val="27"/>
      <w:szCs w:val="27"/>
      <w:lang w:val="uk" w:eastAsia="uk-UA"/>
    </w:rPr>
  </w:style>
  <w:style w:type="character" w:customStyle="1" w:styleId="40">
    <w:name w:val="Заголовок 4 Знак"/>
    <w:basedOn w:val="a0"/>
    <w:rsid w:val="002228CE"/>
    <w:rPr>
      <w:rFonts w:ascii="Calibri" w:eastAsia="Calibri" w:hAnsi="Calibri" w:cs="Calibri"/>
      <w:b/>
      <w:bCs/>
      <w:sz w:val="24"/>
      <w:szCs w:val="24"/>
      <w:lang w:val="uk" w:eastAsia="uk-UA"/>
    </w:rPr>
  </w:style>
  <w:style w:type="character" w:customStyle="1" w:styleId="50">
    <w:name w:val="Заголовок 5 Знак"/>
    <w:basedOn w:val="a0"/>
    <w:rsid w:val="002228CE"/>
    <w:rPr>
      <w:rFonts w:ascii="Calibri" w:eastAsia="Calibri" w:hAnsi="Calibri" w:cs="Calibri"/>
      <w:b/>
      <w:bCs/>
      <w:lang w:val="uk" w:eastAsia="uk-UA"/>
    </w:rPr>
  </w:style>
  <w:style w:type="character" w:customStyle="1" w:styleId="60">
    <w:name w:val="Заголовок 6 Знак"/>
    <w:basedOn w:val="a0"/>
    <w:rsid w:val="002228CE"/>
    <w:rPr>
      <w:rFonts w:ascii="Calibri" w:eastAsia="Calibri" w:hAnsi="Calibri" w:cs="Calibri"/>
      <w:b/>
      <w:bCs/>
      <w:sz w:val="20"/>
      <w:szCs w:val="20"/>
      <w:lang w:val="uk" w:eastAsia="uk-UA"/>
    </w:rPr>
  </w:style>
  <w:style w:type="table" w:customStyle="1" w:styleId="TableNormal0">
    <w:name w:val="TableNormal"/>
    <w:rsid w:val="002228CE"/>
    <w:tblPr>
      <w:tblCellMar>
        <w:top w:w="100" w:type="dxa"/>
        <w:left w:w="100" w:type="dxa"/>
        <w:bottom w:w="100" w:type="dxa"/>
        <w:right w:w="100" w:type="dxa"/>
      </w:tblCellMar>
    </w:tblPr>
  </w:style>
  <w:style w:type="character" w:customStyle="1" w:styleId="ad">
    <w:name w:val="Заголовок Знак"/>
    <w:basedOn w:val="a0"/>
    <w:rsid w:val="002228CE"/>
    <w:rPr>
      <w:rFonts w:ascii="Calibri" w:eastAsia="Calibri" w:hAnsi="Calibri" w:cs="Calibri"/>
      <w:b/>
      <w:bCs/>
      <w:sz w:val="72"/>
      <w:szCs w:val="72"/>
      <w:lang w:val="uk" w:eastAsia="uk-UA"/>
    </w:rPr>
  </w:style>
  <w:style w:type="character" w:styleId="ae">
    <w:name w:val="Strong"/>
    <w:basedOn w:val="a0"/>
    <w:uiPriority w:val="22"/>
    <w:qFormat/>
    <w:rsid w:val="002228CE"/>
    <w:rPr>
      <w:b/>
      <w:bCs/>
    </w:rPr>
  </w:style>
  <w:style w:type="table" w:styleId="af">
    <w:name w:val="Table Grid"/>
    <w:basedOn w:val="a1"/>
    <w:uiPriority w:val="39"/>
    <w:rsid w:val="0022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Подзаголовок Знак"/>
    <w:basedOn w:val="a0"/>
    <w:rsid w:val="002228CE"/>
    <w:rPr>
      <w:rFonts w:ascii="Georgia" w:eastAsia="Georgia" w:hAnsi="Georgia" w:cs="Georgia"/>
      <w:i/>
      <w:iCs/>
      <w:color w:val="666666"/>
      <w:sz w:val="48"/>
      <w:szCs w:val="48"/>
      <w:lang w:val="uk" w:eastAsia="uk-UA"/>
    </w:rPr>
  </w:style>
  <w:style w:type="paragraph" w:styleId="af1">
    <w:name w:val="Balloon Text"/>
    <w:link w:val="af2"/>
    <w:uiPriority w:val="99"/>
    <w:semiHidden/>
    <w:unhideWhenUsed/>
    <w:rsid w:val="002228CE"/>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2228CE"/>
    <w:rPr>
      <w:rFonts w:ascii="Segoe UI" w:eastAsia="Calibri" w:hAnsi="Segoe UI" w:cs="Segoe UI"/>
      <w:sz w:val="18"/>
      <w:szCs w:val="18"/>
      <w:lang w:val="uk" w:eastAsia="uk-UA"/>
    </w:rPr>
  </w:style>
  <w:style w:type="paragraph" w:styleId="af3">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paragraph" w:styleId="aff7">
    <w:name w:val="annotation text"/>
    <w:basedOn w:val="a"/>
    <w:link w:val="aff8"/>
    <w:uiPriority w:val="99"/>
    <w:semiHidden/>
    <w:unhideWhenUsed/>
    <w:pPr>
      <w:spacing w:line="240" w:lineRule="auto"/>
    </w:pPr>
    <w:rPr>
      <w:sz w:val="20"/>
      <w:szCs w:val="20"/>
    </w:rPr>
  </w:style>
  <w:style w:type="character" w:customStyle="1" w:styleId="aff8">
    <w:name w:val="Текст примітки Знак"/>
    <w:basedOn w:val="a0"/>
    <w:link w:val="aff7"/>
    <w:uiPriority w:val="99"/>
    <w:semiHidden/>
    <w:rPr>
      <w:sz w:val="20"/>
      <w:szCs w:val="20"/>
    </w:rPr>
  </w:style>
  <w:style w:type="character" w:styleId="aff9">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848-1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98-2016-%D0%BF" TargetMode="External"/><Relationship Id="rId5" Type="http://schemas.openxmlformats.org/officeDocument/2006/relationships/webSettings" Target="webSettings.xml"/><Relationship Id="rId10" Type="http://schemas.openxmlformats.org/officeDocument/2006/relationships/hyperlink" Target="https://zakon.rada.gov.ua/laws/show/2297-17" TargetMode="External"/><Relationship Id="rId4" Type="http://schemas.openxmlformats.org/officeDocument/2006/relationships/settings" Target="settings.xml"/><Relationship Id="rId9" Type="http://schemas.openxmlformats.org/officeDocument/2006/relationships/hyperlink" Target="https://zakon.rada.gov.ua/laws/show/998-2016-%D0%B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NGcDf1DzaAPQHyciul/M14r5g==">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27115</Words>
  <Characters>15456</Characters>
  <Application>Microsoft Office Word</Application>
  <DocSecurity>0</DocSecurity>
  <Lines>128</Lines>
  <Paragraphs>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Dvigun O.V.</dc:creator>
  <cp:lastModifiedBy>Dvigun O.V.</cp:lastModifiedBy>
  <cp:revision>4</cp:revision>
  <dcterms:created xsi:type="dcterms:W3CDTF">2026-04-10T12:45:00Z</dcterms:created>
  <dcterms:modified xsi:type="dcterms:W3CDTF">2026-04-13T10:28:00Z</dcterms:modified>
</cp:coreProperties>
</file>