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673A8" w14:textId="364169F8" w:rsidR="00DD150F" w:rsidRPr="0044390D" w:rsidRDefault="008F4F51" w:rsidP="00E5152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68B105C" wp14:editId="1FFF54E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150F" w:rsidRPr="00DD15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МІНІСТЕРСТВО ОСВІТИ І НАУКИ УКРАЇНИ</w:t>
      </w:r>
    </w:p>
    <w:p w14:paraId="51291496" w14:textId="77777777" w:rsidR="0068313F" w:rsidRPr="00DD150F" w:rsidRDefault="0068313F" w:rsidP="00E5152C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07EFC75B" w14:textId="77777777" w:rsidR="00DD150F" w:rsidRPr="0044390D" w:rsidRDefault="00DD150F" w:rsidP="00E5152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uk-UA"/>
          <w14:ligatures w14:val="none"/>
        </w:rPr>
      </w:pPr>
      <w:r w:rsidRPr="00DD150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uk-UA"/>
          <w14:ligatures w14:val="none"/>
        </w:rPr>
        <w:t>НАКАЗ</w:t>
      </w:r>
    </w:p>
    <w:p w14:paraId="2EA823D6" w14:textId="77777777" w:rsidR="0068313F" w:rsidRPr="00DD150F" w:rsidRDefault="0068313F" w:rsidP="00E5152C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4BFA0F0" w14:textId="77777777" w:rsidR="00DD150F" w:rsidRPr="0044390D" w:rsidRDefault="00DD150F" w:rsidP="00E5152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D15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м. Київ</w:t>
      </w:r>
    </w:p>
    <w:p w14:paraId="04A73186" w14:textId="77777777" w:rsidR="0068313F" w:rsidRPr="00DD150F" w:rsidRDefault="0068313F" w:rsidP="00E5152C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</w:tblGrid>
      <w:tr w:rsidR="0044390D" w:rsidRPr="0044390D" w14:paraId="70276F0C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D050" w14:textId="77777777" w:rsidR="00DD150F" w:rsidRPr="0044390D" w:rsidRDefault="00DD150F" w:rsidP="00E5152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3381" w14:textId="77777777" w:rsidR="00DD150F" w:rsidRPr="0044390D" w:rsidRDefault="00DD150F" w:rsidP="00E5152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2ACF5CCA" w14:textId="77777777" w:rsidR="00DD150F" w:rsidRPr="0044390D" w:rsidRDefault="00DD150F" w:rsidP="00E5152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bookmarkStart w:id="0" w:name="_GoBack"/>
        <w:bookmarkEnd w:id="0"/>
      </w:tr>
    </w:tbl>
    <w:p w14:paraId="5CACA4F4" w14:textId="676C7AF9" w:rsidR="008F4F51" w:rsidRPr="00DD150F" w:rsidRDefault="008F4F51" w:rsidP="00E5152C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1E26F8A" w14:textId="412F3E8D" w:rsidR="00E00C1E" w:rsidRPr="0044390D" w:rsidRDefault="00DD150F" w:rsidP="00E5152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D15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Про внесення змін </w:t>
      </w:r>
      <w:r w:rsidR="0068313F" w:rsidRPr="004439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до наказу Міністерства освіти і науки України</w:t>
      </w:r>
      <w:r w:rsidR="00AC3D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</w:r>
      <w:r w:rsidR="0068313F" w:rsidRPr="004439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від 09 вересня 2022 року № 805</w:t>
      </w:r>
    </w:p>
    <w:p w14:paraId="5DA2E21F" w14:textId="77777777" w:rsidR="003621BC" w:rsidRPr="0044390D" w:rsidRDefault="003621BC" w:rsidP="00E5152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B10B856" w14:textId="77777777" w:rsidR="003621BC" w:rsidRPr="0044390D" w:rsidRDefault="003621BC" w:rsidP="00E5152C">
      <w:pPr>
        <w:pStyle w:val="ae"/>
        <w:spacing w:before="0" w:beforeAutospacing="0" w:after="160" w:afterAutospacing="0" w:line="276" w:lineRule="auto"/>
        <w:ind w:firstLine="567"/>
        <w:jc w:val="both"/>
      </w:pPr>
      <w:r w:rsidRPr="0044390D">
        <w:rPr>
          <w:sz w:val="28"/>
          <w:szCs w:val="28"/>
        </w:rPr>
        <w:t>Відповідно до пункту 6 розділу Х «Прикінцеві та перехідні положення» Закону України «Про професійну освіту», пункту 8 Положення про Міністерство освіти і науки України, затвердженого постановою Кабінету Міністрів України від 16 жовтня 2014 року № 630, </w:t>
      </w:r>
    </w:p>
    <w:p w14:paraId="5B7C9348" w14:textId="77777777" w:rsidR="003621BC" w:rsidRPr="0044390D" w:rsidRDefault="003621BC" w:rsidP="00E5152C">
      <w:pPr>
        <w:pStyle w:val="ae"/>
        <w:spacing w:before="0" w:beforeAutospacing="0" w:after="160" w:afterAutospacing="0" w:line="276" w:lineRule="auto"/>
        <w:jc w:val="both"/>
        <w:rPr>
          <w:b/>
          <w:bCs/>
          <w:sz w:val="28"/>
          <w:szCs w:val="28"/>
        </w:rPr>
      </w:pPr>
      <w:r w:rsidRPr="0044390D">
        <w:rPr>
          <w:b/>
          <w:bCs/>
          <w:sz w:val="28"/>
          <w:szCs w:val="28"/>
        </w:rPr>
        <w:t>НАКАЗУЮ:</w:t>
      </w:r>
    </w:p>
    <w:p w14:paraId="2EFD056D" w14:textId="2D8DA9F7" w:rsidR="00E36A90" w:rsidRPr="0044390D" w:rsidRDefault="003621BC" w:rsidP="00E5152C">
      <w:pPr>
        <w:pStyle w:val="ae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44390D">
        <w:rPr>
          <w:sz w:val="28"/>
          <w:szCs w:val="28"/>
        </w:rPr>
        <w:t xml:space="preserve">1. Внести до </w:t>
      </w:r>
      <w:r w:rsidR="00E36A90" w:rsidRPr="0044390D">
        <w:rPr>
          <w:sz w:val="28"/>
          <w:szCs w:val="28"/>
        </w:rPr>
        <w:t>наказу Міністерства освіти і науки України від 09 вересня 2022 року № 805 «Про затвердження Положення про атестацію педагогічних працівників», зареєстрованого в Міністерстві юстиції України 21 грудня 2022 року за №1649/38985 такі зміни:</w:t>
      </w:r>
    </w:p>
    <w:p w14:paraId="3BC5EEFB" w14:textId="77777777" w:rsidR="00E36A90" w:rsidRPr="0044390D" w:rsidRDefault="00E36A90" w:rsidP="00E5152C">
      <w:pPr>
        <w:pStyle w:val="ae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4390D">
        <w:rPr>
          <w:sz w:val="28"/>
          <w:szCs w:val="28"/>
        </w:rPr>
        <w:t>1) преамбулу викласти в такій редакції:</w:t>
      </w:r>
    </w:p>
    <w:p w14:paraId="336DD87E" w14:textId="5A2BC3A6" w:rsidR="00E36A90" w:rsidRPr="0044390D" w:rsidRDefault="00E36A90" w:rsidP="00E5152C">
      <w:pPr>
        <w:pStyle w:val="ae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4390D">
        <w:rPr>
          <w:sz w:val="28"/>
          <w:szCs w:val="28"/>
        </w:rPr>
        <w:t>«Відповідно до </w:t>
      </w:r>
      <w:hyperlink r:id="rId6" w:anchor="n721" w:history="1">
        <w:r w:rsidRPr="0044390D">
          <w:rPr>
            <w:rStyle w:val="af"/>
            <w:rFonts w:eastAsiaTheme="majorEastAsia"/>
            <w:color w:val="auto"/>
            <w:sz w:val="28"/>
            <w:szCs w:val="28"/>
            <w:u w:val="none"/>
          </w:rPr>
          <w:t>частини п’ятої</w:t>
        </w:r>
      </w:hyperlink>
      <w:r w:rsidRPr="0044390D">
        <w:rPr>
          <w:sz w:val="28"/>
          <w:szCs w:val="28"/>
        </w:rPr>
        <w:t> статті 50 Закону України «Про освіту», </w:t>
      </w:r>
      <w:hyperlink r:id="rId7" w:anchor="n321" w:history="1">
        <w:r w:rsidRPr="0044390D">
          <w:rPr>
            <w:rStyle w:val="af"/>
            <w:rFonts w:eastAsiaTheme="majorEastAsia"/>
            <w:color w:val="auto"/>
            <w:sz w:val="28"/>
            <w:szCs w:val="28"/>
            <w:u w:val="none"/>
          </w:rPr>
          <w:t>статті 32</w:t>
        </w:r>
      </w:hyperlink>
      <w:r w:rsidRPr="0044390D">
        <w:rPr>
          <w:sz w:val="28"/>
          <w:szCs w:val="28"/>
        </w:rPr>
        <w:t> Закону України «Про дошкільну освіту», </w:t>
      </w:r>
      <w:hyperlink r:id="rId8" w:anchor="n815" w:history="1">
        <w:r w:rsidRPr="0044390D">
          <w:rPr>
            <w:rStyle w:val="af"/>
            <w:rFonts w:eastAsiaTheme="majorEastAsia"/>
            <w:color w:val="auto"/>
            <w:sz w:val="28"/>
            <w:szCs w:val="28"/>
            <w:u w:val="none"/>
          </w:rPr>
          <w:t>частини першої</w:t>
        </w:r>
      </w:hyperlink>
      <w:r w:rsidRPr="0044390D">
        <w:rPr>
          <w:sz w:val="28"/>
          <w:szCs w:val="28"/>
        </w:rPr>
        <w:t> статті 48 Закону України «Про повну загальну середню освіту», </w:t>
      </w:r>
      <w:hyperlink r:id="rId9" w:anchor="n284" w:history="1">
        <w:r w:rsidRPr="0044390D">
          <w:rPr>
            <w:rStyle w:val="af"/>
            <w:rFonts w:eastAsiaTheme="majorEastAsia"/>
            <w:color w:val="auto"/>
            <w:sz w:val="28"/>
            <w:szCs w:val="28"/>
            <w:u w:val="none"/>
          </w:rPr>
          <w:t>статті 25</w:t>
        </w:r>
      </w:hyperlink>
      <w:r w:rsidRPr="0044390D">
        <w:rPr>
          <w:sz w:val="28"/>
          <w:szCs w:val="28"/>
        </w:rPr>
        <w:t> Закону України</w:t>
      </w:r>
      <w:r w:rsidR="002B6729">
        <w:rPr>
          <w:sz w:val="28"/>
          <w:szCs w:val="28"/>
        </w:rPr>
        <w:br/>
      </w:r>
      <w:r w:rsidRPr="0044390D">
        <w:rPr>
          <w:sz w:val="28"/>
          <w:szCs w:val="28"/>
        </w:rPr>
        <w:t>«Про позашкільну освіту», </w:t>
      </w:r>
      <w:hyperlink r:id="rId10" w:anchor="n446" w:history="1">
        <w:r w:rsidRPr="0044390D">
          <w:rPr>
            <w:rStyle w:val="af"/>
            <w:rFonts w:eastAsiaTheme="majorEastAsia"/>
            <w:color w:val="auto"/>
            <w:sz w:val="28"/>
            <w:szCs w:val="28"/>
            <w:u w:val="none"/>
          </w:rPr>
          <w:t xml:space="preserve">частини </w:t>
        </w:r>
      </w:hyperlink>
      <w:r w:rsidRPr="0044390D">
        <w:rPr>
          <w:sz w:val="28"/>
          <w:szCs w:val="28"/>
        </w:rPr>
        <w:t xml:space="preserve">першої статті 52 Закону України </w:t>
      </w:r>
      <w:r w:rsidRPr="0044390D">
        <w:rPr>
          <w:b/>
          <w:bCs/>
          <w:sz w:val="28"/>
          <w:szCs w:val="28"/>
        </w:rPr>
        <w:t>«</w:t>
      </w:r>
      <w:r w:rsidRPr="0044390D">
        <w:rPr>
          <w:sz w:val="28"/>
          <w:szCs w:val="28"/>
        </w:rPr>
        <w:t>Про професійну освіту</w:t>
      </w:r>
      <w:r w:rsidRPr="0044390D">
        <w:rPr>
          <w:b/>
          <w:bCs/>
          <w:sz w:val="28"/>
          <w:szCs w:val="28"/>
        </w:rPr>
        <w:t>»</w:t>
      </w:r>
      <w:r w:rsidRPr="0044390D">
        <w:rPr>
          <w:sz w:val="28"/>
          <w:szCs w:val="28"/>
        </w:rPr>
        <w:t>, </w:t>
      </w:r>
      <w:hyperlink r:id="rId11" w:anchor="n312" w:history="1">
        <w:r w:rsidRPr="0044390D">
          <w:rPr>
            <w:rStyle w:val="af"/>
            <w:rFonts w:eastAsiaTheme="majorEastAsia"/>
            <w:color w:val="auto"/>
            <w:sz w:val="28"/>
            <w:szCs w:val="28"/>
            <w:u w:val="none"/>
          </w:rPr>
          <w:t>частини першої</w:t>
        </w:r>
      </w:hyperlink>
      <w:r w:rsidRPr="0044390D">
        <w:rPr>
          <w:sz w:val="28"/>
          <w:szCs w:val="28"/>
        </w:rPr>
        <w:t> статті 24, </w:t>
      </w:r>
      <w:hyperlink r:id="rId12" w:anchor="n939" w:history="1">
        <w:r w:rsidRPr="0044390D">
          <w:rPr>
            <w:rStyle w:val="af"/>
            <w:rFonts w:eastAsiaTheme="majorEastAsia"/>
            <w:color w:val="auto"/>
            <w:sz w:val="28"/>
            <w:szCs w:val="28"/>
            <w:u w:val="none"/>
          </w:rPr>
          <w:t>частини п’ятої</w:t>
        </w:r>
      </w:hyperlink>
      <w:r w:rsidRPr="0044390D">
        <w:rPr>
          <w:sz w:val="28"/>
          <w:szCs w:val="28"/>
        </w:rPr>
        <w:t>, </w:t>
      </w:r>
      <w:hyperlink r:id="rId13" w:anchor="n940" w:history="1">
        <w:r w:rsidRPr="0044390D">
          <w:rPr>
            <w:rStyle w:val="af"/>
            <w:rFonts w:eastAsiaTheme="majorEastAsia"/>
            <w:color w:val="auto"/>
            <w:sz w:val="28"/>
            <w:szCs w:val="28"/>
            <w:u w:val="none"/>
          </w:rPr>
          <w:t>шостої</w:t>
        </w:r>
      </w:hyperlink>
      <w:r w:rsidRPr="0044390D">
        <w:rPr>
          <w:sz w:val="28"/>
          <w:szCs w:val="28"/>
        </w:rPr>
        <w:t> статті 59 Закону України «Про фахову передвищу освіту», </w:t>
      </w:r>
      <w:hyperlink r:id="rId14" w:anchor="n893" w:history="1">
        <w:r w:rsidRPr="0044390D">
          <w:rPr>
            <w:rStyle w:val="af"/>
            <w:rFonts w:eastAsiaTheme="majorEastAsia"/>
            <w:color w:val="auto"/>
            <w:sz w:val="28"/>
            <w:szCs w:val="28"/>
            <w:u w:val="none"/>
          </w:rPr>
          <w:t>частини сьомої</w:t>
        </w:r>
      </w:hyperlink>
      <w:r w:rsidRPr="0044390D">
        <w:rPr>
          <w:sz w:val="28"/>
          <w:szCs w:val="28"/>
        </w:rPr>
        <w:t> статті 55 Закону України «Про вищу освіту» та з метою стимулювання безперервного підвищення рівня професійної майстерності педагогічних працівників </w:t>
      </w:r>
      <w:r w:rsidRPr="0044390D">
        <w:rPr>
          <w:b/>
          <w:bCs/>
          <w:sz w:val="28"/>
          <w:szCs w:val="28"/>
        </w:rPr>
        <w:t>НАКАЗУЮ:</w:t>
      </w:r>
    </w:p>
    <w:p w14:paraId="1817344A" w14:textId="77777777" w:rsidR="00E36A90" w:rsidRPr="0044390D" w:rsidRDefault="00E36A90" w:rsidP="00E5152C">
      <w:pPr>
        <w:pStyle w:val="ae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4390D">
        <w:rPr>
          <w:sz w:val="28"/>
          <w:szCs w:val="28"/>
        </w:rPr>
        <w:t>2)</w:t>
      </w:r>
      <w:r w:rsidRPr="0044390D">
        <w:rPr>
          <w:b/>
          <w:bCs/>
          <w:sz w:val="28"/>
          <w:szCs w:val="28"/>
        </w:rPr>
        <w:t xml:space="preserve"> </w:t>
      </w:r>
      <w:r w:rsidRPr="0044390D">
        <w:rPr>
          <w:sz w:val="28"/>
          <w:szCs w:val="28"/>
        </w:rPr>
        <w:t>у тексті слово «(професійно-технічної)» виключити.</w:t>
      </w:r>
    </w:p>
    <w:p w14:paraId="6DCF62EF" w14:textId="4AB65B57" w:rsidR="003621BC" w:rsidRPr="0044390D" w:rsidRDefault="00AC0C3D" w:rsidP="00E5152C">
      <w:pPr>
        <w:pStyle w:val="ae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4390D">
        <w:rPr>
          <w:sz w:val="28"/>
          <w:szCs w:val="28"/>
        </w:rPr>
        <w:t>2. Внести до </w:t>
      </w:r>
      <w:hyperlink r:id="rId15" w:anchor="n22" w:tgtFrame="_blank" w:history="1">
        <w:r w:rsidRPr="0044390D">
          <w:rPr>
            <w:rStyle w:val="af"/>
            <w:color w:val="auto"/>
            <w:sz w:val="28"/>
            <w:szCs w:val="28"/>
            <w:u w:val="none"/>
          </w:rPr>
          <w:t>Положення про атестацію педагогічних працівників</w:t>
        </w:r>
      </w:hyperlink>
      <w:r w:rsidRPr="0044390D">
        <w:rPr>
          <w:sz w:val="28"/>
          <w:szCs w:val="28"/>
        </w:rPr>
        <w:t>, затвердженого наказом Міністерства освіти і науки України від 09 вересня 2022 року № 805, зареєстрованого в Міністерстві юстиції України 21 грудня 2022 року за № 1649/38985, зміни</w:t>
      </w:r>
      <w:r w:rsidR="00301AFD">
        <w:rPr>
          <w:sz w:val="28"/>
          <w:szCs w:val="28"/>
        </w:rPr>
        <w:t xml:space="preserve">, що додаються. </w:t>
      </w:r>
    </w:p>
    <w:p w14:paraId="79DD1EFD" w14:textId="573A0684" w:rsidR="0044390D" w:rsidRPr="0044390D" w:rsidRDefault="0044390D" w:rsidP="00E5152C">
      <w:pPr>
        <w:pStyle w:val="ae"/>
        <w:numPr>
          <w:ilvl w:val="0"/>
          <w:numId w:val="2"/>
        </w:numPr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4390D">
        <w:rPr>
          <w:sz w:val="28"/>
          <w:szCs w:val="28"/>
        </w:rPr>
        <w:lastRenderedPageBreak/>
        <w:t>Директорату професійної освіти (</w:t>
      </w:r>
      <w:r w:rsidR="008F4F51">
        <w:rPr>
          <w:sz w:val="28"/>
          <w:szCs w:val="28"/>
        </w:rPr>
        <w:t>ШУМІК</w:t>
      </w:r>
      <w:r w:rsidRPr="0044390D">
        <w:rPr>
          <w:sz w:val="28"/>
          <w:szCs w:val="28"/>
        </w:rPr>
        <w:t xml:space="preserve"> Ірина) у встановленому порядку забезпечити подання цього наказу на державну реєстрацію до Міністерства юстиції України.</w:t>
      </w:r>
    </w:p>
    <w:p w14:paraId="64656589" w14:textId="77777777" w:rsidR="0044390D" w:rsidRPr="0044390D" w:rsidRDefault="0044390D" w:rsidP="00E5152C">
      <w:pPr>
        <w:pStyle w:val="ae"/>
        <w:numPr>
          <w:ilvl w:val="0"/>
          <w:numId w:val="2"/>
        </w:numPr>
        <w:spacing w:line="276" w:lineRule="auto"/>
        <w:ind w:firstLine="567"/>
        <w:jc w:val="both"/>
        <w:rPr>
          <w:sz w:val="28"/>
          <w:szCs w:val="28"/>
        </w:rPr>
      </w:pPr>
      <w:r w:rsidRPr="0044390D">
        <w:rPr>
          <w:sz w:val="28"/>
          <w:szCs w:val="28"/>
        </w:rPr>
        <w:t>Цей наказ набирає чинності з дня його офіційного опублікування.</w:t>
      </w:r>
    </w:p>
    <w:p w14:paraId="7326E252" w14:textId="78111B8C" w:rsidR="00A2634E" w:rsidRDefault="0044390D" w:rsidP="00E5152C">
      <w:pPr>
        <w:pStyle w:val="ae"/>
        <w:numPr>
          <w:ilvl w:val="0"/>
          <w:numId w:val="2"/>
        </w:numPr>
        <w:spacing w:line="276" w:lineRule="auto"/>
        <w:ind w:firstLine="567"/>
        <w:jc w:val="both"/>
        <w:rPr>
          <w:sz w:val="28"/>
          <w:szCs w:val="28"/>
        </w:rPr>
      </w:pPr>
      <w:r w:rsidRPr="0044390D">
        <w:rPr>
          <w:sz w:val="28"/>
          <w:szCs w:val="28"/>
        </w:rPr>
        <w:t xml:space="preserve">Контроль за виконанням цього наказу покласти на заступника Міністра з питань цифрового розвитку, цифрових трансформацій і цифровізації </w:t>
      </w:r>
      <w:r w:rsidR="008F4F51">
        <w:rPr>
          <w:sz w:val="28"/>
          <w:szCs w:val="28"/>
        </w:rPr>
        <w:t>ЗАВГОРОДНЬОГО</w:t>
      </w:r>
      <w:r w:rsidRPr="0044390D">
        <w:rPr>
          <w:sz w:val="28"/>
          <w:szCs w:val="28"/>
        </w:rPr>
        <w:t xml:space="preserve"> Дмитра. </w:t>
      </w:r>
    </w:p>
    <w:p w14:paraId="13B97926" w14:textId="77777777" w:rsidR="00A2634E" w:rsidRPr="00A2634E" w:rsidRDefault="00A2634E" w:rsidP="00E5152C">
      <w:pPr>
        <w:pStyle w:val="ae"/>
        <w:spacing w:line="276" w:lineRule="auto"/>
        <w:jc w:val="both"/>
        <w:rPr>
          <w:sz w:val="28"/>
          <w:szCs w:val="28"/>
        </w:rPr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5735"/>
      </w:tblGrid>
      <w:tr w:rsidR="00F82AA1" w:rsidRPr="00F82AA1" w14:paraId="59895BBA" w14:textId="77777777">
        <w:trPr>
          <w:trHeight w:val="519"/>
        </w:trPr>
        <w:tc>
          <w:tcPr>
            <w:tcW w:w="2069" w:type="pct"/>
            <w:hideMark/>
          </w:tcPr>
          <w:p w14:paraId="6F597A6F" w14:textId="77777777" w:rsidR="00F82AA1" w:rsidRPr="00F82AA1" w:rsidRDefault="00F82AA1" w:rsidP="008F4F51">
            <w:pPr>
              <w:pStyle w:val="ae"/>
              <w:spacing w:line="276" w:lineRule="auto"/>
              <w:rPr>
                <w:b/>
                <w:sz w:val="28"/>
                <w:szCs w:val="28"/>
              </w:rPr>
            </w:pPr>
            <w:r w:rsidRPr="00F82AA1">
              <w:rPr>
                <w:b/>
                <w:bCs/>
                <w:sz w:val="28"/>
                <w:szCs w:val="28"/>
              </w:rPr>
              <w:t>Міністр</w:t>
            </w:r>
          </w:p>
        </w:tc>
        <w:tc>
          <w:tcPr>
            <w:tcW w:w="2931" w:type="pct"/>
            <w:hideMark/>
          </w:tcPr>
          <w:p w14:paraId="56BADBA6" w14:textId="56CC9F77" w:rsidR="00F82AA1" w:rsidRPr="00F82AA1" w:rsidRDefault="00F82AA1" w:rsidP="00E5152C">
            <w:pPr>
              <w:pStyle w:val="ae"/>
              <w:spacing w:line="276" w:lineRule="auto"/>
              <w:ind w:left="567"/>
              <w:rPr>
                <w:b/>
                <w:sz w:val="28"/>
                <w:szCs w:val="28"/>
              </w:rPr>
            </w:pPr>
            <w:r w:rsidRPr="00F82AA1">
              <w:rPr>
                <w:b/>
                <w:bCs/>
                <w:sz w:val="28"/>
                <w:szCs w:val="28"/>
              </w:rPr>
              <w:t xml:space="preserve">                                   </w:t>
            </w:r>
            <w:r w:rsidR="008F4F51"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Pr="00F82AA1">
              <w:rPr>
                <w:b/>
                <w:bCs/>
                <w:sz w:val="28"/>
                <w:szCs w:val="28"/>
              </w:rPr>
              <w:t xml:space="preserve"> Оксен ЛІСОВИЙ</w:t>
            </w:r>
          </w:p>
        </w:tc>
      </w:tr>
    </w:tbl>
    <w:p w14:paraId="4B53CD93" w14:textId="77777777" w:rsidR="00F82AA1" w:rsidRPr="0044390D" w:rsidRDefault="00F82AA1" w:rsidP="00E5152C">
      <w:pPr>
        <w:pStyle w:val="ae"/>
        <w:spacing w:line="276" w:lineRule="auto"/>
        <w:ind w:left="567"/>
        <w:jc w:val="both"/>
        <w:rPr>
          <w:sz w:val="28"/>
          <w:szCs w:val="28"/>
        </w:rPr>
      </w:pPr>
    </w:p>
    <w:p w14:paraId="15BA3E87" w14:textId="77777777" w:rsidR="0044390D" w:rsidRPr="0044390D" w:rsidRDefault="0044390D" w:rsidP="00E5152C">
      <w:pPr>
        <w:pStyle w:val="ae"/>
        <w:spacing w:before="0" w:beforeAutospacing="0" w:after="160" w:afterAutospacing="0" w:line="276" w:lineRule="auto"/>
        <w:ind w:firstLine="567"/>
        <w:jc w:val="both"/>
        <w:rPr>
          <w:sz w:val="28"/>
          <w:szCs w:val="28"/>
        </w:rPr>
      </w:pPr>
    </w:p>
    <w:p w14:paraId="776BE4BA" w14:textId="77777777" w:rsidR="0068313F" w:rsidRPr="0044390D" w:rsidRDefault="0068313F" w:rsidP="00E5152C">
      <w:pPr>
        <w:spacing w:line="276" w:lineRule="auto"/>
        <w:jc w:val="center"/>
      </w:pPr>
    </w:p>
    <w:sectPr w:rsidR="0068313F" w:rsidRPr="004439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72813"/>
    <w:multiLevelType w:val="multilevel"/>
    <w:tmpl w:val="7584D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494A4C"/>
    <w:multiLevelType w:val="multilevel"/>
    <w:tmpl w:val="0D5A7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1"/>
    <w:lvlOverride w:ilvl="0">
      <w:lvl w:ilvl="0">
        <w:start w:val="3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1E"/>
    <w:rsid w:val="002B6729"/>
    <w:rsid w:val="00301AFD"/>
    <w:rsid w:val="003621BC"/>
    <w:rsid w:val="0044390D"/>
    <w:rsid w:val="0068313F"/>
    <w:rsid w:val="008F4F51"/>
    <w:rsid w:val="009A1ADB"/>
    <w:rsid w:val="00A2634E"/>
    <w:rsid w:val="00AC0C3D"/>
    <w:rsid w:val="00AC3D87"/>
    <w:rsid w:val="00CA00E3"/>
    <w:rsid w:val="00DD150F"/>
    <w:rsid w:val="00E00C1E"/>
    <w:rsid w:val="00E36A90"/>
    <w:rsid w:val="00E5152C"/>
    <w:rsid w:val="00F82AA1"/>
    <w:rsid w:val="00F8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8F73"/>
  <w15:chartTrackingRefBased/>
  <w15:docId w15:val="{A696BD22-18B3-4C7C-844B-DD775F39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C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C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C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0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0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0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C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0C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0C1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6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Hyperlink"/>
    <w:basedOn w:val="a0"/>
    <w:uiPriority w:val="99"/>
    <w:unhideWhenUsed/>
    <w:rsid w:val="00E36A9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3-20" TargetMode="External"/><Relationship Id="rId13" Type="http://schemas.openxmlformats.org/officeDocument/2006/relationships/hyperlink" Target="https://zakon.rada.gov.ua/laws/show/2745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628-14" TargetMode="External"/><Relationship Id="rId12" Type="http://schemas.openxmlformats.org/officeDocument/2006/relationships/hyperlink" Target="https://zakon.rada.gov.ua/laws/show/2745-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2745-19" TargetMode="External"/><Relationship Id="rId5" Type="http://schemas.openxmlformats.org/officeDocument/2006/relationships/image" Target="media/image1.tif"/><Relationship Id="rId15" Type="http://schemas.openxmlformats.org/officeDocument/2006/relationships/hyperlink" Target="https://zakon.rada.gov.ua/laws/show/z1649-22" TargetMode="External"/><Relationship Id="rId10" Type="http://schemas.openxmlformats.org/officeDocument/2006/relationships/hyperlink" Target="https://zakon.rada.gov.ua/laws/show/103/98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841-14" TargetMode="External"/><Relationship Id="rId14" Type="http://schemas.openxmlformats.org/officeDocument/2006/relationships/hyperlink" Target="https://zakon.rada.gov.ua/laws/show/1556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1770</Words>
  <Characters>1009</Characters>
  <Application>Microsoft Office Word</Application>
  <DocSecurity>0</DocSecurity>
  <Lines>8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Kanya</dc:creator>
  <cp:keywords/>
  <dc:description/>
  <cp:lastModifiedBy>Garmash L.M.</cp:lastModifiedBy>
  <cp:revision>5</cp:revision>
  <dcterms:created xsi:type="dcterms:W3CDTF">2026-04-09T18:36:00Z</dcterms:created>
  <dcterms:modified xsi:type="dcterms:W3CDTF">2026-04-10T07:43:00Z</dcterms:modified>
</cp:coreProperties>
</file>