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4EEACD" w14:textId="77777777" w:rsidR="000F6DF6" w:rsidRDefault="000F0FFE">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АНАЛІЗ РЕГУЛЯТОРНОГО ВПЛИВУ</w:t>
      </w:r>
    </w:p>
    <w:p w14:paraId="2992C218" w14:textId="77777777" w:rsidR="000F6DF6" w:rsidRDefault="000F0FFE" w:rsidP="00226481">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проєкту наказу Міністерства освіти і науки України «Про внесення змін до наказу Міністерства освіти і науки України від 09 вересня 2022 року № 805»</w:t>
      </w:r>
    </w:p>
    <w:p w14:paraId="7E2CE3DD" w14:textId="77777777" w:rsidR="000F6DF6" w:rsidRDefault="000F6DF6" w:rsidP="00226481">
      <w:pPr>
        <w:spacing w:after="0" w:line="276" w:lineRule="auto"/>
        <w:jc w:val="both"/>
        <w:rPr>
          <w:rFonts w:ascii="Times New Roman" w:eastAsia="Times New Roman" w:hAnsi="Times New Roman" w:cs="Times New Roman"/>
          <w:b/>
          <w:bCs/>
          <w:sz w:val="28"/>
          <w:szCs w:val="28"/>
        </w:rPr>
      </w:pPr>
    </w:p>
    <w:p w14:paraId="1B2E8AA0" w14:textId="77777777" w:rsidR="000F6DF6" w:rsidRDefault="000F0FFE">
      <w:pPr>
        <w:pBdr>
          <w:top w:val="nil"/>
          <w:left w:val="nil"/>
          <w:bottom w:val="nil"/>
          <w:right w:val="nil"/>
          <w:between w:val="nil"/>
        </w:pBdr>
        <w:spacing w:after="140" w:line="276"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І. Визначення проблеми</w:t>
      </w:r>
    </w:p>
    <w:p w14:paraId="6388E0FB" w14:textId="77777777" w:rsidR="000F6DF6" w:rsidRDefault="000F0FFE">
      <w:pPr>
        <w:tabs>
          <w:tab w:val="left" w:pos="567"/>
        </w:tabs>
        <w:spacing w:after="0" w:line="276"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Атестація педагогічних працівників слугує дієвим механізмом як забезпечення якості освіти, так і реалізації та гарантування трудових та соціально-економічних прав освітян. Забезпечення об’єктивного та неупередженого підходу до атестації педагогічних працівників є фундаментальною передумовою для їхньої професійної мотивації та належної оплати праці. Усунення нормативних суперечностей у цьому процесі має на меті створення рівних умов для професійного зростання кожного педагогічного працівника. Приведення процедури атестації у відповідність до принципів правової визначеності та недискримінації належить до пріоритетних завдань реформування системи управління освітою. </w:t>
      </w:r>
    </w:p>
    <w:p w14:paraId="152BFA9E" w14:textId="4D56AE21" w:rsidR="000F6DF6" w:rsidRDefault="000F0FFE">
      <w:pPr>
        <w:tabs>
          <w:tab w:val="left" w:pos="567"/>
        </w:tabs>
        <w:spacing w:after="0" w:line="276"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Наразі існує необхідність комплексного вдосконалення процедури атестації педагогічних працівників задля усунення певних нормативних лакун та дискримінаційних положень. Чинна редакція Положення про атестацію педагогічних працівників, затверджен</w:t>
      </w:r>
      <w:r w:rsidR="009C00AB">
        <w:rPr>
          <w:rFonts w:ascii="Times New Roman" w:eastAsia="Times New Roman" w:hAnsi="Times New Roman" w:cs="Times New Roman"/>
          <w:sz w:val="28"/>
          <w:szCs w:val="28"/>
          <w:highlight w:val="white"/>
          <w:lang w:val="uk-UA"/>
        </w:rPr>
        <w:t>а</w:t>
      </w:r>
      <w:bookmarkStart w:id="0" w:name="_GoBack"/>
      <w:bookmarkEnd w:id="0"/>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 xml:space="preserve">наказом Міністерства освіти і науки України від 09 вересня 2022 року № 805 </w:t>
      </w:r>
      <w:r>
        <w:rPr>
          <w:rFonts w:ascii="Times New Roman" w:eastAsia="Times New Roman" w:hAnsi="Times New Roman" w:cs="Times New Roman"/>
          <w:sz w:val="28"/>
          <w:szCs w:val="28"/>
          <w:highlight w:val="white"/>
        </w:rPr>
        <w:t>(далі – Положення)</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не забезпечує однозначного визначення суб’єкта атестації для педагогічних працівників закладів професійної освіти при установах виконання покарань. Разом з тим, наявні вимоги щодо рівня освіти для присвоєння кваліфікаційної категорії «спеціаліст першої категорії» містять внутрішні суперечності, які порушують ієрархію ступенів вищої освіти та ставлять деяку категорію педагогічних працівників у нерівне становище.</w:t>
      </w:r>
    </w:p>
    <w:p w14:paraId="533A356C" w14:textId="77777777" w:rsidR="000F6DF6" w:rsidRDefault="000F0FFE">
      <w:pPr>
        <w:tabs>
          <w:tab w:val="left" w:pos="567"/>
        </w:tabs>
        <w:spacing w:after="0" w:line="276"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Відповідно до абзацу восьмого пункту 1 розділу ІІ «Створення, склад та повноваження атестаційних комісій» Положення центральні органи виконавчої влади, їх територіальні підрозділи, у сфері управління яких перебувають заклади освіти, можуть створювати власні атестаційні комісії II, III рівнів.</w:t>
      </w:r>
      <w:bookmarkStart w:id="1" w:name="bookmark=id.3sii013wloq6" w:colFirst="0" w:colLast="0"/>
      <w:bookmarkEnd w:id="1"/>
      <w:r>
        <w:rPr>
          <w:rFonts w:ascii="Times New Roman" w:eastAsia="Times New Roman" w:hAnsi="Times New Roman" w:cs="Times New Roman"/>
          <w:sz w:val="28"/>
          <w:szCs w:val="28"/>
          <w:highlight w:val="white"/>
        </w:rPr>
        <w:t xml:space="preserve"> </w:t>
      </w:r>
    </w:p>
    <w:p w14:paraId="7B2048A5" w14:textId="77777777" w:rsidR="000F6DF6" w:rsidRDefault="000F0FFE">
      <w:pPr>
        <w:spacing w:after="0" w:line="276"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Водночас Положенням передбачено, що  разі відсутності атестаційних комісій, створених, зокрема, відповідно до абзацу </w:t>
      </w:r>
      <w:hyperlink r:id="rId6" w:anchor="n299">
        <w:r w:rsidR="000F6DF6">
          <w:rPr>
            <w:rFonts w:ascii="Times New Roman" w:eastAsia="Times New Roman" w:hAnsi="Times New Roman" w:cs="Times New Roman"/>
            <w:color w:val="000000"/>
            <w:sz w:val="28"/>
            <w:szCs w:val="28"/>
            <w:highlight w:val="white"/>
          </w:rPr>
          <w:t>восьмого</w:t>
        </w:r>
      </w:hyperlink>
      <w:r>
        <w:rPr>
          <w:rFonts w:ascii="Times New Roman" w:eastAsia="Times New Roman" w:hAnsi="Times New Roman" w:cs="Times New Roman"/>
          <w:sz w:val="28"/>
          <w:szCs w:val="28"/>
          <w:highlight w:val="white"/>
        </w:rPr>
        <w:t> цього пункту, їхні функції виконують атестаційні комісії II, III рівнів органів управління у сфері освіти за місцем розташування суб’єктів освітньої діяльності.</w:t>
      </w:r>
    </w:p>
    <w:p w14:paraId="208FEF09" w14:textId="77777777" w:rsidR="000F6DF6" w:rsidRDefault="000F0FFE">
      <w:pPr>
        <w:tabs>
          <w:tab w:val="left" w:pos="567"/>
        </w:tabs>
        <w:spacing w:after="0" w:line="276"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Попри наявність загальної норми щодо виконання функцій відсутніх комісій атестаційними комісіями II, III рівнів органів управління вищого рівня за місцем розташування суб’єктів освітньої діяльності, на практиці це спричиняє адміністративну плутанину та ускладнює визначення відповідального органу. Відсутність чітко закріплених повноважень атестаційних комісій ІІІ рівня щодо </w:t>
      </w:r>
      <w:r>
        <w:rPr>
          <w:rFonts w:ascii="Times New Roman" w:eastAsia="Times New Roman" w:hAnsi="Times New Roman" w:cs="Times New Roman"/>
          <w:sz w:val="28"/>
          <w:szCs w:val="28"/>
          <w:highlight w:val="white"/>
        </w:rPr>
        <w:lastRenderedPageBreak/>
        <w:t>такої категорії педагогічних працівників призводить до правової невизначеності та ризику порушення строків атестації.</w:t>
      </w:r>
    </w:p>
    <w:p w14:paraId="4CD1E0F2" w14:textId="77777777" w:rsidR="000F6DF6" w:rsidRDefault="000F0FFE">
      <w:pPr>
        <w:tabs>
          <w:tab w:val="left" w:pos="567"/>
        </w:tabs>
        <w:spacing w:after="0" w:line="276"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Розв’язання проблеми потребує нормативного закріплення за атестаційними комісіями III рівня права безпосередньо розглядати документи та приймати рішення щодо кваліфікації педагогічних працівників при установах виконання покарань, у яких працює менше 15 педагогічних працівників. Це забезпечить правову</w:t>
      </w:r>
      <w:r>
        <w:rPr>
          <w:rFonts w:ascii="Times New Roman" w:eastAsia="Times New Roman" w:hAnsi="Times New Roman" w:cs="Times New Roman"/>
          <w:b/>
          <w:bCs/>
          <w:sz w:val="28"/>
          <w:szCs w:val="28"/>
          <w:highlight w:val="white"/>
        </w:rPr>
        <w:t xml:space="preserve"> </w:t>
      </w:r>
      <w:r>
        <w:rPr>
          <w:rFonts w:ascii="Times New Roman" w:eastAsia="Times New Roman" w:hAnsi="Times New Roman" w:cs="Times New Roman"/>
          <w:sz w:val="28"/>
          <w:szCs w:val="28"/>
          <w:highlight w:val="white"/>
        </w:rPr>
        <w:t xml:space="preserve">визначеність атестаційного процесу, встановить чіткий алгоритм дій та гарантуватиме захист прав педагогічних працівників незалежно від відомчого підпорядкування закладу. </w:t>
      </w:r>
    </w:p>
    <w:p w14:paraId="2AAF71FE" w14:textId="77777777" w:rsidR="000F6DF6" w:rsidRDefault="000F0FFE">
      <w:pPr>
        <w:tabs>
          <w:tab w:val="left" w:pos="567"/>
        </w:tabs>
        <w:spacing w:after="0" w:line="276"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Крім того, наявна невідповідність між законодавчо встановленими рівнями вищої освіти та критеріями атестації, що ставить педагогічних працівників у нерівні умови та потребує нормативного коригування. Згідно з абзацом 3 пункту 9 розділу І Положення кваліфікаційна категорія присвоюється працівникові, який має освітньо-професійний ступінь фахового молодшого бакалавра, освітній ступінь молодшого бакалавра або магістра (спеціаліста) та стаж роботи не менше 5 років. Водночас у зазначеному переліку відсутній ступінь вищої освіти «бакалавр». Це призводить до того, що педагогічні працівники з рівнем освіти «бакалавр» опиняються у нерівному становищі порівняно з молодшими бакалаврами. На практиці атестаційні комісії, суворо дотримуючись вимог Положення про атестацію, відмовляють педагогічним працівникам, які мають освітній ступінь бакалавра, у присвоєнні першої кваліфікаційної категорії.</w:t>
      </w:r>
    </w:p>
    <w:p w14:paraId="27B4DB17" w14:textId="77777777" w:rsidR="000F6DF6" w:rsidRDefault="000F0FFE">
      <w:pPr>
        <w:tabs>
          <w:tab w:val="left" w:pos="567"/>
        </w:tabs>
        <w:spacing w:after="0" w:line="276"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Ситуація, за якої фаховий молодший бакалавр має право на присвоєння першої категорії, а бакалавр, що відповідає вищому рівню вищої освіти згідно із Законом «Про вищу освіту», фактично позбавлений такої можливості, є дискримінаційною та порушує право працівників на професійне зростання. З метою захисту трудових та соціально-економічних прав педагогічних працівників та подолання нормативної невідповідності необхідно внести зміни до абзацу 3 пункту 9 розділу І Положення, доповнивши перелік ступенів вищої освіти, що дають право на присвоєння кваліфікаційної категорії «спеціаліст першої категорії», ступенем вищої освіти «бакалавр».</w:t>
      </w:r>
    </w:p>
    <w:p w14:paraId="6045D593" w14:textId="77777777" w:rsidR="000F6DF6" w:rsidRDefault="000F0FFE">
      <w:pPr>
        <w:tabs>
          <w:tab w:val="left" w:pos="567"/>
        </w:tabs>
        <w:spacing w:after="0" w:line="276"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Таким чином, наведені чинники підтверджують необхідність прийняття проєкту наказу «</w:t>
      </w:r>
      <w:r>
        <w:rPr>
          <w:rFonts w:ascii="Times New Roman" w:eastAsia="Times New Roman" w:hAnsi="Times New Roman" w:cs="Times New Roman"/>
          <w:sz w:val="28"/>
          <w:szCs w:val="28"/>
        </w:rPr>
        <w:t xml:space="preserve">Про внесення змін до наказу Міністерства освіти і науки України від 09 вересня 2022 року № 805». Це дозволить забезпечити правову визначеність атестаційного процесу та гарантувати належний захист прав педагогічних працівників. </w:t>
      </w:r>
    </w:p>
    <w:p w14:paraId="721F4888" w14:textId="77777777" w:rsidR="000F6DF6" w:rsidRDefault="000F6DF6">
      <w:pPr>
        <w:tabs>
          <w:tab w:val="left" w:pos="567"/>
        </w:tabs>
        <w:spacing w:after="0" w:line="276" w:lineRule="auto"/>
        <w:ind w:firstLine="567"/>
        <w:jc w:val="both"/>
        <w:rPr>
          <w:rFonts w:ascii="Times New Roman" w:eastAsia="Times New Roman" w:hAnsi="Times New Roman" w:cs="Times New Roman"/>
          <w:sz w:val="28"/>
          <w:szCs w:val="28"/>
          <w:lang w:val="uk-UA"/>
        </w:rPr>
      </w:pPr>
    </w:p>
    <w:p w14:paraId="0C11A41D" w14:textId="77777777" w:rsidR="0088738A" w:rsidRDefault="0088738A">
      <w:pPr>
        <w:tabs>
          <w:tab w:val="left" w:pos="567"/>
        </w:tabs>
        <w:spacing w:after="0" w:line="276" w:lineRule="auto"/>
        <w:ind w:firstLine="567"/>
        <w:jc w:val="both"/>
        <w:rPr>
          <w:rFonts w:ascii="Times New Roman" w:eastAsia="Times New Roman" w:hAnsi="Times New Roman" w:cs="Times New Roman"/>
          <w:sz w:val="28"/>
          <w:szCs w:val="28"/>
          <w:lang w:val="uk-UA"/>
        </w:rPr>
      </w:pPr>
    </w:p>
    <w:p w14:paraId="543961A8" w14:textId="77777777" w:rsidR="0088738A" w:rsidRDefault="0088738A">
      <w:pPr>
        <w:tabs>
          <w:tab w:val="left" w:pos="567"/>
        </w:tabs>
        <w:spacing w:after="0" w:line="276" w:lineRule="auto"/>
        <w:ind w:firstLine="567"/>
        <w:jc w:val="both"/>
        <w:rPr>
          <w:rFonts w:ascii="Times New Roman" w:eastAsia="Times New Roman" w:hAnsi="Times New Roman" w:cs="Times New Roman"/>
          <w:sz w:val="28"/>
          <w:szCs w:val="28"/>
          <w:lang w:val="uk-UA"/>
        </w:rPr>
      </w:pPr>
    </w:p>
    <w:p w14:paraId="7BE83886" w14:textId="77777777" w:rsidR="0088738A" w:rsidRDefault="0088738A">
      <w:pPr>
        <w:tabs>
          <w:tab w:val="left" w:pos="567"/>
        </w:tabs>
        <w:spacing w:after="0" w:line="276" w:lineRule="auto"/>
        <w:ind w:firstLine="567"/>
        <w:jc w:val="both"/>
        <w:rPr>
          <w:rFonts w:ascii="Times New Roman" w:eastAsia="Times New Roman" w:hAnsi="Times New Roman" w:cs="Times New Roman"/>
          <w:sz w:val="28"/>
          <w:szCs w:val="28"/>
          <w:lang w:val="uk-UA"/>
        </w:rPr>
      </w:pPr>
    </w:p>
    <w:p w14:paraId="5E8F919C" w14:textId="77777777" w:rsidR="0088738A" w:rsidRPr="0088738A" w:rsidRDefault="0088738A">
      <w:pPr>
        <w:tabs>
          <w:tab w:val="left" w:pos="567"/>
        </w:tabs>
        <w:spacing w:after="0" w:line="276" w:lineRule="auto"/>
        <w:ind w:firstLine="567"/>
        <w:jc w:val="both"/>
        <w:rPr>
          <w:rFonts w:ascii="Times New Roman" w:eastAsia="Times New Roman" w:hAnsi="Times New Roman" w:cs="Times New Roman"/>
          <w:sz w:val="28"/>
          <w:szCs w:val="28"/>
          <w:lang w:val="uk-UA"/>
        </w:rPr>
      </w:pPr>
    </w:p>
    <w:p w14:paraId="352E8B55" w14:textId="77777777" w:rsidR="000F6DF6" w:rsidRDefault="000F0FFE">
      <w:pPr>
        <w:spacing w:after="0" w:line="276" w:lineRule="auto"/>
        <w:ind w:firstLine="567"/>
        <w:jc w:val="both"/>
        <w:rPr>
          <w:rFonts w:ascii="Times New Roman" w:eastAsia="Times New Roman" w:hAnsi="Times New Roman" w:cs="Times New Roman"/>
          <w:b/>
          <w:bCs/>
          <w:sz w:val="27"/>
          <w:szCs w:val="27"/>
          <w:highlight w:val="white"/>
        </w:rPr>
      </w:pPr>
      <w:r>
        <w:rPr>
          <w:rFonts w:ascii="Times New Roman" w:eastAsia="Times New Roman" w:hAnsi="Times New Roman" w:cs="Times New Roman"/>
          <w:b/>
          <w:bCs/>
          <w:sz w:val="27"/>
          <w:szCs w:val="27"/>
          <w:highlight w:val="white"/>
        </w:rPr>
        <w:lastRenderedPageBreak/>
        <w:t>Основні групи (підгрупи), на які справляється вплив при підготовці проєкту:</w:t>
      </w:r>
    </w:p>
    <w:p w14:paraId="55A41485" w14:textId="77777777" w:rsidR="000F6DF6" w:rsidRDefault="000F6DF6">
      <w:pPr>
        <w:spacing w:after="140" w:line="276" w:lineRule="auto"/>
        <w:ind w:firstLine="567"/>
        <w:jc w:val="center"/>
        <w:rPr>
          <w:rFonts w:ascii="Times New Roman" w:eastAsia="Times New Roman" w:hAnsi="Times New Roman" w:cs="Times New Roman"/>
          <w:b/>
          <w:bCs/>
          <w:sz w:val="27"/>
          <w:szCs w:val="27"/>
        </w:rPr>
      </w:pPr>
    </w:p>
    <w:tbl>
      <w:tblPr>
        <w:tblStyle w:val="aff4"/>
        <w:tblW w:w="9884" w:type="dxa"/>
        <w:tblInd w:w="0" w:type="dxa"/>
        <w:tblLayout w:type="fixed"/>
        <w:tblLook w:val="0400" w:firstRow="0" w:lastRow="0" w:firstColumn="0" w:lastColumn="0" w:noHBand="0" w:noVBand="1"/>
      </w:tblPr>
      <w:tblGrid>
        <w:gridCol w:w="6982"/>
        <w:gridCol w:w="1518"/>
        <w:gridCol w:w="1384"/>
      </w:tblGrid>
      <w:tr w:rsidR="000F6DF6" w14:paraId="78F99C02" w14:textId="77777777">
        <w:tc>
          <w:tcPr>
            <w:tcW w:w="6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B40797" w14:textId="77777777" w:rsidR="000F6DF6" w:rsidRDefault="000F0FFE">
            <w:pPr>
              <w:shd w:val="clear" w:color="auto" w:fill="FFFFFF"/>
              <w:spacing w:after="140" w:line="276" w:lineRule="auto"/>
              <w:ind w:firstLine="709"/>
              <w:jc w:val="center"/>
              <w:rPr>
                <w:rFonts w:ascii="Times New Roman" w:eastAsia="Times New Roman" w:hAnsi="Times New Roman" w:cs="Times New Roman"/>
              </w:rPr>
            </w:pPr>
            <w:r>
              <w:rPr>
                <w:rFonts w:ascii="Times New Roman" w:eastAsia="Times New Roman" w:hAnsi="Times New Roman" w:cs="Times New Roman"/>
              </w:rPr>
              <w:t>Групи (підгрупи)</w:t>
            </w:r>
          </w:p>
        </w:tc>
        <w:tc>
          <w:tcPr>
            <w:tcW w:w="1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93D418" w14:textId="77777777" w:rsidR="000F6DF6" w:rsidRDefault="000F0FFE">
            <w:pPr>
              <w:shd w:val="clear" w:color="auto" w:fill="FFFFFF"/>
              <w:spacing w:after="140" w:line="276" w:lineRule="auto"/>
              <w:ind w:firstLine="709"/>
              <w:jc w:val="center"/>
              <w:rPr>
                <w:rFonts w:ascii="Times New Roman" w:eastAsia="Times New Roman" w:hAnsi="Times New Roman" w:cs="Times New Roman"/>
              </w:rPr>
            </w:pPr>
            <w:r>
              <w:rPr>
                <w:rFonts w:ascii="Times New Roman" w:eastAsia="Times New Roman" w:hAnsi="Times New Roman" w:cs="Times New Roman"/>
              </w:rPr>
              <w:t>Так</w:t>
            </w:r>
          </w:p>
        </w:tc>
        <w:tc>
          <w:tcPr>
            <w:tcW w:w="1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3C64F4" w14:textId="77777777" w:rsidR="000F6DF6" w:rsidRDefault="000F0FFE">
            <w:pPr>
              <w:shd w:val="clear" w:color="auto" w:fill="FFFFFF"/>
              <w:spacing w:after="140" w:line="276" w:lineRule="auto"/>
              <w:ind w:firstLine="709"/>
              <w:jc w:val="center"/>
              <w:rPr>
                <w:rFonts w:ascii="Times New Roman" w:eastAsia="Times New Roman" w:hAnsi="Times New Roman" w:cs="Times New Roman"/>
              </w:rPr>
            </w:pPr>
            <w:r>
              <w:rPr>
                <w:rFonts w:ascii="Times New Roman" w:eastAsia="Times New Roman" w:hAnsi="Times New Roman" w:cs="Times New Roman"/>
              </w:rPr>
              <w:t>Ні</w:t>
            </w:r>
          </w:p>
        </w:tc>
      </w:tr>
      <w:tr w:rsidR="000F6DF6" w14:paraId="68462428" w14:textId="77777777">
        <w:trPr>
          <w:trHeight w:val="258"/>
        </w:trPr>
        <w:tc>
          <w:tcPr>
            <w:tcW w:w="6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E301D9" w14:textId="77777777" w:rsidR="000F6DF6" w:rsidRDefault="000F0FFE">
            <w:pPr>
              <w:shd w:val="clear" w:color="auto" w:fill="FFFFFF"/>
              <w:spacing w:after="140" w:line="276" w:lineRule="auto"/>
              <w:ind w:firstLine="709"/>
              <w:jc w:val="center"/>
              <w:rPr>
                <w:rFonts w:ascii="Times New Roman" w:eastAsia="Times New Roman" w:hAnsi="Times New Roman" w:cs="Times New Roman"/>
              </w:rPr>
            </w:pPr>
            <w:r>
              <w:rPr>
                <w:rFonts w:ascii="Times New Roman" w:eastAsia="Times New Roman" w:hAnsi="Times New Roman" w:cs="Times New Roman"/>
              </w:rPr>
              <w:t>Громадяни (здобувачі освіти)</w:t>
            </w:r>
          </w:p>
        </w:tc>
        <w:tc>
          <w:tcPr>
            <w:tcW w:w="1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CAA4E5" w14:textId="77777777" w:rsidR="000F6DF6" w:rsidRDefault="000F0FFE">
            <w:pPr>
              <w:shd w:val="clear" w:color="auto" w:fill="FFFFFF"/>
              <w:spacing w:after="140" w:line="276" w:lineRule="auto"/>
              <w:ind w:firstLine="709"/>
              <w:jc w:val="center"/>
              <w:rPr>
                <w:rFonts w:ascii="Times New Roman" w:eastAsia="Times New Roman" w:hAnsi="Times New Roman" w:cs="Times New Roman"/>
              </w:rPr>
            </w:pPr>
            <w:r>
              <w:rPr>
                <w:rFonts w:ascii="Times New Roman" w:eastAsia="Times New Roman" w:hAnsi="Times New Roman" w:cs="Times New Roman"/>
              </w:rPr>
              <w:t>+</w:t>
            </w:r>
          </w:p>
        </w:tc>
        <w:tc>
          <w:tcPr>
            <w:tcW w:w="1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24AE79" w14:textId="77777777" w:rsidR="000F6DF6" w:rsidRDefault="000F0FFE">
            <w:pPr>
              <w:shd w:val="clear" w:color="auto" w:fill="FFFFFF"/>
              <w:spacing w:after="140" w:line="276" w:lineRule="auto"/>
              <w:ind w:firstLine="709"/>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08D2ED17" w14:textId="77777777">
        <w:trPr>
          <w:trHeight w:val="223"/>
        </w:trPr>
        <w:tc>
          <w:tcPr>
            <w:tcW w:w="6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E60851" w14:textId="77777777" w:rsidR="000F6DF6" w:rsidRDefault="000F0FFE">
            <w:pPr>
              <w:shd w:val="clear" w:color="auto" w:fill="FFFFFF"/>
              <w:spacing w:after="140" w:line="276" w:lineRule="auto"/>
              <w:ind w:firstLine="709"/>
              <w:jc w:val="center"/>
              <w:rPr>
                <w:rFonts w:ascii="Times New Roman" w:eastAsia="Times New Roman" w:hAnsi="Times New Roman" w:cs="Times New Roman"/>
              </w:rPr>
            </w:pPr>
            <w:r>
              <w:rPr>
                <w:rFonts w:ascii="Times New Roman" w:eastAsia="Times New Roman" w:hAnsi="Times New Roman" w:cs="Times New Roman"/>
              </w:rPr>
              <w:t>Держава</w:t>
            </w:r>
          </w:p>
        </w:tc>
        <w:tc>
          <w:tcPr>
            <w:tcW w:w="1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D9F9F2" w14:textId="77777777" w:rsidR="000F6DF6" w:rsidRDefault="000F0FFE">
            <w:pPr>
              <w:shd w:val="clear" w:color="auto" w:fill="FFFFFF"/>
              <w:spacing w:after="140" w:line="276" w:lineRule="auto"/>
              <w:ind w:firstLine="709"/>
              <w:jc w:val="center"/>
              <w:rPr>
                <w:rFonts w:ascii="Times New Roman" w:eastAsia="Times New Roman" w:hAnsi="Times New Roman" w:cs="Times New Roman"/>
              </w:rPr>
            </w:pPr>
            <w:r>
              <w:rPr>
                <w:rFonts w:ascii="Times New Roman" w:eastAsia="Times New Roman" w:hAnsi="Times New Roman" w:cs="Times New Roman"/>
              </w:rPr>
              <w:t>+</w:t>
            </w:r>
          </w:p>
        </w:tc>
        <w:tc>
          <w:tcPr>
            <w:tcW w:w="1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568FAE" w14:textId="77777777" w:rsidR="000F6DF6" w:rsidRDefault="000F0FFE">
            <w:pPr>
              <w:shd w:val="clear" w:color="auto" w:fill="FFFFFF"/>
              <w:spacing w:after="140" w:line="276" w:lineRule="auto"/>
              <w:ind w:firstLine="709"/>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716126B7" w14:textId="77777777">
        <w:tc>
          <w:tcPr>
            <w:tcW w:w="6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DE4DF8" w14:textId="77777777" w:rsidR="000F6DF6" w:rsidRDefault="000F0FFE">
            <w:pPr>
              <w:shd w:val="clear" w:color="auto" w:fill="FFFFFF"/>
              <w:spacing w:after="140" w:line="276" w:lineRule="auto"/>
              <w:ind w:firstLine="709"/>
              <w:jc w:val="center"/>
              <w:rPr>
                <w:rFonts w:ascii="Times New Roman" w:eastAsia="Times New Roman" w:hAnsi="Times New Roman" w:cs="Times New Roman"/>
              </w:rPr>
            </w:pPr>
            <w:r>
              <w:rPr>
                <w:rFonts w:ascii="Times New Roman" w:eastAsia="Times New Roman" w:hAnsi="Times New Roman" w:cs="Times New Roman"/>
              </w:rPr>
              <w:t>Суб’єкти господарювання,</w:t>
            </w:r>
          </w:p>
        </w:tc>
        <w:tc>
          <w:tcPr>
            <w:tcW w:w="1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61E8ED" w14:textId="77777777" w:rsidR="000F6DF6" w:rsidRDefault="000F0FFE">
            <w:pPr>
              <w:shd w:val="clear" w:color="auto" w:fill="FFFFFF"/>
              <w:spacing w:after="140" w:line="276" w:lineRule="auto"/>
              <w:ind w:firstLine="709"/>
              <w:jc w:val="center"/>
              <w:rPr>
                <w:rFonts w:ascii="Times New Roman" w:eastAsia="Times New Roman" w:hAnsi="Times New Roman" w:cs="Times New Roman"/>
              </w:rPr>
            </w:pPr>
            <w:r>
              <w:rPr>
                <w:rFonts w:ascii="Times New Roman" w:eastAsia="Times New Roman" w:hAnsi="Times New Roman" w:cs="Times New Roman"/>
              </w:rPr>
              <w:t>+</w:t>
            </w:r>
          </w:p>
        </w:tc>
        <w:tc>
          <w:tcPr>
            <w:tcW w:w="1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31B107" w14:textId="77777777" w:rsidR="000F6DF6" w:rsidRDefault="000F0FFE">
            <w:pPr>
              <w:shd w:val="clear" w:color="auto" w:fill="FFFFFF"/>
              <w:spacing w:after="140" w:line="276" w:lineRule="auto"/>
              <w:ind w:firstLine="709"/>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27B3EC3D" w14:textId="77777777">
        <w:tc>
          <w:tcPr>
            <w:tcW w:w="698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173E21" w14:textId="77777777" w:rsidR="000F6DF6" w:rsidRDefault="000F0FFE">
            <w:pPr>
              <w:shd w:val="clear" w:color="auto" w:fill="FFFFFF"/>
              <w:spacing w:after="140" w:line="276" w:lineRule="auto"/>
              <w:ind w:firstLine="709"/>
              <w:jc w:val="center"/>
              <w:rPr>
                <w:rFonts w:ascii="Times New Roman" w:eastAsia="Times New Roman" w:hAnsi="Times New Roman" w:cs="Times New Roman"/>
              </w:rPr>
            </w:pPr>
            <w:r>
              <w:rPr>
                <w:rFonts w:ascii="Times New Roman" w:eastAsia="Times New Roman" w:hAnsi="Times New Roman" w:cs="Times New Roman"/>
              </w:rPr>
              <w:t>У тому числі суб’єкти малого підприємництва</w:t>
            </w:r>
          </w:p>
        </w:tc>
        <w:tc>
          <w:tcPr>
            <w:tcW w:w="1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B75760" w14:textId="77777777" w:rsidR="000F6DF6" w:rsidRDefault="000F0FFE">
            <w:pPr>
              <w:shd w:val="clear" w:color="auto" w:fill="FFFFFF"/>
              <w:spacing w:after="140" w:line="276" w:lineRule="auto"/>
              <w:ind w:firstLine="709"/>
              <w:jc w:val="center"/>
              <w:rPr>
                <w:rFonts w:ascii="Times New Roman" w:eastAsia="Times New Roman" w:hAnsi="Times New Roman" w:cs="Times New Roman"/>
              </w:rPr>
            </w:pPr>
            <w:r>
              <w:rPr>
                <w:rFonts w:ascii="Times New Roman" w:eastAsia="Times New Roman" w:hAnsi="Times New Roman" w:cs="Times New Roman"/>
              </w:rPr>
              <w:t>+</w:t>
            </w:r>
          </w:p>
        </w:tc>
        <w:tc>
          <w:tcPr>
            <w:tcW w:w="138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9FBA1E" w14:textId="77777777" w:rsidR="000F6DF6" w:rsidRDefault="000F0FFE">
            <w:pPr>
              <w:shd w:val="clear" w:color="auto" w:fill="FFFFFF"/>
              <w:spacing w:after="140" w:line="276" w:lineRule="auto"/>
              <w:ind w:firstLine="709"/>
              <w:jc w:val="center"/>
              <w:rPr>
                <w:rFonts w:ascii="Times New Roman" w:eastAsia="Times New Roman" w:hAnsi="Times New Roman" w:cs="Times New Roman"/>
              </w:rPr>
            </w:pPr>
            <w:r>
              <w:rPr>
                <w:rFonts w:ascii="Times New Roman" w:eastAsia="Times New Roman" w:hAnsi="Times New Roman" w:cs="Times New Roman"/>
              </w:rPr>
              <w:t>–</w:t>
            </w:r>
          </w:p>
        </w:tc>
      </w:tr>
    </w:tbl>
    <w:p w14:paraId="3C7AA3BF" w14:textId="77777777" w:rsidR="000F6DF6" w:rsidRDefault="000F6DF6">
      <w:pPr>
        <w:pBdr>
          <w:top w:val="nil"/>
          <w:left w:val="nil"/>
          <w:bottom w:val="nil"/>
          <w:right w:val="nil"/>
          <w:between w:val="nil"/>
        </w:pBdr>
        <w:tabs>
          <w:tab w:val="left" w:pos="567"/>
        </w:tabs>
        <w:spacing w:after="140" w:line="276" w:lineRule="auto"/>
        <w:ind w:firstLine="567"/>
        <w:jc w:val="both"/>
        <w:rPr>
          <w:rFonts w:ascii="Times New Roman" w:eastAsia="Times New Roman" w:hAnsi="Times New Roman" w:cs="Times New Roman"/>
          <w:b/>
          <w:bCs/>
          <w:color w:val="000000"/>
          <w:sz w:val="27"/>
          <w:szCs w:val="27"/>
        </w:rPr>
      </w:pPr>
    </w:p>
    <w:p w14:paraId="47E8AA15" w14:textId="77777777" w:rsidR="000F6DF6" w:rsidRDefault="000F0FFE">
      <w:pPr>
        <w:pBdr>
          <w:top w:val="nil"/>
          <w:left w:val="nil"/>
          <w:bottom w:val="nil"/>
          <w:right w:val="nil"/>
          <w:between w:val="nil"/>
        </w:pBdr>
        <w:tabs>
          <w:tab w:val="left" w:pos="567"/>
        </w:tabs>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Врегулювання зазначених проблем не може бути здійснено за допомогою ринкових механізмів, оскільки такі механізми відсутні</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вирішення проблеми можливе лише шляхом державного регулювання. </w:t>
      </w:r>
    </w:p>
    <w:p w14:paraId="43D1BD59" w14:textId="77777777" w:rsidR="000F6DF6" w:rsidRDefault="000F0FFE">
      <w:pPr>
        <w:pBdr>
          <w:top w:val="nil"/>
          <w:left w:val="nil"/>
          <w:bottom w:val="nil"/>
          <w:right w:val="nil"/>
          <w:between w:val="nil"/>
        </w:pBdr>
        <w:tabs>
          <w:tab w:val="left" w:pos="567"/>
        </w:tabs>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Проблема не може бути розв’язана за допомогою чинних законодавчих актів, оскільки узгодження регуляторних актів може бути здійснене лише шляхом внесення до них відповідних змін.</w:t>
      </w:r>
    </w:p>
    <w:p w14:paraId="6059D160" w14:textId="77777777" w:rsidR="000F6DF6" w:rsidRDefault="000F6DF6">
      <w:pPr>
        <w:pBdr>
          <w:top w:val="nil"/>
          <w:left w:val="nil"/>
          <w:bottom w:val="nil"/>
          <w:right w:val="nil"/>
          <w:between w:val="nil"/>
        </w:pBdr>
        <w:tabs>
          <w:tab w:val="left" w:pos="567"/>
        </w:tabs>
        <w:spacing w:after="140" w:line="276" w:lineRule="auto"/>
        <w:rPr>
          <w:rFonts w:ascii="Times New Roman" w:eastAsia="Times New Roman" w:hAnsi="Times New Roman" w:cs="Times New Roman"/>
          <w:color w:val="000000"/>
          <w:sz w:val="28"/>
          <w:szCs w:val="28"/>
        </w:rPr>
      </w:pPr>
    </w:p>
    <w:p w14:paraId="70C24C1A" w14:textId="77777777" w:rsidR="000F6DF6" w:rsidRDefault="000F0FFE">
      <w:pPr>
        <w:pBdr>
          <w:top w:val="nil"/>
          <w:left w:val="nil"/>
          <w:bottom w:val="nil"/>
          <w:right w:val="nil"/>
          <w:between w:val="nil"/>
        </w:pBdr>
        <w:tabs>
          <w:tab w:val="left" w:pos="567"/>
        </w:tabs>
        <w:spacing w:after="140" w:line="276" w:lineRule="auto"/>
        <w:ind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ІІ. Цілі державного регулювання</w:t>
      </w:r>
    </w:p>
    <w:p w14:paraId="68EE87CA" w14:textId="77777777" w:rsidR="000F6DF6" w:rsidRDefault="000F0FFE">
      <w:pPr>
        <w:tabs>
          <w:tab w:val="left" w:pos="567"/>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Проєкт акта розроблено з метою комплексного вдосконалення процедури атестації педагогічних працівників, приведення її у відповідність до принципів правової визначеності та забезпечення рівних умов для професійного зростання педагогічних працівників.</w:t>
      </w:r>
    </w:p>
    <w:p w14:paraId="21DC4473" w14:textId="77777777" w:rsidR="000F6DF6" w:rsidRDefault="000F0FFE">
      <w:pPr>
        <w:tabs>
          <w:tab w:val="left" w:pos="567"/>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Ключовими цілями регулювання є:</w:t>
      </w:r>
    </w:p>
    <w:p w14:paraId="1A3AB11E" w14:textId="77777777" w:rsidR="000F6DF6" w:rsidRDefault="000F0FFE">
      <w:pPr>
        <w:tabs>
          <w:tab w:val="left" w:pos="567"/>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уточнення процедури атестації педагогічних працівників закладів професійної освіти при установах виконання покарань, у яких є менше 15 педагогічних працівників, а саме чітке визначення атестаційної комісії III рівня безпосереднім суб’єктом розгляду документів та прийняття рішень щодо встановлення відповідності займаним посадам і присвоєння кваліфікаційних категорій (звань) відповідним педагогічним працівникам;</w:t>
      </w:r>
    </w:p>
    <w:p w14:paraId="7BC73DAE" w14:textId="44D1FC1E" w:rsidR="000F6DF6" w:rsidRPr="0088738A" w:rsidRDefault="000F0FFE" w:rsidP="0088738A">
      <w:pPr>
        <w:tabs>
          <w:tab w:val="left" w:pos="567"/>
        </w:tabs>
        <w:spacing w:after="0" w:line="276"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доповнення переліку ступенів вищої освіти, що дають право на присвоєння кваліфікаційної категорії «спеціаліст першої категорії», ступенем бакалавра.</w:t>
      </w:r>
    </w:p>
    <w:p w14:paraId="25962962" w14:textId="77777777" w:rsidR="000F6DF6" w:rsidRDefault="000F0FFE">
      <w:pPr>
        <w:pBdr>
          <w:top w:val="nil"/>
          <w:left w:val="nil"/>
          <w:bottom w:val="nil"/>
          <w:right w:val="nil"/>
          <w:between w:val="nil"/>
        </w:pBdr>
        <w:tabs>
          <w:tab w:val="left" w:pos="567"/>
        </w:tabs>
        <w:spacing w:after="140" w:line="276" w:lineRule="auto"/>
        <w:ind w:firstLine="567"/>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Визначення та оцінка альтернативних способів досягнення цілей</w:t>
      </w:r>
    </w:p>
    <w:p w14:paraId="0CBE611B" w14:textId="77777777" w:rsidR="000F6DF6" w:rsidRDefault="000F0FFE">
      <w:pPr>
        <w:pBdr>
          <w:top w:val="nil"/>
          <w:left w:val="nil"/>
          <w:bottom w:val="nil"/>
          <w:right w:val="nil"/>
          <w:between w:val="nil"/>
        </w:pBdr>
        <w:spacing w:after="140" w:line="276" w:lineRule="auto"/>
        <w:ind w:firstLine="567"/>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1. Визначення альтернативних способів</w:t>
      </w:r>
    </w:p>
    <w:tbl>
      <w:tblPr>
        <w:tblStyle w:val="aff5"/>
        <w:tblW w:w="96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7716"/>
      </w:tblGrid>
      <w:tr w:rsidR="000F6DF6" w14:paraId="6440E7CA" w14:textId="77777777">
        <w:tc>
          <w:tcPr>
            <w:tcW w:w="1980" w:type="dxa"/>
            <w:tcMar>
              <w:top w:w="57" w:type="dxa"/>
              <w:left w:w="57" w:type="dxa"/>
              <w:bottom w:w="57" w:type="dxa"/>
              <w:right w:w="57" w:type="dxa"/>
            </w:tcMar>
          </w:tcPr>
          <w:p w14:paraId="7EA00DBD" w14:textId="77777777" w:rsidR="000F6DF6" w:rsidRDefault="000F0FFE">
            <w:pPr>
              <w:pBdr>
                <w:top w:val="nil"/>
                <w:left w:val="nil"/>
                <w:bottom w:val="nil"/>
                <w:right w:val="nil"/>
                <w:between w:val="nil"/>
              </w:pBdr>
              <w:spacing w:after="1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Вид альтернативи</w:t>
            </w:r>
          </w:p>
        </w:tc>
        <w:tc>
          <w:tcPr>
            <w:tcW w:w="7716" w:type="dxa"/>
            <w:tcMar>
              <w:top w:w="57" w:type="dxa"/>
              <w:left w:w="57" w:type="dxa"/>
              <w:bottom w:w="57" w:type="dxa"/>
              <w:right w:w="57" w:type="dxa"/>
            </w:tcMar>
          </w:tcPr>
          <w:p w14:paraId="5D3C100F" w14:textId="77777777" w:rsidR="000F6DF6" w:rsidRDefault="000F0FFE">
            <w:pPr>
              <w:pBdr>
                <w:top w:val="nil"/>
                <w:left w:val="nil"/>
                <w:bottom w:val="nil"/>
                <w:right w:val="nil"/>
                <w:between w:val="nil"/>
              </w:pBdr>
              <w:spacing w:after="1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Опис альтернативи</w:t>
            </w:r>
          </w:p>
        </w:tc>
      </w:tr>
      <w:tr w:rsidR="000F6DF6" w14:paraId="0B150C76" w14:textId="77777777">
        <w:tc>
          <w:tcPr>
            <w:tcW w:w="1980" w:type="dxa"/>
            <w:tcMar>
              <w:top w:w="57" w:type="dxa"/>
              <w:left w:w="57" w:type="dxa"/>
              <w:bottom w:w="57" w:type="dxa"/>
              <w:right w:w="57" w:type="dxa"/>
            </w:tcMar>
          </w:tcPr>
          <w:p w14:paraId="29091025" w14:textId="77777777" w:rsidR="000F6DF6" w:rsidRDefault="000F0FFE">
            <w:pPr>
              <w:pBdr>
                <w:top w:val="nil"/>
                <w:left w:val="nil"/>
                <w:bottom w:val="nil"/>
                <w:right w:val="nil"/>
                <w:between w:val="nil"/>
              </w:pBdr>
              <w:spacing w:after="1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Альтернатива 1 Наявна ситуація </w:t>
            </w:r>
            <w:r>
              <w:rPr>
                <w:rFonts w:ascii="Times New Roman" w:eastAsia="Times New Roman" w:hAnsi="Times New Roman" w:cs="Times New Roman"/>
                <w:color w:val="000000"/>
              </w:rPr>
              <w:lastRenderedPageBreak/>
              <w:t>залишається без змін</w:t>
            </w:r>
          </w:p>
        </w:tc>
        <w:tc>
          <w:tcPr>
            <w:tcW w:w="7716" w:type="dxa"/>
            <w:tcMar>
              <w:top w:w="57" w:type="dxa"/>
              <w:left w:w="57" w:type="dxa"/>
              <w:bottom w:w="57" w:type="dxa"/>
              <w:right w:w="57" w:type="dxa"/>
            </w:tcMar>
          </w:tcPr>
          <w:p w14:paraId="5BBD1429" w14:textId="77777777" w:rsidR="000F6DF6" w:rsidRDefault="000F0FFE">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Неприйняття відповідного нормативно-правового акта:</w:t>
            </w:r>
          </w:p>
          <w:p w14:paraId="7FBB55FD" w14:textId="77777777" w:rsidR="000F6DF6" w:rsidRDefault="000F0FFE">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не забезпечує досягнення визначених цілей;</w:t>
            </w:r>
          </w:p>
          <w:p w14:paraId="50DEB6BB" w14:textId="77777777" w:rsidR="000F6DF6" w:rsidRDefault="000F0FFE">
            <w:p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залишиться проблема адміністрування процесу атестації педагогічних через невизначеність повноважень, збережеться дискримінаційний бар’єр </w:t>
            </w:r>
            <w:r>
              <w:rPr>
                <w:rFonts w:ascii="Times New Roman" w:eastAsia="Times New Roman" w:hAnsi="Times New Roman" w:cs="Times New Roman"/>
                <w:color w:val="000000"/>
              </w:rPr>
              <w:lastRenderedPageBreak/>
              <w:t>для професійного зростання педагогічних працівників зі ступенем бакалавра.</w:t>
            </w:r>
          </w:p>
        </w:tc>
      </w:tr>
      <w:tr w:rsidR="000F6DF6" w14:paraId="6C784835" w14:textId="77777777">
        <w:tc>
          <w:tcPr>
            <w:tcW w:w="1980" w:type="dxa"/>
            <w:tcMar>
              <w:top w:w="57" w:type="dxa"/>
              <w:left w:w="57" w:type="dxa"/>
              <w:bottom w:w="57" w:type="dxa"/>
              <w:right w:w="57" w:type="dxa"/>
            </w:tcMar>
          </w:tcPr>
          <w:p w14:paraId="418BCD41" w14:textId="77777777" w:rsidR="000F6DF6" w:rsidRDefault="000F0FFE">
            <w:pPr>
              <w:pBdr>
                <w:top w:val="nil"/>
                <w:left w:val="nil"/>
                <w:bottom w:val="nil"/>
                <w:right w:val="nil"/>
                <w:between w:val="nil"/>
              </w:pBdr>
              <w:spacing w:after="1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Альтернатива 2 Прийняття запропонованого проєкту акта</w:t>
            </w:r>
          </w:p>
        </w:tc>
        <w:tc>
          <w:tcPr>
            <w:tcW w:w="7716" w:type="dxa"/>
            <w:tcMar>
              <w:top w:w="57" w:type="dxa"/>
              <w:left w:w="57" w:type="dxa"/>
              <w:bottom w:w="57" w:type="dxa"/>
              <w:right w:w="57" w:type="dxa"/>
            </w:tcMar>
          </w:tcPr>
          <w:p w14:paraId="2B4E0DE8" w14:textId="77777777" w:rsidR="000F6DF6" w:rsidRDefault="000F0FFE">
            <w:pPr>
              <w:pBdr>
                <w:top w:val="nil"/>
                <w:left w:val="nil"/>
                <w:bottom w:val="nil"/>
                <w:right w:val="nil"/>
                <w:between w:val="nil"/>
              </w:pBdr>
              <w:spacing w:after="14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Прийняття проєкту акта забезпечить досягнення цілей, зокрема унормування процедури атестації для працівників закладів професійної освіти при установах виконання покарань, що дозволить перейти від загальної норми щодо виконання функцій комісій за місцем розташування до прямого наділення атестаційних комісій III рівня повноваженнями щодо розгляду документів та прийняття рішень для зазначеної категорії педагогічних працівників.</w:t>
            </w:r>
            <w:r>
              <w:rPr>
                <w:color w:val="000000"/>
              </w:rPr>
              <w:t xml:space="preserve"> </w:t>
            </w:r>
            <w:r>
              <w:rPr>
                <w:rFonts w:ascii="Times New Roman" w:eastAsia="Times New Roman" w:hAnsi="Times New Roman" w:cs="Times New Roman"/>
                <w:color w:val="000000"/>
              </w:rPr>
              <w:t>Окрім цього, прийняття акта усуне дискримінаційну невідповідність у вимогах до освітнього рівня, надавши педагогічним працівникам зі ступенем бакалавра право на отримання кваліфікаційної категорії «спеціаліст першої категорії».</w:t>
            </w:r>
          </w:p>
        </w:tc>
      </w:tr>
    </w:tbl>
    <w:p w14:paraId="2D1F0BD7" w14:textId="77777777" w:rsidR="000F0FFE" w:rsidRDefault="000F0FFE">
      <w:pPr>
        <w:pBdr>
          <w:top w:val="nil"/>
          <w:left w:val="nil"/>
          <w:bottom w:val="nil"/>
          <w:right w:val="nil"/>
          <w:between w:val="nil"/>
        </w:pBdr>
        <w:spacing w:after="140" w:line="276" w:lineRule="auto"/>
        <w:ind w:firstLine="567"/>
        <w:rPr>
          <w:rFonts w:ascii="Times New Roman" w:eastAsia="Times New Roman" w:hAnsi="Times New Roman" w:cs="Times New Roman"/>
          <w:color w:val="000000"/>
          <w:sz w:val="27"/>
          <w:szCs w:val="27"/>
          <w:highlight w:val="white"/>
        </w:rPr>
      </w:pPr>
    </w:p>
    <w:p w14:paraId="5D770BAB" w14:textId="6B6F6FC0" w:rsidR="000F6DF6" w:rsidRDefault="000F0FFE">
      <w:pPr>
        <w:pBdr>
          <w:top w:val="nil"/>
          <w:left w:val="nil"/>
          <w:bottom w:val="nil"/>
          <w:right w:val="nil"/>
          <w:between w:val="nil"/>
        </w:pBdr>
        <w:spacing w:after="140" w:line="276" w:lineRule="auto"/>
        <w:ind w:firstLine="567"/>
        <w:rPr>
          <w:rFonts w:ascii="Times New Roman" w:eastAsia="Times New Roman" w:hAnsi="Times New Roman" w:cs="Times New Roman"/>
          <w:color w:val="000000"/>
          <w:sz w:val="27"/>
          <w:szCs w:val="27"/>
          <w:highlight w:val="white"/>
        </w:rPr>
      </w:pPr>
      <w:r>
        <w:rPr>
          <w:rFonts w:ascii="Times New Roman" w:eastAsia="Times New Roman" w:hAnsi="Times New Roman" w:cs="Times New Roman"/>
          <w:color w:val="000000"/>
          <w:sz w:val="27"/>
          <w:szCs w:val="27"/>
          <w:highlight w:val="white"/>
        </w:rPr>
        <w:t>2. Оцінка вибраних альтернативних способів досягнення цілей</w:t>
      </w:r>
    </w:p>
    <w:p w14:paraId="3B07870C" w14:textId="77777777" w:rsidR="000F6DF6" w:rsidRDefault="000F0FFE">
      <w:pPr>
        <w:pBdr>
          <w:top w:val="nil"/>
          <w:left w:val="nil"/>
          <w:bottom w:val="nil"/>
          <w:right w:val="nil"/>
          <w:between w:val="nil"/>
        </w:pBdr>
        <w:spacing w:after="140" w:line="276" w:lineRule="auto"/>
        <w:rPr>
          <w:rFonts w:ascii="Times New Roman" w:eastAsia="Times New Roman" w:hAnsi="Times New Roman" w:cs="Times New Roman"/>
          <w:color w:val="000000"/>
          <w:sz w:val="27"/>
          <w:szCs w:val="27"/>
          <w:highlight w:val="white"/>
        </w:rPr>
      </w:pPr>
      <w:r>
        <w:rPr>
          <w:rFonts w:ascii="Times New Roman" w:eastAsia="Times New Roman" w:hAnsi="Times New Roman" w:cs="Times New Roman"/>
          <w:color w:val="000000"/>
          <w:sz w:val="27"/>
          <w:szCs w:val="27"/>
          <w:highlight w:val="white"/>
        </w:rPr>
        <w:t>Оцінка впливу на сферу інтересів держави</w:t>
      </w:r>
    </w:p>
    <w:tbl>
      <w:tblPr>
        <w:tblStyle w:val="aff6"/>
        <w:tblW w:w="96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4314"/>
        <w:gridCol w:w="3402"/>
      </w:tblGrid>
      <w:tr w:rsidR="000F6DF6" w14:paraId="5AF732E7" w14:textId="77777777">
        <w:tc>
          <w:tcPr>
            <w:tcW w:w="1980" w:type="dxa"/>
            <w:tcMar>
              <w:top w:w="57" w:type="dxa"/>
              <w:left w:w="57" w:type="dxa"/>
              <w:bottom w:w="57" w:type="dxa"/>
              <w:right w:w="57" w:type="dxa"/>
            </w:tcMar>
          </w:tcPr>
          <w:p w14:paraId="2AD4AEBA" w14:textId="77777777" w:rsidR="000F6DF6" w:rsidRDefault="000F0FFE">
            <w:pPr>
              <w:pBdr>
                <w:top w:val="nil"/>
                <w:left w:val="nil"/>
                <w:bottom w:val="nil"/>
                <w:right w:val="nil"/>
                <w:between w:val="nil"/>
              </w:pBdr>
              <w:spacing w:after="1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Вид альтернативи</w:t>
            </w:r>
          </w:p>
        </w:tc>
        <w:tc>
          <w:tcPr>
            <w:tcW w:w="4314" w:type="dxa"/>
            <w:tcMar>
              <w:top w:w="57" w:type="dxa"/>
              <w:left w:w="57" w:type="dxa"/>
              <w:bottom w:w="57" w:type="dxa"/>
              <w:right w:w="57" w:type="dxa"/>
            </w:tcMar>
          </w:tcPr>
          <w:p w14:paraId="3C3FE778" w14:textId="77777777" w:rsidR="000F6DF6" w:rsidRDefault="000F0FFE">
            <w:pPr>
              <w:pBdr>
                <w:top w:val="nil"/>
                <w:left w:val="nil"/>
                <w:bottom w:val="nil"/>
                <w:right w:val="nil"/>
                <w:between w:val="nil"/>
              </w:pBdr>
              <w:spacing w:after="1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Вигоди</w:t>
            </w:r>
          </w:p>
        </w:tc>
        <w:tc>
          <w:tcPr>
            <w:tcW w:w="3402" w:type="dxa"/>
            <w:tcMar>
              <w:top w:w="57" w:type="dxa"/>
              <w:left w:w="57" w:type="dxa"/>
              <w:bottom w:w="57" w:type="dxa"/>
              <w:right w:w="57" w:type="dxa"/>
            </w:tcMar>
          </w:tcPr>
          <w:p w14:paraId="7A9FAE86" w14:textId="77777777" w:rsidR="000F6DF6" w:rsidRDefault="000F0FFE">
            <w:pPr>
              <w:pBdr>
                <w:top w:val="nil"/>
                <w:left w:val="nil"/>
                <w:bottom w:val="nil"/>
                <w:right w:val="nil"/>
                <w:between w:val="nil"/>
              </w:pBdr>
              <w:spacing w:after="1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Витрати</w:t>
            </w:r>
          </w:p>
        </w:tc>
      </w:tr>
      <w:tr w:rsidR="000F6DF6" w14:paraId="68B109CB" w14:textId="77777777">
        <w:tc>
          <w:tcPr>
            <w:tcW w:w="1980" w:type="dxa"/>
            <w:tcMar>
              <w:top w:w="57" w:type="dxa"/>
              <w:left w:w="57" w:type="dxa"/>
              <w:bottom w:w="57" w:type="dxa"/>
              <w:right w:w="57" w:type="dxa"/>
            </w:tcMar>
          </w:tcPr>
          <w:p w14:paraId="5868BB3B" w14:textId="77777777" w:rsidR="000F6DF6" w:rsidRDefault="000F0FFE">
            <w:pPr>
              <w:pBdr>
                <w:top w:val="nil"/>
                <w:left w:val="nil"/>
                <w:bottom w:val="nil"/>
                <w:right w:val="nil"/>
                <w:between w:val="nil"/>
              </w:pBdr>
              <w:spacing w:after="1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Альтернатива 1</w:t>
            </w:r>
          </w:p>
          <w:p w14:paraId="44E3B52D" w14:textId="77777777" w:rsidR="000F6DF6" w:rsidRDefault="000F0FFE">
            <w:pPr>
              <w:pBdr>
                <w:top w:val="nil"/>
                <w:left w:val="nil"/>
                <w:bottom w:val="nil"/>
                <w:right w:val="nil"/>
                <w:between w:val="nil"/>
              </w:pBdr>
              <w:spacing w:after="1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Наявна ситуація залишається без змін</w:t>
            </w:r>
          </w:p>
        </w:tc>
        <w:tc>
          <w:tcPr>
            <w:tcW w:w="4314" w:type="dxa"/>
            <w:tcMar>
              <w:top w:w="57" w:type="dxa"/>
              <w:left w:w="57" w:type="dxa"/>
              <w:bottom w:w="57" w:type="dxa"/>
              <w:right w:w="57" w:type="dxa"/>
            </w:tcMar>
          </w:tcPr>
          <w:p w14:paraId="1AD87955" w14:textId="199E5D56" w:rsidR="000F6DF6" w:rsidRDefault="000F0FFE">
            <w:pPr>
              <w:shd w:val="clear" w:color="auto" w:fill="FFFFFF"/>
              <w:tabs>
                <w:tab w:val="left" w:pos="916"/>
                <w:tab w:val="left" w:pos="1832"/>
                <w:tab w:val="left" w:pos="2748"/>
                <w:tab w:val="left" w:pos="3665"/>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40" w:line="276" w:lineRule="auto"/>
              <w:jc w:val="both"/>
              <w:rPr>
                <w:rFonts w:ascii="Times New Roman" w:eastAsia="Times New Roman" w:hAnsi="Times New Roman" w:cs="Times New Roman"/>
              </w:rPr>
            </w:pPr>
            <w:r>
              <w:rPr>
                <w:rFonts w:ascii="Times New Roman" w:eastAsia="Times New Roman" w:hAnsi="Times New Roman" w:cs="Times New Roman"/>
              </w:rPr>
              <w:t>Відсутні. Залишиться проблема невизначеності повноважень, збережеться дискримінаційний бар’єр для професійного зростання педагогічних працівників зі ступенем бакалавра.</w:t>
            </w:r>
          </w:p>
        </w:tc>
        <w:tc>
          <w:tcPr>
            <w:tcW w:w="3402" w:type="dxa"/>
            <w:tcMar>
              <w:top w:w="57" w:type="dxa"/>
              <w:left w:w="57" w:type="dxa"/>
              <w:bottom w:w="57" w:type="dxa"/>
              <w:right w:w="57" w:type="dxa"/>
            </w:tcMar>
          </w:tcPr>
          <w:p w14:paraId="7DB37589" w14:textId="77777777" w:rsidR="000F6DF6" w:rsidRDefault="000F0FFE">
            <w:pPr>
              <w:widowControl w:val="0"/>
              <w:tabs>
                <w:tab w:val="left" w:pos="1819"/>
                <w:tab w:val="left" w:pos="3110"/>
              </w:tabs>
              <w:spacing w:line="276" w:lineRule="auto"/>
              <w:jc w:val="both"/>
              <w:rPr>
                <w:rFonts w:ascii="Times New Roman" w:eastAsia="Times New Roman" w:hAnsi="Times New Roman" w:cs="Times New Roman"/>
              </w:rPr>
            </w:pPr>
            <w:r>
              <w:rPr>
                <w:rFonts w:ascii="Times New Roman" w:eastAsia="Times New Roman" w:hAnsi="Times New Roman" w:cs="Times New Roman"/>
              </w:rPr>
              <w:t>Репутаційні та часові витрати через невизначеність повноважень та збереження наявних бар’єрів.</w:t>
            </w:r>
          </w:p>
        </w:tc>
      </w:tr>
      <w:tr w:rsidR="000F6DF6" w14:paraId="1D6E4076" w14:textId="77777777">
        <w:trPr>
          <w:trHeight w:val="1479"/>
        </w:trPr>
        <w:tc>
          <w:tcPr>
            <w:tcW w:w="1980" w:type="dxa"/>
            <w:tcMar>
              <w:top w:w="57" w:type="dxa"/>
              <w:left w:w="57" w:type="dxa"/>
              <w:bottom w:w="57" w:type="dxa"/>
              <w:right w:w="57" w:type="dxa"/>
            </w:tcMar>
          </w:tcPr>
          <w:p w14:paraId="6AD1A8DB" w14:textId="77777777" w:rsidR="000F6DF6" w:rsidRDefault="000F0FFE">
            <w:pPr>
              <w:pBdr>
                <w:top w:val="nil"/>
                <w:left w:val="nil"/>
                <w:bottom w:val="nil"/>
                <w:right w:val="nil"/>
                <w:between w:val="nil"/>
              </w:pBdr>
              <w:spacing w:after="1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Альтернатива 2</w:t>
            </w:r>
          </w:p>
          <w:p w14:paraId="0847B9EC" w14:textId="77777777" w:rsidR="000F6DF6" w:rsidRDefault="000F0FFE">
            <w:pPr>
              <w:pBdr>
                <w:top w:val="nil"/>
                <w:left w:val="nil"/>
                <w:bottom w:val="nil"/>
                <w:right w:val="nil"/>
                <w:between w:val="nil"/>
              </w:pBdr>
              <w:spacing w:after="14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Прийняття запропонованого проєкту акта</w:t>
            </w:r>
          </w:p>
        </w:tc>
        <w:tc>
          <w:tcPr>
            <w:tcW w:w="4314" w:type="dxa"/>
            <w:tcMar>
              <w:top w:w="57" w:type="dxa"/>
              <w:left w:w="57" w:type="dxa"/>
              <w:bottom w:w="57" w:type="dxa"/>
              <w:right w:w="57" w:type="dxa"/>
            </w:tcMar>
          </w:tcPr>
          <w:p w14:paraId="42B436A0" w14:textId="77777777" w:rsidR="000F6DF6" w:rsidRDefault="000F0FFE">
            <w:pPr>
              <w:pBdr>
                <w:top w:val="nil"/>
                <w:left w:val="nil"/>
                <w:bottom w:val="nil"/>
                <w:right w:val="nil"/>
                <w:between w:val="nil"/>
              </w:pBdr>
              <w:tabs>
                <w:tab w:val="left" w:pos="709"/>
                <w:tab w:val="left" w:pos="851"/>
                <w:tab w:val="left" w:pos="3665"/>
              </w:tabs>
              <w:spacing w:after="14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Чітка процедура атестації педагогічних працівників закладів професійної освіти при установах виконання покарання</w:t>
            </w:r>
            <w:r>
              <w:rPr>
                <w:rFonts w:ascii="Times New Roman" w:eastAsia="Times New Roman" w:hAnsi="Times New Roman" w:cs="Times New Roman"/>
              </w:rPr>
              <w:t xml:space="preserve"> та комплексне удосконалення процедури атестації.</w:t>
            </w:r>
          </w:p>
        </w:tc>
        <w:tc>
          <w:tcPr>
            <w:tcW w:w="3402" w:type="dxa"/>
            <w:tcMar>
              <w:top w:w="57" w:type="dxa"/>
              <w:left w:w="57" w:type="dxa"/>
              <w:bottom w:w="57" w:type="dxa"/>
              <w:right w:w="57" w:type="dxa"/>
            </w:tcMar>
          </w:tcPr>
          <w:p w14:paraId="16A07231" w14:textId="77777777" w:rsidR="000F6DF6" w:rsidRDefault="000F0FFE">
            <w:pPr>
              <w:widowControl w:val="0"/>
              <w:tabs>
                <w:tab w:val="left" w:pos="1416"/>
                <w:tab w:val="left" w:pos="2606"/>
                <w:tab w:val="left" w:pos="3418"/>
              </w:tabs>
              <w:spacing w:line="276" w:lineRule="auto"/>
              <w:jc w:val="both"/>
              <w:rPr>
                <w:rFonts w:ascii="Times New Roman" w:eastAsia="Times New Roman" w:hAnsi="Times New Roman" w:cs="Times New Roman"/>
              </w:rPr>
            </w:pPr>
            <w:r>
              <w:rPr>
                <w:rFonts w:ascii="Times New Roman" w:eastAsia="Times New Roman" w:hAnsi="Times New Roman" w:cs="Times New Roman"/>
              </w:rPr>
              <w:t>Реалізація проєкту акта не потребуватиме додаткових витрат з державного та місцевих бюджетів.</w:t>
            </w:r>
          </w:p>
          <w:p w14:paraId="24498204" w14:textId="77777777" w:rsidR="000F6DF6" w:rsidRDefault="000F0FFE">
            <w:pPr>
              <w:widowControl w:val="0"/>
              <w:tabs>
                <w:tab w:val="left" w:pos="1416"/>
                <w:tab w:val="left" w:pos="2606"/>
                <w:tab w:val="left" w:pos="3418"/>
              </w:tabs>
              <w:spacing w:line="276" w:lineRule="auto"/>
              <w:jc w:val="both"/>
              <w:rPr>
                <w:rFonts w:ascii="Times New Roman" w:eastAsia="Times New Roman" w:hAnsi="Times New Roman" w:cs="Times New Roman"/>
              </w:rPr>
            </w:pPr>
            <w:r>
              <w:rPr>
                <w:rFonts w:ascii="Times New Roman" w:eastAsia="Times New Roman" w:hAnsi="Times New Roman" w:cs="Times New Roman"/>
              </w:rPr>
              <w:t>Витрати на інформування закладів професійної освіти: </w:t>
            </w:r>
          </w:p>
          <w:p w14:paraId="330DA07B" w14:textId="77777777" w:rsidR="000F6DF6" w:rsidRDefault="000F0FFE">
            <w:pPr>
              <w:widowControl w:val="0"/>
              <w:tabs>
                <w:tab w:val="left" w:pos="1416"/>
                <w:tab w:val="left" w:pos="2606"/>
                <w:tab w:val="left" w:pos="3418"/>
              </w:tabs>
              <w:spacing w:line="276" w:lineRule="auto"/>
              <w:jc w:val="both"/>
              <w:rPr>
                <w:rFonts w:ascii="Times New Roman" w:eastAsia="Times New Roman" w:hAnsi="Times New Roman" w:cs="Times New Roman"/>
              </w:rPr>
            </w:pPr>
            <w:r>
              <w:rPr>
                <w:rFonts w:ascii="Times New Roman" w:eastAsia="Times New Roman" w:hAnsi="Times New Roman" w:cs="Times New Roman"/>
              </w:rPr>
              <w:t>одна онлайн-нарада (1 год × 176,15* грн);</w:t>
            </w:r>
          </w:p>
          <w:p w14:paraId="2CD25E09"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одна публікація інформації на вебсайтах та сторінках соціальних мереж МОН (1 год × 176,15 грн) = 352,30 грн.</w:t>
            </w:r>
          </w:p>
        </w:tc>
      </w:tr>
    </w:tbl>
    <w:p w14:paraId="29ABA365" w14:textId="77777777" w:rsidR="000F6DF6" w:rsidRDefault="000F0FFE">
      <w:pPr>
        <w:spacing w:before="240" w:after="200" w:line="276" w:lineRule="auto"/>
        <w:jc w:val="both"/>
        <w:rPr>
          <w:rFonts w:ascii="Times New Roman" w:eastAsia="Times New Roman" w:hAnsi="Times New Roman" w:cs="Times New Roman"/>
          <w:highlight w:val="white"/>
        </w:rPr>
      </w:pPr>
      <w:r>
        <w:rPr>
          <w:rFonts w:ascii="Times New Roman" w:eastAsia="Times New Roman" w:hAnsi="Times New Roman" w:cs="Times New Roman"/>
          <w:i/>
          <w:iCs/>
          <w:sz w:val="28"/>
          <w:szCs w:val="28"/>
          <w:highlight w:val="white"/>
        </w:rPr>
        <w:t>*</w:t>
      </w:r>
      <w:r>
        <w:rPr>
          <w:rFonts w:ascii="Verdana" w:eastAsia="Verdana" w:hAnsi="Verdana" w:cs="Verdana"/>
          <w:b/>
          <w:bCs/>
          <w:highlight w:val="white"/>
        </w:rPr>
        <w:t xml:space="preserve"> </w:t>
      </w:r>
      <w:r>
        <w:rPr>
          <w:rFonts w:ascii="Times New Roman" w:eastAsia="Times New Roman" w:hAnsi="Times New Roman" w:cs="Times New Roman"/>
          <w:highlight w:val="white"/>
        </w:rPr>
        <w:t>Державна служба статистики України. Середньомісячна заробітна плата за видами економічної діяльності за період з початку року. Кодекс законів про працю України  (стаття 50).</w:t>
      </w:r>
    </w:p>
    <w:p w14:paraId="38A819D5" w14:textId="77777777" w:rsidR="000F6DF6" w:rsidRDefault="000F6DF6">
      <w:pPr>
        <w:pBdr>
          <w:top w:val="nil"/>
          <w:left w:val="nil"/>
          <w:bottom w:val="nil"/>
          <w:right w:val="nil"/>
          <w:between w:val="nil"/>
        </w:pBdr>
        <w:spacing w:after="140" w:line="276" w:lineRule="auto"/>
        <w:rPr>
          <w:rFonts w:ascii="Times New Roman" w:eastAsia="Times New Roman" w:hAnsi="Times New Roman" w:cs="Times New Roman"/>
          <w:highlight w:val="white"/>
        </w:rPr>
      </w:pPr>
    </w:p>
    <w:p w14:paraId="23F3C670" w14:textId="77777777" w:rsidR="000F6DF6" w:rsidRDefault="000F0FFE">
      <w:pPr>
        <w:pBdr>
          <w:top w:val="nil"/>
          <w:left w:val="nil"/>
          <w:bottom w:val="nil"/>
          <w:right w:val="nil"/>
          <w:between w:val="nil"/>
        </w:pBdr>
        <w:spacing w:after="140" w:line="276" w:lineRule="auto"/>
        <w:rPr>
          <w:rFonts w:ascii="Times New Roman" w:eastAsia="Times New Roman" w:hAnsi="Times New Roman" w:cs="Times New Roman"/>
          <w:color w:val="000000"/>
          <w:sz w:val="27"/>
          <w:szCs w:val="27"/>
          <w:highlight w:val="white"/>
        </w:rPr>
      </w:pPr>
      <w:r>
        <w:rPr>
          <w:rFonts w:ascii="Times New Roman" w:eastAsia="Times New Roman" w:hAnsi="Times New Roman" w:cs="Times New Roman"/>
          <w:color w:val="000000"/>
          <w:sz w:val="27"/>
          <w:szCs w:val="27"/>
          <w:highlight w:val="white"/>
        </w:rPr>
        <w:lastRenderedPageBreak/>
        <w:t>Оцінка впливу на сферу інтересів громадян</w:t>
      </w:r>
    </w:p>
    <w:tbl>
      <w:tblPr>
        <w:tblStyle w:val="aff7"/>
        <w:tblW w:w="96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4031"/>
        <w:gridCol w:w="3685"/>
      </w:tblGrid>
      <w:tr w:rsidR="000F6DF6" w14:paraId="6457E500" w14:textId="77777777">
        <w:tc>
          <w:tcPr>
            <w:tcW w:w="1980" w:type="dxa"/>
            <w:tcMar>
              <w:top w:w="57" w:type="dxa"/>
              <w:left w:w="57" w:type="dxa"/>
              <w:bottom w:w="57" w:type="dxa"/>
              <w:right w:w="57" w:type="dxa"/>
            </w:tcMar>
          </w:tcPr>
          <w:p w14:paraId="5A108A28" w14:textId="77777777" w:rsidR="000F6DF6" w:rsidRDefault="000F0FFE">
            <w:pPr>
              <w:pBdr>
                <w:top w:val="nil"/>
                <w:left w:val="nil"/>
                <w:bottom w:val="nil"/>
                <w:right w:val="nil"/>
                <w:between w:val="nil"/>
              </w:pBdr>
              <w:spacing w:after="1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Вид альтернативи</w:t>
            </w:r>
          </w:p>
        </w:tc>
        <w:tc>
          <w:tcPr>
            <w:tcW w:w="4031" w:type="dxa"/>
            <w:tcMar>
              <w:top w:w="57" w:type="dxa"/>
              <w:left w:w="57" w:type="dxa"/>
              <w:bottom w:w="57" w:type="dxa"/>
              <w:right w:w="57" w:type="dxa"/>
            </w:tcMar>
          </w:tcPr>
          <w:p w14:paraId="479107B5" w14:textId="77777777" w:rsidR="000F6DF6" w:rsidRDefault="000F0FFE">
            <w:pPr>
              <w:pBdr>
                <w:top w:val="nil"/>
                <w:left w:val="nil"/>
                <w:bottom w:val="nil"/>
                <w:right w:val="nil"/>
                <w:between w:val="nil"/>
              </w:pBdr>
              <w:spacing w:after="1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Вигоди</w:t>
            </w:r>
          </w:p>
        </w:tc>
        <w:tc>
          <w:tcPr>
            <w:tcW w:w="3685" w:type="dxa"/>
            <w:tcMar>
              <w:top w:w="57" w:type="dxa"/>
              <w:left w:w="57" w:type="dxa"/>
              <w:bottom w:w="57" w:type="dxa"/>
              <w:right w:w="57" w:type="dxa"/>
            </w:tcMar>
          </w:tcPr>
          <w:p w14:paraId="21E1892A" w14:textId="77777777" w:rsidR="000F6DF6" w:rsidRDefault="000F0FFE">
            <w:pPr>
              <w:pBdr>
                <w:top w:val="nil"/>
                <w:left w:val="nil"/>
                <w:bottom w:val="nil"/>
                <w:right w:val="nil"/>
                <w:between w:val="nil"/>
              </w:pBdr>
              <w:spacing w:after="1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Витрати</w:t>
            </w:r>
          </w:p>
        </w:tc>
      </w:tr>
      <w:tr w:rsidR="000F6DF6" w14:paraId="0D7E4484" w14:textId="77777777">
        <w:tc>
          <w:tcPr>
            <w:tcW w:w="1980" w:type="dxa"/>
            <w:tcMar>
              <w:top w:w="57" w:type="dxa"/>
              <w:left w:w="57" w:type="dxa"/>
              <w:bottom w:w="57" w:type="dxa"/>
              <w:right w:w="57" w:type="dxa"/>
            </w:tcMar>
          </w:tcPr>
          <w:p w14:paraId="1AF91B8D" w14:textId="77777777" w:rsidR="000F6DF6" w:rsidRDefault="000F0FFE">
            <w:pPr>
              <w:pBdr>
                <w:top w:val="nil"/>
                <w:left w:val="nil"/>
                <w:bottom w:val="nil"/>
                <w:right w:val="nil"/>
                <w:between w:val="nil"/>
              </w:pBdr>
              <w:spacing w:after="14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Альтернатива 1 </w:t>
            </w:r>
          </w:p>
          <w:p w14:paraId="61A2AEF0" w14:textId="77777777" w:rsidR="000F6DF6" w:rsidRDefault="000F0FFE">
            <w:pPr>
              <w:pBdr>
                <w:top w:val="nil"/>
                <w:left w:val="nil"/>
                <w:bottom w:val="nil"/>
                <w:right w:val="nil"/>
                <w:between w:val="nil"/>
              </w:pBdr>
              <w:spacing w:after="14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Наявна ситуація залишається без змін</w:t>
            </w:r>
          </w:p>
        </w:tc>
        <w:tc>
          <w:tcPr>
            <w:tcW w:w="4031" w:type="dxa"/>
            <w:tcMar>
              <w:top w:w="57" w:type="dxa"/>
              <w:left w:w="57" w:type="dxa"/>
              <w:bottom w:w="57" w:type="dxa"/>
              <w:right w:w="57" w:type="dxa"/>
            </w:tcMar>
          </w:tcPr>
          <w:p w14:paraId="391E084D"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Відсутні.</w:t>
            </w:r>
          </w:p>
        </w:tc>
        <w:tc>
          <w:tcPr>
            <w:tcW w:w="3685" w:type="dxa"/>
            <w:tcMar>
              <w:top w:w="57" w:type="dxa"/>
              <w:left w:w="57" w:type="dxa"/>
              <w:bottom w:w="57" w:type="dxa"/>
              <w:right w:w="57" w:type="dxa"/>
            </w:tcMar>
          </w:tcPr>
          <w:p w14:paraId="50314704"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 xml:space="preserve">Збереження наявної ситуації створюватиме ризики порушення строків атестації. Водночас збереження дискримінаційних обмежень для осіб зі ступенем бакалавра унеможливить їхнє професійне зростання та підвищення рівня оплати праці, що спричинить </w:t>
            </w:r>
            <w:proofErr w:type="spellStart"/>
            <w:r>
              <w:rPr>
                <w:rFonts w:ascii="Times New Roman" w:eastAsia="Times New Roman" w:hAnsi="Times New Roman" w:cs="Times New Roman"/>
              </w:rPr>
              <w:t>демотивацію</w:t>
            </w:r>
            <w:proofErr w:type="spellEnd"/>
            <w:r>
              <w:rPr>
                <w:rFonts w:ascii="Times New Roman" w:eastAsia="Times New Roman" w:hAnsi="Times New Roman" w:cs="Times New Roman"/>
              </w:rPr>
              <w:t xml:space="preserve"> педагогічних працівників до професійної діяльності.</w:t>
            </w:r>
          </w:p>
        </w:tc>
      </w:tr>
      <w:tr w:rsidR="000F6DF6" w14:paraId="6C1C65AC" w14:textId="77777777">
        <w:tc>
          <w:tcPr>
            <w:tcW w:w="1980" w:type="dxa"/>
            <w:tcMar>
              <w:top w:w="57" w:type="dxa"/>
              <w:left w:w="57" w:type="dxa"/>
              <w:bottom w:w="57" w:type="dxa"/>
              <w:right w:w="57" w:type="dxa"/>
            </w:tcMar>
          </w:tcPr>
          <w:p w14:paraId="40172A2F" w14:textId="77777777" w:rsidR="000F6DF6" w:rsidRDefault="000F0FFE">
            <w:pPr>
              <w:pBdr>
                <w:top w:val="nil"/>
                <w:left w:val="nil"/>
                <w:bottom w:val="nil"/>
                <w:right w:val="nil"/>
                <w:between w:val="nil"/>
              </w:pBdr>
              <w:spacing w:after="14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Альтернатива 2</w:t>
            </w:r>
          </w:p>
          <w:p w14:paraId="53BA29AF" w14:textId="77777777" w:rsidR="000F6DF6" w:rsidRDefault="000F0FFE">
            <w:pPr>
              <w:pBdr>
                <w:top w:val="nil"/>
                <w:left w:val="nil"/>
                <w:bottom w:val="nil"/>
                <w:right w:val="nil"/>
                <w:between w:val="nil"/>
              </w:pBdr>
              <w:spacing w:after="14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Прийняття запропонованого проєкту акта</w:t>
            </w:r>
          </w:p>
        </w:tc>
        <w:tc>
          <w:tcPr>
            <w:tcW w:w="4031" w:type="dxa"/>
            <w:tcMar>
              <w:top w:w="57" w:type="dxa"/>
              <w:left w:w="57" w:type="dxa"/>
              <w:bottom w:w="57" w:type="dxa"/>
              <w:right w:w="57" w:type="dxa"/>
            </w:tcMar>
          </w:tcPr>
          <w:p w14:paraId="27DE0BE5"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Прийняття проєкту акта дозволить забезпечити чіткий та зрозумілий механізм атестації педагогічних працівників закладів професійної освіти при установах виконання покарань через комісії III рівня, а також забезпечить справедливе визнання кваліфікації і досвіду педагогічних працівників з освітнім рівнем «бакалавр».</w:t>
            </w:r>
          </w:p>
        </w:tc>
        <w:tc>
          <w:tcPr>
            <w:tcW w:w="3685" w:type="dxa"/>
            <w:tcMar>
              <w:top w:w="57" w:type="dxa"/>
              <w:left w:w="57" w:type="dxa"/>
              <w:bottom w:w="57" w:type="dxa"/>
              <w:right w:w="57" w:type="dxa"/>
            </w:tcMar>
          </w:tcPr>
          <w:p w14:paraId="0C7B2A8F" w14:textId="77777777" w:rsidR="000F6DF6" w:rsidRDefault="000F0FFE">
            <w:pPr>
              <w:spacing w:after="140" w:line="276" w:lineRule="auto"/>
              <w:ind w:firstLine="223"/>
              <w:jc w:val="both"/>
              <w:rPr>
                <w:rFonts w:ascii="Times New Roman" w:eastAsia="Times New Roman" w:hAnsi="Times New Roman" w:cs="Times New Roman"/>
              </w:rPr>
            </w:pPr>
            <w:r>
              <w:rPr>
                <w:rFonts w:ascii="Times New Roman" w:eastAsia="Times New Roman" w:hAnsi="Times New Roman" w:cs="Times New Roman"/>
              </w:rPr>
              <w:t>Відсутні.</w:t>
            </w:r>
          </w:p>
        </w:tc>
      </w:tr>
    </w:tbl>
    <w:p w14:paraId="18755A64" w14:textId="77777777" w:rsidR="000F6DF6" w:rsidRDefault="000F6DF6">
      <w:pPr>
        <w:pBdr>
          <w:top w:val="nil"/>
          <w:left w:val="nil"/>
          <w:bottom w:val="nil"/>
          <w:right w:val="nil"/>
          <w:between w:val="nil"/>
        </w:pBdr>
        <w:spacing w:after="140" w:line="276" w:lineRule="auto"/>
        <w:rPr>
          <w:rFonts w:ascii="Times New Roman" w:eastAsia="Times New Roman" w:hAnsi="Times New Roman" w:cs="Times New Roman"/>
          <w:color w:val="000000"/>
          <w:sz w:val="27"/>
          <w:szCs w:val="27"/>
          <w:highlight w:val="white"/>
        </w:rPr>
      </w:pPr>
    </w:p>
    <w:p w14:paraId="69197F2C" w14:textId="77777777" w:rsidR="000F6DF6" w:rsidRDefault="000F0FFE">
      <w:pPr>
        <w:spacing w:after="0" w:line="276" w:lineRule="auto"/>
        <w:ind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Оцінка впливу на сферу інтересів суб’єктів господарювання</w:t>
      </w:r>
    </w:p>
    <w:p w14:paraId="1230BAD1" w14:textId="77777777" w:rsidR="000F6DF6" w:rsidRDefault="000F0FFE">
      <w:pPr>
        <w:spacing w:after="0" w:line="276" w:lineRule="auto"/>
        <w:ind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Дія проєкту регуляторного акта поширюватиметься на сферу інтересів суб’єктів господарювання.</w:t>
      </w:r>
    </w:p>
    <w:p w14:paraId="727B92C1" w14:textId="77777777" w:rsidR="000F6DF6" w:rsidRDefault="000F0FFE">
      <w:pPr>
        <w:spacing w:after="0" w:line="276" w:lineRule="auto"/>
        <w:ind w:firstLine="567"/>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У ролі суб’єктів господарювання, на яких створює вплив проєкт акта, виступає 33 заклади професійної освіти.</w:t>
      </w:r>
    </w:p>
    <w:p w14:paraId="09B9E41D" w14:textId="77777777" w:rsidR="000F6DF6" w:rsidRDefault="000F6DF6">
      <w:pPr>
        <w:spacing w:after="0" w:line="276" w:lineRule="auto"/>
        <w:ind w:firstLine="567"/>
        <w:jc w:val="both"/>
        <w:rPr>
          <w:rFonts w:ascii="Times New Roman" w:eastAsia="Times New Roman" w:hAnsi="Times New Roman" w:cs="Times New Roman"/>
          <w:sz w:val="27"/>
          <w:szCs w:val="27"/>
        </w:rPr>
      </w:pPr>
    </w:p>
    <w:tbl>
      <w:tblPr>
        <w:tblStyle w:val="aff8"/>
        <w:tblW w:w="10132"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9"/>
        <w:gridCol w:w="1076"/>
        <w:gridCol w:w="1198"/>
        <w:gridCol w:w="1141"/>
        <w:gridCol w:w="1198"/>
        <w:gridCol w:w="1040"/>
      </w:tblGrid>
      <w:tr w:rsidR="000F6DF6" w14:paraId="5C65F6D4" w14:textId="77777777">
        <w:tc>
          <w:tcPr>
            <w:tcW w:w="4479" w:type="dxa"/>
            <w:tcBorders>
              <w:top w:val="single" w:sz="4" w:space="0" w:color="000000"/>
              <w:left w:val="single" w:sz="4" w:space="0" w:color="000000"/>
              <w:bottom w:val="single" w:sz="4" w:space="0" w:color="000000"/>
              <w:right w:val="single" w:sz="4" w:space="0" w:color="000000"/>
            </w:tcBorders>
          </w:tcPr>
          <w:p w14:paraId="3B70D286" w14:textId="77777777" w:rsidR="000F6DF6" w:rsidRDefault="000F0FFE">
            <w:pPr>
              <w:tabs>
                <w:tab w:val="left" w:pos="1406"/>
              </w:tabs>
              <w:spacing w:after="140" w:line="276" w:lineRule="auto"/>
              <w:jc w:val="both"/>
              <w:rPr>
                <w:rFonts w:ascii="Times New Roman" w:eastAsia="Times New Roman" w:hAnsi="Times New Roman" w:cs="Times New Roman"/>
              </w:rPr>
            </w:pPr>
            <w:r>
              <w:rPr>
                <w:rFonts w:ascii="Times New Roman" w:eastAsia="Times New Roman" w:hAnsi="Times New Roman" w:cs="Times New Roman"/>
              </w:rPr>
              <w:t>Показник</w:t>
            </w:r>
          </w:p>
        </w:tc>
        <w:tc>
          <w:tcPr>
            <w:tcW w:w="1076" w:type="dxa"/>
            <w:tcBorders>
              <w:top w:val="single" w:sz="4" w:space="0" w:color="000000"/>
              <w:left w:val="single" w:sz="4" w:space="0" w:color="000000"/>
              <w:bottom w:val="single" w:sz="4" w:space="0" w:color="000000"/>
              <w:right w:val="single" w:sz="4" w:space="0" w:color="000000"/>
            </w:tcBorders>
          </w:tcPr>
          <w:p w14:paraId="72493C0A" w14:textId="77777777" w:rsidR="000F6DF6" w:rsidRDefault="000F0FFE">
            <w:pPr>
              <w:tabs>
                <w:tab w:val="left" w:pos="1406"/>
              </w:tabs>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Великі</w:t>
            </w:r>
          </w:p>
        </w:tc>
        <w:tc>
          <w:tcPr>
            <w:tcW w:w="1198" w:type="dxa"/>
            <w:tcBorders>
              <w:top w:val="single" w:sz="4" w:space="0" w:color="000000"/>
              <w:left w:val="single" w:sz="4" w:space="0" w:color="000000"/>
              <w:bottom w:val="single" w:sz="4" w:space="0" w:color="000000"/>
              <w:right w:val="single" w:sz="4" w:space="0" w:color="000000"/>
            </w:tcBorders>
          </w:tcPr>
          <w:p w14:paraId="7E9131E8" w14:textId="77777777" w:rsidR="000F6DF6" w:rsidRDefault="000F0FFE">
            <w:pPr>
              <w:tabs>
                <w:tab w:val="left" w:pos="1406"/>
              </w:tabs>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Середні</w:t>
            </w:r>
          </w:p>
        </w:tc>
        <w:tc>
          <w:tcPr>
            <w:tcW w:w="1141" w:type="dxa"/>
            <w:tcBorders>
              <w:top w:val="single" w:sz="4" w:space="0" w:color="000000"/>
              <w:left w:val="single" w:sz="4" w:space="0" w:color="000000"/>
              <w:right w:val="single" w:sz="4" w:space="0" w:color="000000"/>
            </w:tcBorders>
          </w:tcPr>
          <w:p w14:paraId="23348F3D" w14:textId="77777777" w:rsidR="000F6DF6" w:rsidRDefault="000F0FFE">
            <w:pPr>
              <w:tabs>
                <w:tab w:val="left" w:pos="1406"/>
              </w:tabs>
              <w:spacing w:after="140" w:line="276" w:lineRule="auto"/>
              <w:jc w:val="both"/>
              <w:rPr>
                <w:rFonts w:ascii="Times New Roman" w:eastAsia="Times New Roman" w:hAnsi="Times New Roman" w:cs="Times New Roman"/>
              </w:rPr>
            </w:pPr>
            <w:r>
              <w:rPr>
                <w:rFonts w:ascii="Times New Roman" w:eastAsia="Times New Roman" w:hAnsi="Times New Roman" w:cs="Times New Roman"/>
              </w:rPr>
              <w:t>Малі</w:t>
            </w:r>
          </w:p>
        </w:tc>
        <w:tc>
          <w:tcPr>
            <w:tcW w:w="1198" w:type="dxa"/>
            <w:tcBorders>
              <w:top w:val="single" w:sz="4" w:space="0" w:color="000000"/>
              <w:left w:val="single" w:sz="4" w:space="0" w:color="000000"/>
              <w:right w:val="single" w:sz="4" w:space="0" w:color="000000"/>
            </w:tcBorders>
          </w:tcPr>
          <w:p w14:paraId="3267D7AD" w14:textId="77777777" w:rsidR="000F6DF6" w:rsidRDefault="000F0FFE">
            <w:pPr>
              <w:widowControl w:val="0"/>
              <w:tabs>
                <w:tab w:val="left" w:pos="1406"/>
              </w:tabs>
              <w:spacing w:after="140" w:line="276" w:lineRule="auto"/>
              <w:ind w:firstLine="208"/>
              <w:rPr>
                <w:rFonts w:ascii="Times New Roman" w:eastAsia="Times New Roman" w:hAnsi="Times New Roman" w:cs="Times New Roman"/>
              </w:rPr>
            </w:pPr>
            <w:r>
              <w:rPr>
                <w:rFonts w:ascii="Times New Roman" w:eastAsia="Times New Roman" w:hAnsi="Times New Roman" w:cs="Times New Roman"/>
              </w:rPr>
              <w:t>Мікро</w:t>
            </w:r>
          </w:p>
        </w:tc>
        <w:tc>
          <w:tcPr>
            <w:tcW w:w="1040" w:type="dxa"/>
            <w:tcBorders>
              <w:top w:val="single" w:sz="4" w:space="0" w:color="000000"/>
              <w:left w:val="single" w:sz="4" w:space="0" w:color="000000"/>
              <w:bottom w:val="single" w:sz="4" w:space="0" w:color="000000"/>
              <w:right w:val="single" w:sz="4" w:space="0" w:color="000000"/>
            </w:tcBorders>
          </w:tcPr>
          <w:p w14:paraId="54C9CA62" w14:textId="77777777" w:rsidR="000F6DF6" w:rsidRDefault="000F0FFE">
            <w:pPr>
              <w:tabs>
                <w:tab w:val="left" w:pos="1406"/>
              </w:tabs>
              <w:spacing w:after="140" w:line="276" w:lineRule="auto"/>
              <w:jc w:val="both"/>
              <w:rPr>
                <w:rFonts w:ascii="Times New Roman" w:eastAsia="Times New Roman" w:hAnsi="Times New Roman" w:cs="Times New Roman"/>
              </w:rPr>
            </w:pPr>
            <w:r>
              <w:rPr>
                <w:rFonts w:ascii="Times New Roman" w:eastAsia="Times New Roman" w:hAnsi="Times New Roman" w:cs="Times New Roman"/>
              </w:rPr>
              <w:t>Разом</w:t>
            </w:r>
          </w:p>
        </w:tc>
      </w:tr>
      <w:tr w:rsidR="000F6DF6" w14:paraId="44C30910" w14:textId="77777777">
        <w:tc>
          <w:tcPr>
            <w:tcW w:w="4479" w:type="dxa"/>
            <w:tcBorders>
              <w:top w:val="single" w:sz="4" w:space="0" w:color="000000"/>
              <w:left w:val="single" w:sz="4" w:space="0" w:color="000000"/>
              <w:bottom w:val="single" w:sz="4" w:space="0" w:color="000000"/>
              <w:right w:val="single" w:sz="4" w:space="0" w:color="000000"/>
            </w:tcBorders>
          </w:tcPr>
          <w:p w14:paraId="4EBB0C11" w14:textId="77777777" w:rsidR="000F6DF6" w:rsidRDefault="000F0FFE">
            <w:pPr>
              <w:tabs>
                <w:tab w:val="left" w:pos="1406"/>
              </w:tabs>
              <w:spacing w:after="140" w:line="276" w:lineRule="auto"/>
              <w:jc w:val="both"/>
              <w:rPr>
                <w:rFonts w:ascii="Times New Roman" w:eastAsia="Times New Roman" w:hAnsi="Times New Roman" w:cs="Times New Roman"/>
              </w:rPr>
            </w:pPr>
            <w:r>
              <w:rPr>
                <w:rFonts w:ascii="Times New Roman" w:eastAsia="Times New Roman" w:hAnsi="Times New Roman" w:cs="Times New Roman"/>
              </w:rPr>
              <w:t>Кількість суб’єктів господарювання, що підпадають під дію регулювання, одиниць</w:t>
            </w:r>
          </w:p>
        </w:tc>
        <w:tc>
          <w:tcPr>
            <w:tcW w:w="1076" w:type="dxa"/>
            <w:tcBorders>
              <w:top w:val="single" w:sz="4" w:space="0" w:color="000000"/>
              <w:left w:val="single" w:sz="4" w:space="0" w:color="000000"/>
              <w:bottom w:val="single" w:sz="4" w:space="0" w:color="000000"/>
              <w:right w:val="single" w:sz="4" w:space="0" w:color="000000"/>
            </w:tcBorders>
          </w:tcPr>
          <w:p w14:paraId="78CAB4F9" w14:textId="77777777" w:rsidR="000F6DF6" w:rsidRDefault="000F0FFE">
            <w:pPr>
              <w:tabs>
                <w:tab w:val="left" w:pos="1406"/>
              </w:tabs>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198" w:type="dxa"/>
            <w:tcBorders>
              <w:top w:val="single" w:sz="4" w:space="0" w:color="000000"/>
              <w:left w:val="single" w:sz="4" w:space="0" w:color="000000"/>
              <w:bottom w:val="single" w:sz="4" w:space="0" w:color="000000"/>
              <w:right w:val="single" w:sz="4" w:space="0" w:color="000000"/>
            </w:tcBorders>
          </w:tcPr>
          <w:p w14:paraId="138DBBA1" w14:textId="77777777" w:rsidR="000F6DF6" w:rsidRDefault="000F0FFE">
            <w:pPr>
              <w:tabs>
                <w:tab w:val="left" w:pos="1406"/>
              </w:tabs>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141" w:type="dxa"/>
            <w:tcBorders>
              <w:left w:val="single" w:sz="4" w:space="0" w:color="000000"/>
              <w:right w:val="single" w:sz="4" w:space="0" w:color="000000"/>
            </w:tcBorders>
          </w:tcPr>
          <w:p w14:paraId="3F63DD0A" w14:textId="77777777" w:rsidR="000F6DF6" w:rsidRDefault="000F0FFE">
            <w:pPr>
              <w:widowControl w:val="0"/>
              <w:tabs>
                <w:tab w:val="left" w:pos="1406"/>
              </w:tabs>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33</w:t>
            </w:r>
          </w:p>
        </w:tc>
        <w:tc>
          <w:tcPr>
            <w:tcW w:w="1198" w:type="dxa"/>
            <w:tcBorders>
              <w:left w:val="single" w:sz="4" w:space="0" w:color="000000"/>
              <w:right w:val="single" w:sz="4" w:space="0" w:color="000000"/>
            </w:tcBorders>
          </w:tcPr>
          <w:p w14:paraId="7523A265" w14:textId="77777777" w:rsidR="000F6DF6" w:rsidRDefault="000F0FFE">
            <w:pPr>
              <w:widowControl w:val="0"/>
              <w:tabs>
                <w:tab w:val="left" w:pos="1406"/>
              </w:tabs>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040" w:type="dxa"/>
            <w:tcBorders>
              <w:top w:val="single" w:sz="4" w:space="0" w:color="000000"/>
              <w:left w:val="single" w:sz="4" w:space="0" w:color="000000"/>
              <w:bottom w:val="single" w:sz="4" w:space="0" w:color="000000"/>
              <w:right w:val="single" w:sz="4" w:space="0" w:color="000000"/>
            </w:tcBorders>
          </w:tcPr>
          <w:p w14:paraId="7319EDC1" w14:textId="77777777" w:rsidR="000F6DF6" w:rsidRDefault="000F0FFE">
            <w:pPr>
              <w:tabs>
                <w:tab w:val="left" w:pos="1406"/>
              </w:tabs>
              <w:spacing w:after="140" w:line="276" w:lineRule="auto"/>
              <w:ind w:right="87"/>
              <w:jc w:val="center"/>
              <w:rPr>
                <w:rFonts w:ascii="Times New Roman" w:eastAsia="Times New Roman" w:hAnsi="Times New Roman" w:cs="Times New Roman"/>
              </w:rPr>
            </w:pPr>
            <w:r>
              <w:rPr>
                <w:rFonts w:ascii="Times New Roman" w:eastAsia="Times New Roman" w:hAnsi="Times New Roman" w:cs="Times New Roman"/>
              </w:rPr>
              <w:t>33</w:t>
            </w:r>
          </w:p>
        </w:tc>
      </w:tr>
      <w:tr w:rsidR="000F6DF6" w14:paraId="723B023A" w14:textId="77777777">
        <w:tc>
          <w:tcPr>
            <w:tcW w:w="4479" w:type="dxa"/>
            <w:tcBorders>
              <w:top w:val="single" w:sz="4" w:space="0" w:color="000000"/>
              <w:left w:val="single" w:sz="4" w:space="0" w:color="000000"/>
              <w:bottom w:val="single" w:sz="4" w:space="0" w:color="000000"/>
              <w:right w:val="single" w:sz="4" w:space="0" w:color="000000"/>
            </w:tcBorders>
          </w:tcPr>
          <w:p w14:paraId="093F7FB6" w14:textId="77777777" w:rsidR="000F6DF6" w:rsidRDefault="000F0FFE">
            <w:pPr>
              <w:tabs>
                <w:tab w:val="left" w:pos="1406"/>
              </w:tabs>
              <w:spacing w:after="140" w:line="276" w:lineRule="auto"/>
              <w:jc w:val="both"/>
              <w:rPr>
                <w:rFonts w:ascii="Times New Roman" w:eastAsia="Times New Roman" w:hAnsi="Times New Roman" w:cs="Times New Roman"/>
              </w:rPr>
            </w:pPr>
            <w:r>
              <w:rPr>
                <w:rFonts w:ascii="Times New Roman" w:eastAsia="Times New Roman" w:hAnsi="Times New Roman" w:cs="Times New Roman"/>
              </w:rPr>
              <w:t>Питома вага групи у загальній кількості, відсотків</w:t>
            </w:r>
          </w:p>
        </w:tc>
        <w:tc>
          <w:tcPr>
            <w:tcW w:w="1076" w:type="dxa"/>
            <w:tcBorders>
              <w:top w:val="single" w:sz="4" w:space="0" w:color="000000"/>
              <w:left w:val="single" w:sz="4" w:space="0" w:color="000000"/>
              <w:bottom w:val="single" w:sz="4" w:space="0" w:color="000000"/>
              <w:right w:val="single" w:sz="4" w:space="0" w:color="000000"/>
            </w:tcBorders>
          </w:tcPr>
          <w:p w14:paraId="641314E0" w14:textId="77777777" w:rsidR="000F6DF6" w:rsidRDefault="000F0FFE">
            <w:pPr>
              <w:tabs>
                <w:tab w:val="left" w:pos="1406"/>
              </w:tabs>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198" w:type="dxa"/>
            <w:tcBorders>
              <w:top w:val="single" w:sz="4" w:space="0" w:color="000000"/>
              <w:left w:val="single" w:sz="4" w:space="0" w:color="000000"/>
              <w:bottom w:val="single" w:sz="4" w:space="0" w:color="000000"/>
              <w:right w:val="single" w:sz="4" w:space="0" w:color="000000"/>
            </w:tcBorders>
          </w:tcPr>
          <w:p w14:paraId="4B14B236" w14:textId="77777777" w:rsidR="000F6DF6" w:rsidRDefault="000F0FFE">
            <w:pPr>
              <w:tabs>
                <w:tab w:val="left" w:pos="1406"/>
              </w:tabs>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141" w:type="dxa"/>
            <w:tcBorders>
              <w:left w:val="single" w:sz="4" w:space="0" w:color="000000"/>
              <w:bottom w:val="single" w:sz="4" w:space="0" w:color="000000"/>
              <w:right w:val="single" w:sz="4" w:space="0" w:color="000000"/>
            </w:tcBorders>
          </w:tcPr>
          <w:p w14:paraId="74059D7A" w14:textId="77777777" w:rsidR="000F6DF6" w:rsidRDefault="000F0FFE">
            <w:pPr>
              <w:tabs>
                <w:tab w:val="left" w:pos="1406"/>
              </w:tabs>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100%</w:t>
            </w:r>
          </w:p>
        </w:tc>
        <w:tc>
          <w:tcPr>
            <w:tcW w:w="1198" w:type="dxa"/>
            <w:tcBorders>
              <w:left w:val="single" w:sz="4" w:space="0" w:color="000000"/>
              <w:bottom w:val="single" w:sz="4" w:space="0" w:color="000000"/>
              <w:right w:val="single" w:sz="4" w:space="0" w:color="000000"/>
            </w:tcBorders>
          </w:tcPr>
          <w:p w14:paraId="167745B0" w14:textId="77777777" w:rsidR="000F6DF6" w:rsidRDefault="000F0FFE">
            <w:pPr>
              <w:tabs>
                <w:tab w:val="left" w:pos="1406"/>
              </w:tabs>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w:t>
            </w:r>
          </w:p>
        </w:tc>
        <w:tc>
          <w:tcPr>
            <w:tcW w:w="1040" w:type="dxa"/>
            <w:tcBorders>
              <w:top w:val="single" w:sz="4" w:space="0" w:color="000000"/>
              <w:left w:val="single" w:sz="4" w:space="0" w:color="000000"/>
              <w:bottom w:val="single" w:sz="4" w:space="0" w:color="000000"/>
              <w:right w:val="single" w:sz="4" w:space="0" w:color="000000"/>
            </w:tcBorders>
          </w:tcPr>
          <w:p w14:paraId="78B927DB" w14:textId="77777777" w:rsidR="000F6DF6" w:rsidRDefault="000F0FFE">
            <w:pPr>
              <w:tabs>
                <w:tab w:val="left" w:pos="1406"/>
              </w:tabs>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100%</w:t>
            </w:r>
          </w:p>
        </w:tc>
      </w:tr>
    </w:tbl>
    <w:p w14:paraId="5CD16D12" w14:textId="77777777" w:rsidR="000F6DF6" w:rsidRDefault="000F6DF6">
      <w:pPr>
        <w:spacing w:after="140" w:line="276" w:lineRule="auto"/>
        <w:ind w:firstLine="708"/>
        <w:jc w:val="both"/>
        <w:rPr>
          <w:rFonts w:ascii="Times New Roman" w:eastAsia="Times New Roman" w:hAnsi="Times New Roman" w:cs="Times New Roman"/>
          <w:lang w:val="uk-UA"/>
        </w:rPr>
      </w:pPr>
    </w:p>
    <w:p w14:paraId="7C379B89" w14:textId="77777777" w:rsidR="0088738A" w:rsidRDefault="0088738A">
      <w:pPr>
        <w:spacing w:after="140" w:line="276" w:lineRule="auto"/>
        <w:ind w:firstLine="708"/>
        <w:jc w:val="both"/>
        <w:rPr>
          <w:rFonts w:ascii="Times New Roman" w:eastAsia="Times New Roman" w:hAnsi="Times New Roman" w:cs="Times New Roman"/>
          <w:lang w:val="uk-UA"/>
        </w:rPr>
      </w:pPr>
    </w:p>
    <w:p w14:paraId="15EFC9AA" w14:textId="77777777" w:rsidR="0088738A" w:rsidRPr="0088738A" w:rsidRDefault="0088738A">
      <w:pPr>
        <w:spacing w:after="140" w:line="276" w:lineRule="auto"/>
        <w:ind w:firstLine="708"/>
        <w:jc w:val="both"/>
        <w:rPr>
          <w:rFonts w:ascii="Times New Roman" w:eastAsia="Times New Roman" w:hAnsi="Times New Roman" w:cs="Times New Roman"/>
          <w:lang w:val="uk-UA"/>
        </w:rPr>
      </w:pPr>
    </w:p>
    <w:p w14:paraId="1D975C8E" w14:textId="52C67E83" w:rsidR="0088738A" w:rsidRPr="0088738A" w:rsidRDefault="000F0FFE" w:rsidP="0088738A">
      <w:pPr>
        <w:spacing w:after="0" w:line="240" w:lineRule="auto"/>
        <w:ind w:firstLine="567"/>
        <w:jc w:val="both"/>
        <w:rPr>
          <w:rFonts w:ascii="Times New Roman" w:eastAsia="Times New Roman" w:hAnsi="Times New Roman" w:cs="Times New Roman"/>
          <w:sz w:val="27"/>
          <w:szCs w:val="27"/>
          <w:lang w:val="uk-UA"/>
        </w:rPr>
      </w:pPr>
      <w:r>
        <w:rPr>
          <w:rFonts w:ascii="Times New Roman" w:eastAsia="Times New Roman" w:hAnsi="Times New Roman" w:cs="Times New Roman"/>
          <w:sz w:val="27"/>
          <w:szCs w:val="27"/>
        </w:rPr>
        <w:lastRenderedPageBreak/>
        <w:t>Інформацію про кількість суб’єктів господарювання та їх питому вагу у загальній кількості взято із статистичних даних Державної кримінально-виконавчої служби України.</w:t>
      </w:r>
    </w:p>
    <w:tbl>
      <w:tblPr>
        <w:tblStyle w:val="aff9"/>
        <w:tblW w:w="1032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3"/>
        <w:gridCol w:w="3970"/>
        <w:gridCol w:w="3827"/>
      </w:tblGrid>
      <w:tr w:rsidR="000F6DF6" w14:paraId="74C58A74" w14:textId="77777777">
        <w:trPr>
          <w:tblHeader/>
        </w:trPr>
        <w:tc>
          <w:tcPr>
            <w:tcW w:w="2523" w:type="dxa"/>
          </w:tcPr>
          <w:p w14:paraId="3232F2BA" w14:textId="77777777" w:rsidR="000F6DF6" w:rsidRDefault="000F0FFE">
            <w:pPr>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Вид альтернативи</w:t>
            </w:r>
          </w:p>
        </w:tc>
        <w:tc>
          <w:tcPr>
            <w:tcW w:w="3970" w:type="dxa"/>
          </w:tcPr>
          <w:p w14:paraId="67968DE7" w14:textId="77777777" w:rsidR="000F6DF6" w:rsidRDefault="000F0FFE">
            <w:pPr>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Вигоди</w:t>
            </w:r>
          </w:p>
          <w:p w14:paraId="15CEC9F0" w14:textId="77777777" w:rsidR="000F6DF6" w:rsidRDefault="000F6DF6">
            <w:pPr>
              <w:spacing w:after="140" w:line="276" w:lineRule="auto"/>
              <w:jc w:val="center"/>
              <w:rPr>
                <w:rFonts w:ascii="Times New Roman" w:eastAsia="Times New Roman" w:hAnsi="Times New Roman" w:cs="Times New Roman"/>
              </w:rPr>
            </w:pPr>
          </w:p>
        </w:tc>
        <w:tc>
          <w:tcPr>
            <w:tcW w:w="3827" w:type="dxa"/>
          </w:tcPr>
          <w:p w14:paraId="3925A8B2" w14:textId="77777777" w:rsidR="000F6DF6" w:rsidRDefault="000F0FFE">
            <w:pPr>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Витрати</w:t>
            </w:r>
          </w:p>
        </w:tc>
      </w:tr>
      <w:tr w:rsidR="000F6DF6" w14:paraId="64094139" w14:textId="77777777">
        <w:tc>
          <w:tcPr>
            <w:tcW w:w="2523" w:type="dxa"/>
          </w:tcPr>
          <w:p w14:paraId="595D8384"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Альтернатива 1</w:t>
            </w:r>
          </w:p>
          <w:p w14:paraId="738B570F"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Наявна ситуація залишається без змін</w:t>
            </w:r>
          </w:p>
        </w:tc>
        <w:tc>
          <w:tcPr>
            <w:tcW w:w="3970" w:type="dxa"/>
          </w:tcPr>
          <w:p w14:paraId="4397E12C"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Відсутні.</w:t>
            </w:r>
          </w:p>
        </w:tc>
        <w:tc>
          <w:tcPr>
            <w:tcW w:w="3827" w:type="dxa"/>
          </w:tcPr>
          <w:p w14:paraId="34A61F3D" w14:textId="77777777" w:rsidR="000F6DF6" w:rsidRDefault="000F0FFE">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Збереження наявної ситуації спричинить нівелювання значення атестації як інструмента стимулювання до професійного зростання, збільшення бюрократичного навантаження та ризик відтоку кваліфікованих кадрів внаслідок відсутності механізмів професійного просування для осіб зі ступенем бакалавра.</w:t>
            </w:r>
          </w:p>
        </w:tc>
      </w:tr>
      <w:tr w:rsidR="000F6DF6" w14:paraId="4E3CD961" w14:textId="77777777">
        <w:tc>
          <w:tcPr>
            <w:tcW w:w="2523" w:type="dxa"/>
          </w:tcPr>
          <w:p w14:paraId="52180E48"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Альтернатива 2</w:t>
            </w:r>
          </w:p>
          <w:p w14:paraId="7FE8D38B"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Прийняття запропонованого проєкту акта</w:t>
            </w:r>
          </w:p>
        </w:tc>
        <w:tc>
          <w:tcPr>
            <w:tcW w:w="3970" w:type="dxa"/>
          </w:tcPr>
          <w:p w14:paraId="22087136" w14:textId="77777777" w:rsidR="000F6DF6" w:rsidRDefault="000F0FFE">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Прийняття акта дозволить забезпечити чіткий та зрозумілий механізм атестації через комісії III рівня щодо педагогічних працівників закладів професійної освіти при установах виконання покарань та децентралізує адміністрування процедури. Водночас реалізація акта унормує право педагогічних працівників зі ступенем бакалавра на отримання кваліфікаційної категорії «спеціаліст першої категорії», що дозволить зберегти кадровий потенціал та зробити атестацію дієвим інструментом мотивації.</w:t>
            </w:r>
          </w:p>
        </w:tc>
        <w:tc>
          <w:tcPr>
            <w:tcW w:w="3827" w:type="dxa"/>
          </w:tcPr>
          <w:p w14:paraId="38EBE5E1"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Ознайомлення із текстом наказу</w:t>
            </w:r>
          </w:p>
          <w:p w14:paraId="4CDECA98"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 xml:space="preserve">1 год х 105,63* грн/год х 33 = 3 485, 79 грн </w:t>
            </w:r>
          </w:p>
          <w:p w14:paraId="1A0F0B9A" w14:textId="77777777" w:rsidR="000F6DF6" w:rsidRDefault="000F6DF6">
            <w:pPr>
              <w:spacing w:after="140" w:line="276" w:lineRule="auto"/>
              <w:ind w:firstLine="321"/>
              <w:jc w:val="both"/>
              <w:rPr>
                <w:rFonts w:ascii="Times New Roman" w:eastAsia="Times New Roman" w:hAnsi="Times New Roman" w:cs="Times New Roman"/>
              </w:rPr>
            </w:pPr>
          </w:p>
        </w:tc>
      </w:tr>
    </w:tbl>
    <w:p w14:paraId="0F6C2E31" w14:textId="77777777" w:rsidR="000F6DF6" w:rsidRDefault="000F0FFE">
      <w:pPr>
        <w:spacing w:before="240" w:after="240" w:line="276" w:lineRule="auto"/>
        <w:jc w:val="both"/>
        <w:rPr>
          <w:rFonts w:ascii="Times New Roman" w:eastAsia="Times New Roman" w:hAnsi="Times New Roman" w:cs="Times New Roman"/>
          <w:sz w:val="27"/>
          <w:szCs w:val="27"/>
          <w:highlight w:val="white"/>
        </w:rPr>
      </w:pPr>
      <w:r>
        <w:rPr>
          <w:rFonts w:ascii="Times New Roman" w:eastAsia="Times New Roman" w:hAnsi="Times New Roman" w:cs="Times New Roman"/>
          <w:i/>
          <w:iCs/>
          <w:highlight w:val="white"/>
        </w:rPr>
        <w:t>*</w:t>
      </w:r>
      <w:r>
        <w:rPr>
          <w:rFonts w:ascii="Verdana" w:eastAsia="Verdana" w:hAnsi="Verdana" w:cs="Verdana"/>
          <w:b/>
          <w:bCs/>
          <w:highlight w:val="white"/>
        </w:rPr>
        <w:t xml:space="preserve"> </w:t>
      </w:r>
      <w:r>
        <w:rPr>
          <w:rFonts w:ascii="Times New Roman" w:eastAsia="Times New Roman" w:hAnsi="Times New Roman" w:cs="Times New Roman"/>
          <w:highlight w:val="white"/>
        </w:rPr>
        <w:t>Державна служба статистики України. Середньомісячна заробітна плата за видами економічної діяльності за період з початку року (https://www.ukrstat.gov.ua/operativ/operativ2005/gdn/Zarp_ek_m/Zp_ek_m_u/arh_zpm_u.html) Кодекс законів про працю України (стаття 50).</w:t>
      </w:r>
    </w:p>
    <w:p w14:paraId="4434BA02" w14:textId="77777777" w:rsidR="000F6DF6" w:rsidRDefault="000F0FFE">
      <w:pPr>
        <w:pBdr>
          <w:top w:val="nil"/>
          <w:left w:val="nil"/>
          <w:bottom w:val="nil"/>
          <w:right w:val="nil"/>
          <w:between w:val="nil"/>
        </w:pBdr>
        <w:spacing w:after="140" w:line="276" w:lineRule="auto"/>
        <w:rPr>
          <w:rFonts w:ascii="Times New Roman" w:eastAsia="Times New Roman" w:hAnsi="Times New Roman" w:cs="Times New Roman"/>
          <w:color w:val="000000"/>
          <w:sz w:val="27"/>
          <w:szCs w:val="27"/>
          <w:highlight w:val="white"/>
        </w:rPr>
      </w:pPr>
      <w:r>
        <w:rPr>
          <w:rFonts w:ascii="Times New Roman" w:eastAsia="Times New Roman" w:hAnsi="Times New Roman" w:cs="Times New Roman"/>
          <w:color w:val="000000"/>
          <w:sz w:val="27"/>
          <w:szCs w:val="27"/>
          <w:highlight w:val="white"/>
        </w:rPr>
        <w:t>Оцінка сумарних витрат за альтернативами</w:t>
      </w:r>
    </w:p>
    <w:tbl>
      <w:tblPr>
        <w:tblStyle w:val="affa"/>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990"/>
      </w:tblGrid>
      <w:tr w:rsidR="000F6DF6" w14:paraId="43CF1652" w14:textId="77777777">
        <w:tc>
          <w:tcPr>
            <w:tcW w:w="4678" w:type="dxa"/>
          </w:tcPr>
          <w:p w14:paraId="35D0BF03" w14:textId="77777777" w:rsidR="000F6DF6" w:rsidRDefault="000F0FFE">
            <w:pPr>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Сумарні витрати за альтернативами</w:t>
            </w:r>
          </w:p>
        </w:tc>
        <w:tc>
          <w:tcPr>
            <w:tcW w:w="4990" w:type="dxa"/>
          </w:tcPr>
          <w:p w14:paraId="243C993A" w14:textId="77777777" w:rsidR="000F6DF6" w:rsidRDefault="000F0FFE">
            <w:pPr>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Сума витрат, гривень</w:t>
            </w:r>
          </w:p>
        </w:tc>
      </w:tr>
      <w:tr w:rsidR="000F6DF6" w14:paraId="4B7B4B8F" w14:textId="77777777">
        <w:tc>
          <w:tcPr>
            <w:tcW w:w="4678" w:type="dxa"/>
            <w:vAlign w:val="center"/>
          </w:tcPr>
          <w:p w14:paraId="7A980FDE" w14:textId="77777777" w:rsidR="000F6DF6" w:rsidRDefault="000F0FFE">
            <w:pPr>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Альтернатива 1</w:t>
            </w:r>
          </w:p>
          <w:p w14:paraId="36A5ADD0" w14:textId="77777777" w:rsidR="000F6DF6" w:rsidRDefault="000F0FFE">
            <w:pPr>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Наявна ситуація залишається без змін</w:t>
            </w:r>
          </w:p>
        </w:tc>
        <w:tc>
          <w:tcPr>
            <w:tcW w:w="4990" w:type="dxa"/>
            <w:vAlign w:val="center"/>
          </w:tcPr>
          <w:p w14:paraId="0D09C946" w14:textId="77777777" w:rsidR="000F6DF6" w:rsidRDefault="000F0FFE">
            <w:pPr>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3F2ECABF" w14:textId="77777777">
        <w:tc>
          <w:tcPr>
            <w:tcW w:w="4678" w:type="dxa"/>
            <w:vAlign w:val="center"/>
          </w:tcPr>
          <w:p w14:paraId="540E9194" w14:textId="77777777" w:rsidR="000F6DF6" w:rsidRDefault="000F0FFE">
            <w:pPr>
              <w:pBdr>
                <w:top w:val="nil"/>
                <w:left w:val="nil"/>
                <w:bottom w:val="nil"/>
                <w:right w:val="nil"/>
                <w:between w:val="nil"/>
              </w:pBdr>
              <w:spacing w:after="14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Альтернатива 2</w:t>
            </w:r>
          </w:p>
          <w:p w14:paraId="4DF3B26E" w14:textId="77777777" w:rsidR="000F6DF6" w:rsidRDefault="000F0FFE">
            <w:pPr>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Прийняття запропонованого проєкту акта</w:t>
            </w:r>
          </w:p>
        </w:tc>
        <w:tc>
          <w:tcPr>
            <w:tcW w:w="4990" w:type="dxa"/>
            <w:vAlign w:val="center"/>
          </w:tcPr>
          <w:p w14:paraId="191113BC" w14:textId="77777777" w:rsidR="000F6DF6" w:rsidRDefault="000F0FFE">
            <w:pPr>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3 485, 79 грн</w:t>
            </w:r>
          </w:p>
        </w:tc>
      </w:tr>
    </w:tbl>
    <w:p w14:paraId="0124C4C0" w14:textId="77777777" w:rsidR="000F6DF6" w:rsidRDefault="000F6DF6">
      <w:pPr>
        <w:pBdr>
          <w:top w:val="nil"/>
          <w:left w:val="nil"/>
          <w:bottom w:val="nil"/>
          <w:right w:val="nil"/>
          <w:between w:val="nil"/>
        </w:pBdr>
        <w:spacing w:after="140" w:line="276" w:lineRule="auto"/>
        <w:jc w:val="both"/>
        <w:rPr>
          <w:rFonts w:ascii="Times New Roman" w:eastAsia="Times New Roman" w:hAnsi="Times New Roman" w:cs="Times New Roman"/>
          <w:b/>
          <w:bCs/>
          <w:color w:val="000000"/>
          <w:sz w:val="27"/>
          <w:szCs w:val="27"/>
        </w:rPr>
      </w:pPr>
    </w:p>
    <w:p w14:paraId="7A9CB889" w14:textId="77777777" w:rsidR="000F6DF6" w:rsidRDefault="000F0FFE">
      <w:pPr>
        <w:pBdr>
          <w:top w:val="nil"/>
          <w:left w:val="nil"/>
          <w:bottom w:val="nil"/>
          <w:right w:val="nil"/>
          <w:between w:val="nil"/>
        </w:pBdr>
        <w:spacing w:after="140" w:line="276" w:lineRule="auto"/>
        <w:ind w:firstLine="567"/>
        <w:jc w:val="both"/>
        <w:rPr>
          <w:rFonts w:ascii="Times New Roman" w:eastAsia="Times New Roman" w:hAnsi="Times New Roman" w:cs="Times New Roman"/>
          <w:b/>
          <w:bCs/>
          <w:color w:val="000000"/>
          <w:sz w:val="27"/>
          <w:szCs w:val="27"/>
        </w:rPr>
      </w:pPr>
      <w:r>
        <w:rPr>
          <w:rFonts w:ascii="Times New Roman" w:eastAsia="Times New Roman" w:hAnsi="Times New Roman" w:cs="Times New Roman"/>
          <w:b/>
          <w:bCs/>
          <w:color w:val="000000"/>
          <w:sz w:val="27"/>
          <w:szCs w:val="27"/>
        </w:rPr>
        <w:t>IV. Вибір найбільш оптимального альтернативного способу досягнення цілей</w:t>
      </w:r>
    </w:p>
    <w:p w14:paraId="69606837" w14:textId="77777777" w:rsidR="000F6DF6" w:rsidRDefault="000F0FFE">
      <w:pPr>
        <w:spacing w:after="0" w:line="276" w:lineRule="auto"/>
        <w:ind w:firstLine="709"/>
        <w:jc w:val="both"/>
        <w:rPr>
          <w:rFonts w:ascii="Times New Roman" w:eastAsia="Times New Roman" w:hAnsi="Times New Roman" w:cs="Times New Roman"/>
          <w:sz w:val="27"/>
          <w:szCs w:val="27"/>
        </w:rPr>
      </w:pPr>
      <w:bookmarkStart w:id="2" w:name="bookmark=id.akloxj9s6uk" w:colFirst="0" w:colLast="0"/>
      <w:bookmarkStart w:id="3" w:name="bookmark=id.akwypdwi4mf2" w:colFirst="0" w:colLast="0"/>
      <w:bookmarkStart w:id="4" w:name="bookmark=id.nhh8uqy586a9" w:colFirst="0" w:colLast="0"/>
      <w:bookmarkEnd w:id="2"/>
      <w:bookmarkEnd w:id="3"/>
      <w:bookmarkEnd w:id="4"/>
      <w:r>
        <w:rPr>
          <w:rFonts w:ascii="Times New Roman" w:eastAsia="Times New Roman" w:hAnsi="Times New Roman" w:cs="Times New Roman"/>
          <w:sz w:val="27"/>
          <w:szCs w:val="27"/>
        </w:rPr>
        <w:t>Здійснити вибір оптимального альтернативного способу з урахуванням системи бальної оцінки ступеня досягнення визначених цілей.</w:t>
      </w:r>
    </w:p>
    <w:p w14:paraId="328AE285" w14:textId="77777777" w:rsidR="000F6DF6" w:rsidRDefault="000F0FFE">
      <w:pPr>
        <w:spacing w:after="0" w:line="276" w:lineRule="auto"/>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Вартість балів визначається за чотирибальною системою оцінки ступеня досягнення визначених цілей, де:</w:t>
      </w:r>
    </w:p>
    <w:p w14:paraId="1520C84F" w14:textId="77777777" w:rsidR="000F6DF6" w:rsidRDefault="000F0FFE">
      <w:pPr>
        <w:spacing w:after="0" w:line="276" w:lineRule="auto"/>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4 – цілі прийняття регуляторного акта, які можуть бути досягнуті повною мірою (проблема більше існувати не буде);</w:t>
      </w:r>
    </w:p>
    <w:p w14:paraId="25B136D3" w14:textId="77777777" w:rsidR="000F6DF6" w:rsidRDefault="000F0FFE">
      <w:pPr>
        <w:spacing w:after="0" w:line="276" w:lineRule="auto"/>
        <w:ind w:firstLine="709"/>
        <w:jc w:val="both"/>
        <w:rPr>
          <w:rFonts w:ascii="Times New Roman" w:eastAsia="Times New Roman" w:hAnsi="Times New Roman" w:cs="Times New Roman"/>
          <w:sz w:val="27"/>
          <w:szCs w:val="27"/>
        </w:rPr>
      </w:pPr>
      <w:bookmarkStart w:id="5" w:name="bookmark=id.pysn8orvb89z" w:colFirst="0" w:colLast="0"/>
      <w:bookmarkEnd w:id="5"/>
      <w:r>
        <w:rPr>
          <w:rFonts w:ascii="Times New Roman" w:eastAsia="Times New Roman" w:hAnsi="Times New Roman" w:cs="Times New Roman"/>
          <w:sz w:val="27"/>
          <w:szCs w:val="27"/>
        </w:rPr>
        <w:t>3 – цілі прийняття регуляторного акта, які можуть бути досягнуті майже  повною мірою (усі важливі аспекти проблеми існувати не будуть);</w:t>
      </w:r>
    </w:p>
    <w:p w14:paraId="1A90F201" w14:textId="77777777" w:rsidR="000F6DF6" w:rsidRDefault="000F0FFE">
      <w:pPr>
        <w:spacing w:after="0" w:line="276" w:lineRule="auto"/>
        <w:ind w:firstLine="709"/>
        <w:jc w:val="both"/>
        <w:rPr>
          <w:rFonts w:ascii="Times New Roman" w:eastAsia="Times New Roman" w:hAnsi="Times New Roman" w:cs="Times New Roman"/>
          <w:sz w:val="27"/>
          <w:szCs w:val="27"/>
        </w:rPr>
      </w:pPr>
      <w:bookmarkStart w:id="6" w:name="bookmark=id.l92jalcco93w" w:colFirst="0" w:colLast="0"/>
      <w:bookmarkEnd w:id="6"/>
      <w:r>
        <w:rPr>
          <w:rFonts w:ascii="Times New Roman" w:eastAsia="Times New Roman" w:hAnsi="Times New Roman" w:cs="Times New Roman"/>
          <w:sz w:val="27"/>
          <w:szCs w:val="27"/>
        </w:rPr>
        <w:t>2 – цілі прийняття регуляторного акта, які можуть бути досягнуті частково (проблема значно зменшиться, деякі важливі та критичні аспекти проблеми залишаться невирішеними);</w:t>
      </w:r>
    </w:p>
    <w:p w14:paraId="45A0D06D" w14:textId="77777777" w:rsidR="000F6DF6" w:rsidRDefault="000F0FFE">
      <w:pPr>
        <w:spacing w:after="0" w:line="276" w:lineRule="auto"/>
        <w:ind w:firstLine="709"/>
        <w:jc w:val="both"/>
        <w:rPr>
          <w:rFonts w:ascii="Times New Roman" w:eastAsia="Times New Roman" w:hAnsi="Times New Roman" w:cs="Times New Roman"/>
          <w:sz w:val="27"/>
          <w:szCs w:val="27"/>
        </w:rPr>
      </w:pPr>
      <w:bookmarkStart w:id="7" w:name="bookmark=id.qjbyc7yo04ur" w:colFirst="0" w:colLast="0"/>
      <w:bookmarkEnd w:id="7"/>
      <w:r>
        <w:rPr>
          <w:rFonts w:ascii="Times New Roman" w:eastAsia="Times New Roman" w:hAnsi="Times New Roman" w:cs="Times New Roman"/>
          <w:sz w:val="27"/>
          <w:szCs w:val="27"/>
        </w:rPr>
        <w:t>1 – цілі прийняття регуляторного акта, які не можуть бути досягнуті (проблема продовжує існувати).</w:t>
      </w:r>
    </w:p>
    <w:p w14:paraId="4568CB0D" w14:textId="77777777" w:rsidR="000F6DF6" w:rsidRDefault="000F6DF6">
      <w:pPr>
        <w:spacing w:after="140" w:line="276" w:lineRule="auto"/>
        <w:ind w:firstLine="709"/>
        <w:jc w:val="both"/>
        <w:rPr>
          <w:rFonts w:ascii="Times New Roman" w:eastAsia="Times New Roman" w:hAnsi="Times New Roman" w:cs="Times New Roman"/>
          <w:sz w:val="27"/>
          <w:szCs w:val="27"/>
        </w:rPr>
      </w:pPr>
    </w:p>
    <w:tbl>
      <w:tblPr>
        <w:tblStyle w:val="affb"/>
        <w:tblW w:w="98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3"/>
        <w:gridCol w:w="392"/>
        <w:gridCol w:w="2504"/>
        <w:gridCol w:w="46"/>
        <w:gridCol w:w="2837"/>
        <w:gridCol w:w="2101"/>
      </w:tblGrid>
      <w:tr w:rsidR="000F6DF6" w14:paraId="19410F68" w14:textId="77777777" w:rsidTr="000F0FFE">
        <w:tc>
          <w:tcPr>
            <w:tcW w:w="2405" w:type="dxa"/>
            <w:gridSpan w:val="2"/>
          </w:tcPr>
          <w:p w14:paraId="60428950" w14:textId="77777777" w:rsidR="000F6DF6" w:rsidRDefault="000F0FFE">
            <w:pPr>
              <w:spacing w:after="140" w:line="276" w:lineRule="auto"/>
              <w:jc w:val="both"/>
              <w:rPr>
                <w:rFonts w:ascii="Times New Roman" w:eastAsia="Times New Roman" w:hAnsi="Times New Roman" w:cs="Times New Roman"/>
              </w:rPr>
            </w:pPr>
            <w:bookmarkStart w:id="8" w:name="bookmark=id.rg1e886oi83b" w:colFirst="0" w:colLast="0"/>
            <w:bookmarkEnd w:id="8"/>
            <w:r>
              <w:rPr>
                <w:rFonts w:ascii="Times New Roman" w:eastAsia="Times New Roman" w:hAnsi="Times New Roman" w:cs="Times New Roman"/>
              </w:rPr>
              <w:t>Рейтинг результативності (досягнення цілей під час вирішення проблеми)</w:t>
            </w:r>
          </w:p>
        </w:tc>
        <w:tc>
          <w:tcPr>
            <w:tcW w:w="2550" w:type="dxa"/>
            <w:gridSpan w:val="2"/>
          </w:tcPr>
          <w:p w14:paraId="739AA8DC"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Бал результативності (за чотирибальною системою оцінки)</w:t>
            </w:r>
          </w:p>
        </w:tc>
        <w:tc>
          <w:tcPr>
            <w:tcW w:w="4938" w:type="dxa"/>
            <w:gridSpan w:val="2"/>
          </w:tcPr>
          <w:p w14:paraId="0F4D0838"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 xml:space="preserve">Коментарі щодо присвоєння відповідного </w:t>
            </w:r>
            <w:proofErr w:type="spellStart"/>
            <w:r>
              <w:rPr>
                <w:rFonts w:ascii="Times New Roman" w:eastAsia="Times New Roman" w:hAnsi="Times New Roman" w:cs="Times New Roman"/>
              </w:rPr>
              <w:t>бала</w:t>
            </w:r>
            <w:proofErr w:type="spellEnd"/>
          </w:p>
        </w:tc>
      </w:tr>
      <w:tr w:rsidR="000F6DF6" w14:paraId="6E7FC8D9" w14:textId="77777777" w:rsidTr="000F0FFE">
        <w:tc>
          <w:tcPr>
            <w:tcW w:w="2405" w:type="dxa"/>
            <w:gridSpan w:val="2"/>
          </w:tcPr>
          <w:p w14:paraId="6FF8D20F"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Альтернатива 1</w:t>
            </w:r>
          </w:p>
          <w:p w14:paraId="379F7C04"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Наявна ситуація залишається без змін</w:t>
            </w:r>
          </w:p>
        </w:tc>
        <w:tc>
          <w:tcPr>
            <w:tcW w:w="2550" w:type="dxa"/>
            <w:gridSpan w:val="2"/>
          </w:tcPr>
          <w:p w14:paraId="7C6574F3" w14:textId="77777777" w:rsidR="000F6DF6" w:rsidRDefault="000F0FFE">
            <w:pPr>
              <w:spacing w:after="140" w:line="276" w:lineRule="auto"/>
              <w:ind w:firstLine="284"/>
              <w:jc w:val="both"/>
              <w:rPr>
                <w:rFonts w:ascii="Times New Roman" w:eastAsia="Times New Roman" w:hAnsi="Times New Roman" w:cs="Times New Roman"/>
              </w:rPr>
            </w:pPr>
            <w:r>
              <w:rPr>
                <w:rFonts w:ascii="Times New Roman" w:eastAsia="Times New Roman" w:hAnsi="Times New Roman" w:cs="Times New Roman"/>
              </w:rPr>
              <w:t>1</w:t>
            </w:r>
          </w:p>
        </w:tc>
        <w:tc>
          <w:tcPr>
            <w:tcW w:w="4938" w:type="dxa"/>
            <w:gridSpan w:val="2"/>
          </w:tcPr>
          <w:p w14:paraId="5B4483C3" w14:textId="77777777" w:rsidR="000F6DF6" w:rsidRDefault="000F0FFE">
            <w:pPr>
              <w:spacing w:after="0" w:line="276" w:lineRule="auto"/>
              <w:ind w:right="136"/>
              <w:jc w:val="both"/>
              <w:rPr>
                <w:rFonts w:ascii="Times New Roman" w:eastAsia="Times New Roman" w:hAnsi="Times New Roman" w:cs="Times New Roman"/>
              </w:rPr>
            </w:pPr>
            <w:r>
              <w:rPr>
                <w:rFonts w:ascii="Times New Roman" w:eastAsia="Times New Roman" w:hAnsi="Times New Roman" w:cs="Times New Roman"/>
              </w:rPr>
              <w:t>Мінімальний бал, який зазначає неможливість досягнення цілей державного регулювання альтернативним способом.</w:t>
            </w:r>
          </w:p>
        </w:tc>
      </w:tr>
      <w:tr w:rsidR="000F6DF6" w14:paraId="0E87E93C" w14:textId="77777777" w:rsidTr="000F0FFE">
        <w:tc>
          <w:tcPr>
            <w:tcW w:w="2405" w:type="dxa"/>
            <w:gridSpan w:val="2"/>
          </w:tcPr>
          <w:p w14:paraId="37491416"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Альтернатива 2</w:t>
            </w:r>
          </w:p>
          <w:p w14:paraId="09944F29"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Прийняття запропонованого проєкту акта</w:t>
            </w:r>
          </w:p>
        </w:tc>
        <w:tc>
          <w:tcPr>
            <w:tcW w:w="2550" w:type="dxa"/>
            <w:gridSpan w:val="2"/>
          </w:tcPr>
          <w:p w14:paraId="19AD9018" w14:textId="77777777" w:rsidR="000F6DF6" w:rsidRDefault="000F0FFE">
            <w:pPr>
              <w:spacing w:after="140" w:line="276" w:lineRule="auto"/>
              <w:ind w:firstLine="284"/>
              <w:jc w:val="both"/>
              <w:rPr>
                <w:rFonts w:ascii="Times New Roman" w:eastAsia="Times New Roman" w:hAnsi="Times New Roman" w:cs="Times New Roman"/>
              </w:rPr>
            </w:pPr>
            <w:r>
              <w:rPr>
                <w:rFonts w:ascii="Times New Roman" w:eastAsia="Times New Roman" w:hAnsi="Times New Roman" w:cs="Times New Roman"/>
              </w:rPr>
              <w:t>3</w:t>
            </w:r>
          </w:p>
        </w:tc>
        <w:tc>
          <w:tcPr>
            <w:tcW w:w="4938" w:type="dxa"/>
            <w:gridSpan w:val="2"/>
          </w:tcPr>
          <w:p w14:paraId="327DA50A" w14:textId="77777777" w:rsidR="000F6DF6" w:rsidRDefault="000F0FFE">
            <w:pPr>
              <w:spacing w:after="0" w:line="276" w:lineRule="auto"/>
              <w:ind w:right="136"/>
              <w:jc w:val="both"/>
              <w:rPr>
                <w:rFonts w:ascii="Times New Roman" w:eastAsia="Times New Roman" w:hAnsi="Times New Roman" w:cs="Times New Roman"/>
              </w:rPr>
            </w:pPr>
            <w:r>
              <w:rPr>
                <w:rFonts w:ascii="Times New Roman" w:eastAsia="Times New Roman" w:hAnsi="Times New Roman" w:cs="Times New Roman"/>
              </w:rPr>
              <w:t xml:space="preserve">Максимальний бал. </w:t>
            </w:r>
          </w:p>
          <w:p w14:paraId="19312C94" w14:textId="77777777" w:rsidR="000F6DF6" w:rsidRDefault="000F0FFE">
            <w:pPr>
              <w:spacing w:after="0" w:line="276" w:lineRule="auto"/>
              <w:ind w:right="136"/>
              <w:jc w:val="both"/>
              <w:rPr>
                <w:rFonts w:ascii="Times New Roman" w:eastAsia="Times New Roman" w:hAnsi="Times New Roman" w:cs="Times New Roman"/>
              </w:rPr>
            </w:pPr>
            <w:r>
              <w:rPr>
                <w:rFonts w:ascii="Times New Roman" w:eastAsia="Times New Roman" w:hAnsi="Times New Roman" w:cs="Times New Roman"/>
              </w:rPr>
              <w:t xml:space="preserve">Оптимальний варіант збалансування інтересів держави, суб’єктів господарювання, педагогічних працівників. Комплексне </w:t>
            </w:r>
            <w:r>
              <w:rPr>
                <w:rFonts w:ascii="Times New Roman" w:eastAsia="Times New Roman" w:hAnsi="Times New Roman" w:cs="Times New Roman"/>
                <w:highlight w:val="white"/>
              </w:rPr>
              <w:t>вдосконалення процедури атестації педагогічних працівників задля усунення правової невизначеності та дискримінаційних положень.</w:t>
            </w:r>
          </w:p>
        </w:tc>
      </w:tr>
      <w:tr w:rsidR="000F6DF6" w14:paraId="75AB206E" w14:textId="77777777">
        <w:tc>
          <w:tcPr>
            <w:tcW w:w="2013" w:type="dxa"/>
            <w:vAlign w:val="center"/>
          </w:tcPr>
          <w:p w14:paraId="0F0B5082" w14:textId="77777777" w:rsidR="000F6DF6" w:rsidRDefault="000F0FFE">
            <w:pPr>
              <w:spacing w:after="140" w:line="276" w:lineRule="auto"/>
              <w:jc w:val="center"/>
              <w:rPr>
                <w:rFonts w:ascii="Times New Roman" w:eastAsia="Times New Roman" w:hAnsi="Times New Roman" w:cs="Times New Roman"/>
              </w:rPr>
            </w:pPr>
            <w:bookmarkStart w:id="9" w:name="bookmark=id.5qxk047ej6mt" w:colFirst="0" w:colLast="0"/>
            <w:bookmarkStart w:id="10" w:name="bookmark=id.nnibifybuz5a" w:colFirst="0" w:colLast="0"/>
            <w:bookmarkEnd w:id="9"/>
            <w:bookmarkEnd w:id="10"/>
            <w:r>
              <w:rPr>
                <w:rFonts w:ascii="Times New Roman" w:eastAsia="Times New Roman" w:hAnsi="Times New Roman" w:cs="Times New Roman"/>
              </w:rPr>
              <w:t>Рейтинг результативності</w:t>
            </w:r>
          </w:p>
        </w:tc>
        <w:tc>
          <w:tcPr>
            <w:tcW w:w="2896" w:type="dxa"/>
            <w:gridSpan w:val="2"/>
            <w:vAlign w:val="center"/>
          </w:tcPr>
          <w:p w14:paraId="401C370F" w14:textId="77777777" w:rsidR="000F6DF6" w:rsidRDefault="000F0FFE">
            <w:pPr>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Вигоди (підсумок)</w:t>
            </w:r>
          </w:p>
        </w:tc>
        <w:tc>
          <w:tcPr>
            <w:tcW w:w="2883" w:type="dxa"/>
            <w:gridSpan w:val="2"/>
            <w:vAlign w:val="center"/>
          </w:tcPr>
          <w:p w14:paraId="15791E42" w14:textId="77777777" w:rsidR="000F6DF6" w:rsidRDefault="000F0FFE">
            <w:pPr>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Витрати (підсумок)</w:t>
            </w:r>
          </w:p>
        </w:tc>
        <w:tc>
          <w:tcPr>
            <w:tcW w:w="2101" w:type="dxa"/>
            <w:vAlign w:val="center"/>
          </w:tcPr>
          <w:p w14:paraId="628A7B5A" w14:textId="77777777" w:rsidR="000F6DF6" w:rsidRDefault="000F0FFE">
            <w:pPr>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Обґрунтування відповідного місця альтернативи у рейтингу</w:t>
            </w:r>
          </w:p>
        </w:tc>
      </w:tr>
      <w:tr w:rsidR="000F6DF6" w14:paraId="4AED3171" w14:textId="77777777">
        <w:tc>
          <w:tcPr>
            <w:tcW w:w="2013" w:type="dxa"/>
          </w:tcPr>
          <w:p w14:paraId="41081C03"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Альтернатива 1</w:t>
            </w:r>
          </w:p>
          <w:p w14:paraId="6F278943"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Наявна ситуація залишається без змін</w:t>
            </w:r>
          </w:p>
        </w:tc>
        <w:tc>
          <w:tcPr>
            <w:tcW w:w="2896" w:type="dxa"/>
            <w:gridSpan w:val="2"/>
          </w:tcPr>
          <w:p w14:paraId="5AC9B7F0" w14:textId="77777777" w:rsidR="000F6DF6" w:rsidRDefault="000F0FFE">
            <w:pPr>
              <w:spacing w:after="140" w:line="276" w:lineRule="auto"/>
              <w:ind w:right="166"/>
              <w:jc w:val="both"/>
              <w:rPr>
                <w:rFonts w:ascii="Times New Roman" w:eastAsia="Times New Roman" w:hAnsi="Times New Roman" w:cs="Times New Roman"/>
              </w:rPr>
            </w:pPr>
            <w:r>
              <w:rPr>
                <w:rFonts w:ascii="Times New Roman" w:eastAsia="Times New Roman" w:hAnsi="Times New Roman" w:cs="Times New Roman"/>
              </w:rPr>
              <w:lastRenderedPageBreak/>
              <w:t>Відсутні.</w:t>
            </w:r>
          </w:p>
        </w:tc>
        <w:tc>
          <w:tcPr>
            <w:tcW w:w="2883" w:type="dxa"/>
            <w:gridSpan w:val="2"/>
          </w:tcPr>
          <w:p w14:paraId="07A261E9" w14:textId="77777777" w:rsidR="000F6DF6" w:rsidRDefault="000F0FFE">
            <w:pPr>
              <w:spacing w:after="140" w:line="276" w:lineRule="auto"/>
              <w:ind w:right="284"/>
              <w:jc w:val="both"/>
              <w:rPr>
                <w:rFonts w:ascii="Times New Roman" w:eastAsia="Times New Roman" w:hAnsi="Times New Roman" w:cs="Times New Roman"/>
              </w:rPr>
            </w:pPr>
            <w:r>
              <w:rPr>
                <w:rFonts w:ascii="Times New Roman" w:eastAsia="Times New Roman" w:hAnsi="Times New Roman" w:cs="Times New Roman"/>
              </w:rPr>
              <w:t xml:space="preserve">Збереження наявної ситуації спричинить нівелювання значення атестації як інструмента </w:t>
            </w:r>
            <w:r>
              <w:rPr>
                <w:rFonts w:ascii="Times New Roman" w:eastAsia="Times New Roman" w:hAnsi="Times New Roman" w:cs="Times New Roman"/>
              </w:rPr>
              <w:lastRenderedPageBreak/>
              <w:t>стимулювання до професійного зростання, збільшення бюрократичного навантаження та ризик відтоку кваліфікованих кадрів внаслідок відсутності механізмів професійного просування для осіб зі ступенем бакалавра.</w:t>
            </w:r>
          </w:p>
        </w:tc>
        <w:tc>
          <w:tcPr>
            <w:tcW w:w="2101" w:type="dxa"/>
          </w:tcPr>
          <w:p w14:paraId="7B92D473" w14:textId="77777777" w:rsidR="000F6DF6" w:rsidRDefault="000F0FFE">
            <w:pPr>
              <w:spacing w:after="20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У разі залишення наявної ситуації без змін проблема продовжуватиме існувати, що не </w:t>
            </w:r>
            <w:r>
              <w:rPr>
                <w:rFonts w:ascii="Times New Roman" w:eastAsia="Times New Roman" w:hAnsi="Times New Roman" w:cs="Times New Roman"/>
              </w:rPr>
              <w:lastRenderedPageBreak/>
              <w:t>забезпечить досягнення поставленої мети.</w:t>
            </w:r>
          </w:p>
        </w:tc>
      </w:tr>
      <w:tr w:rsidR="000F6DF6" w14:paraId="050DDCB4" w14:textId="77777777">
        <w:tc>
          <w:tcPr>
            <w:tcW w:w="2013" w:type="dxa"/>
          </w:tcPr>
          <w:p w14:paraId="088EAB06"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Альтернатива 2</w:t>
            </w:r>
          </w:p>
          <w:p w14:paraId="6443B907"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Прийняття запропонованого проєкту акта</w:t>
            </w:r>
          </w:p>
        </w:tc>
        <w:tc>
          <w:tcPr>
            <w:tcW w:w="2896" w:type="dxa"/>
            <w:gridSpan w:val="2"/>
          </w:tcPr>
          <w:p w14:paraId="151E360F" w14:textId="77777777" w:rsidR="000F6DF6" w:rsidRDefault="000F0FFE">
            <w:pPr>
              <w:spacing w:after="140" w:line="276" w:lineRule="auto"/>
              <w:ind w:right="24"/>
              <w:jc w:val="both"/>
              <w:rPr>
                <w:rFonts w:ascii="Times New Roman" w:eastAsia="Times New Roman" w:hAnsi="Times New Roman" w:cs="Times New Roman"/>
              </w:rPr>
            </w:pPr>
            <w:r>
              <w:rPr>
                <w:rFonts w:ascii="Times New Roman" w:eastAsia="Times New Roman" w:hAnsi="Times New Roman" w:cs="Times New Roman"/>
              </w:rPr>
              <w:t>Прийняття акта дозволить забезпечити чіткий та зрозумілий механізм атестації через комісії III рівня щодо педагогічних працівників закладів професійної освіти при установах виконання покарань та децентралізує адміністрування процедури атестації. Водночас реалізація акта унормує право педагогічних працівників зі ступенем бакалавра на отримання кваліфікаційної категорії «спеціаліст першої категорії», що дозволить зберегти кадровий потенціал та зробити атестацію дієвим інструментом мотивації.</w:t>
            </w:r>
          </w:p>
        </w:tc>
        <w:tc>
          <w:tcPr>
            <w:tcW w:w="2883" w:type="dxa"/>
            <w:gridSpan w:val="2"/>
          </w:tcPr>
          <w:p w14:paraId="430CA23C" w14:textId="77777777" w:rsidR="000F6DF6" w:rsidRDefault="000F0FFE">
            <w:pPr>
              <w:spacing w:after="140" w:line="276" w:lineRule="auto"/>
              <w:ind w:right="82"/>
              <w:jc w:val="both"/>
              <w:rPr>
                <w:rFonts w:ascii="Times New Roman" w:eastAsia="Times New Roman" w:hAnsi="Times New Roman" w:cs="Times New Roman"/>
              </w:rPr>
            </w:pPr>
            <w:r>
              <w:rPr>
                <w:rFonts w:ascii="Times New Roman" w:eastAsia="Times New Roman" w:hAnsi="Times New Roman" w:cs="Times New Roman"/>
              </w:rPr>
              <w:t>Витрати, пов’язані із ознайомленням із наказом - 3 485, 79 грн.</w:t>
            </w:r>
          </w:p>
        </w:tc>
        <w:tc>
          <w:tcPr>
            <w:tcW w:w="2101" w:type="dxa"/>
          </w:tcPr>
          <w:p w14:paraId="56B8A7E5" w14:textId="77777777" w:rsidR="000F6DF6" w:rsidRDefault="000F0FFE">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Оцінка </w:t>
            </w:r>
            <w:proofErr w:type="spellStart"/>
            <w:r>
              <w:rPr>
                <w:rFonts w:ascii="Times New Roman" w:eastAsia="Times New Roman" w:hAnsi="Times New Roman" w:cs="Times New Roman"/>
              </w:rPr>
              <w:t>вигод</w:t>
            </w:r>
            <w:proofErr w:type="spellEnd"/>
            <w:r>
              <w:rPr>
                <w:rFonts w:ascii="Times New Roman" w:eastAsia="Times New Roman" w:hAnsi="Times New Roman" w:cs="Times New Roman"/>
              </w:rPr>
              <w:t xml:space="preserve"> і витрат реалізації альтернативи 2 відповідає критеріям оцінки ступеня досягнення визначених цілей.</w:t>
            </w:r>
          </w:p>
        </w:tc>
      </w:tr>
    </w:tbl>
    <w:p w14:paraId="7FD89711" w14:textId="77777777" w:rsidR="000F6DF6" w:rsidRDefault="000F6DF6">
      <w:pPr>
        <w:spacing w:after="140" w:line="276" w:lineRule="auto"/>
        <w:ind w:firstLine="709"/>
        <w:rPr>
          <w:rFonts w:ascii="Times New Roman" w:eastAsia="Times New Roman" w:hAnsi="Times New Roman" w:cs="Times New Roman"/>
        </w:rPr>
      </w:pPr>
    </w:p>
    <w:tbl>
      <w:tblPr>
        <w:tblStyle w:val="affc"/>
        <w:tblW w:w="98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6"/>
        <w:gridCol w:w="4553"/>
        <w:gridCol w:w="3104"/>
      </w:tblGrid>
      <w:tr w:rsidR="000F6DF6" w14:paraId="3DE310DE" w14:textId="77777777">
        <w:tc>
          <w:tcPr>
            <w:tcW w:w="2236" w:type="dxa"/>
            <w:vAlign w:val="center"/>
          </w:tcPr>
          <w:p w14:paraId="3328516D" w14:textId="77777777" w:rsidR="000F6DF6" w:rsidRDefault="000F0FFE">
            <w:pPr>
              <w:spacing w:after="140" w:line="276" w:lineRule="auto"/>
              <w:ind w:firstLine="709"/>
              <w:rPr>
                <w:rFonts w:ascii="Times New Roman" w:eastAsia="Times New Roman" w:hAnsi="Times New Roman" w:cs="Times New Roman"/>
              </w:rPr>
            </w:pPr>
            <w:r>
              <w:rPr>
                <w:rFonts w:ascii="Times New Roman" w:eastAsia="Times New Roman" w:hAnsi="Times New Roman" w:cs="Times New Roman"/>
              </w:rPr>
              <w:t>Рейтинг</w:t>
            </w:r>
          </w:p>
        </w:tc>
        <w:tc>
          <w:tcPr>
            <w:tcW w:w="4553" w:type="dxa"/>
            <w:vAlign w:val="center"/>
          </w:tcPr>
          <w:p w14:paraId="2CC88BF4" w14:textId="77777777" w:rsidR="000F6DF6" w:rsidRDefault="000F0FFE">
            <w:pPr>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Аргументи щодо переваги обраної альтернативи/причини відмови від альтернативи</w:t>
            </w:r>
          </w:p>
        </w:tc>
        <w:tc>
          <w:tcPr>
            <w:tcW w:w="3104" w:type="dxa"/>
            <w:vAlign w:val="center"/>
          </w:tcPr>
          <w:p w14:paraId="24ADE2D0" w14:textId="77777777" w:rsidR="000F6DF6" w:rsidRDefault="000F0FFE">
            <w:pPr>
              <w:spacing w:after="140" w:line="276" w:lineRule="auto"/>
              <w:jc w:val="center"/>
              <w:rPr>
                <w:rFonts w:ascii="Times New Roman" w:eastAsia="Times New Roman" w:hAnsi="Times New Roman" w:cs="Times New Roman"/>
              </w:rPr>
            </w:pPr>
            <w:r>
              <w:rPr>
                <w:rFonts w:ascii="Times New Roman" w:eastAsia="Times New Roman" w:hAnsi="Times New Roman" w:cs="Times New Roman"/>
              </w:rPr>
              <w:t>Оцінка ризику зовнішніх чинників на дію запропонованого регуляторного акта</w:t>
            </w:r>
          </w:p>
        </w:tc>
      </w:tr>
      <w:tr w:rsidR="000F6DF6" w14:paraId="1538B741" w14:textId="77777777">
        <w:tc>
          <w:tcPr>
            <w:tcW w:w="2236" w:type="dxa"/>
          </w:tcPr>
          <w:p w14:paraId="4B0ADD2E" w14:textId="77777777" w:rsidR="000F6DF6" w:rsidRDefault="000F0FFE">
            <w:pPr>
              <w:spacing w:after="140" w:line="276" w:lineRule="auto"/>
              <w:rPr>
                <w:rFonts w:ascii="Times New Roman" w:eastAsia="Times New Roman" w:hAnsi="Times New Roman" w:cs="Times New Roman"/>
              </w:rPr>
            </w:pPr>
            <w:r>
              <w:rPr>
                <w:rFonts w:ascii="Times New Roman" w:eastAsia="Times New Roman" w:hAnsi="Times New Roman" w:cs="Times New Roman"/>
              </w:rPr>
              <w:t>Альтернатива 1</w:t>
            </w:r>
          </w:p>
          <w:p w14:paraId="7AD400F4" w14:textId="77777777" w:rsidR="000F6DF6" w:rsidRDefault="000F0FFE">
            <w:pPr>
              <w:spacing w:after="140" w:line="276" w:lineRule="auto"/>
              <w:rPr>
                <w:rFonts w:ascii="Times New Roman" w:eastAsia="Times New Roman" w:hAnsi="Times New Roman" w:cs="Times New Roman"/>
              </w:rPr>
            </w:pPr>
            <w:r>
              <w:rPr>
                <w:rFonts w:ascii="Times New Roman" w:eastAsia="Times New Roman" w:hAnsi="Times New Roman" w:cs="Times New Roman"/>
              </w:rPr>
              <w:t>Наявна ситуація залишається без змін</w:t>
            </w:r>
          </w:p>
        </w:tc>
        <w:tc>
          <w:tcPr>
            <w:tcW w:w="4553" w:type="dxa"/>
          </w:tcPr>
          <w:p w14:paraId="32358947" w14:textId="77777777" w:rsidR="000F6DF6" w:rsidRDefault="000F0FFE">
            <w:pPr>
              <w:spacing w:after="140" w:line="276" w:lineRule="auto"/>
              <w:ind w:right="83"/>
              <w:jc w:val="both"/>
              <w:rPr>
                <w:rFonts w:ascii="Times New Roman" w:eastAsia="Times New Roman" w:hAnsi="Times New Roman" w:cs="Times New Roman"/>
              </w:rPr>
            </w:pPr>
            <w:r>
              <w:rPr>
                <w:rFonts w:ascii="Times New Roman" w:eastAsia="Times New Roman" w:hAnsi="Times New Roman" w:cs="Times New Roman"/>
              </w:rPr>
              <w:t>Аргументи для переваги відсутні. Відмова від цієї альтернативи сприятиме досягненню задекларованих цілей.</w:t>
            </w:r>
          </w:p>
        </w:tc>
        <w:tc>
          <w:tcPr>
            <w:tcW w:w="3104" w:type="dxa"/>
          </w:tcPr>
          <w:p w14:paraId="4AE02D5A"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Вплив зовнішніх факторів на дію регуляторного акта не очікується.</w:t>
            </w:r>
          </w:p>
        </w:tc>
      </w:tr>
      <w:tr w:rsidR="000F6DF6" w14:paraId="30878C5A" w14:textId="77777777">
        <w:tc>
          <w:tcPr>
            <w:tcW w:w="2236" w:type="dxa"/>
          </w:tcPr>
          <w:p w14:paraId="3BDAFF1F" w14:textId="77777777" w:rsidR="000F6DF6" w:rsidRDefault="000F0FFE">
            <w:pPr>
              <w:spacing w:after="140" w:line="276" w:lineRule="auto"/>
              <w:rPr>
                <w:rFonts w:ascii="Times New Roman" w:eastAsia="Times New Roman" w:hAnsi="Times New Roman" w:cs="Times New Roman"/>
              </w:rPr>
            </w:pPr>
            <w:r>
              <w:rPr>
                <w:rFonts w:ascii="Times New Roman" w:eastAsia="Times New Roman" w:hAnsi="Times New Roman" w:cs="Times New Roman"/>
              </w:rPr>
              <w:lastRenderedPageBreak/>
              <w:t>Альтернатива 2</w:t>
            </w:r>
          </w:p>
          <w:p w14:paraId="5B7A1F2D" w14:textId="77777777" w:rsidR="000F6DF6" w:rsidRDefault="000F0FFE">
            <w:pPr>
              <w:spacing w:after="140" w:line="276" w:lineRule="auto"/>
              <w:rPr>
                <w:rFonts w:ascii="Times New Roman" w:eastAsia="Times New Roman" w:hAnsi="Times New Roman" w:cs="Times New Roman"/>
              </w:rPr>
            </w:pPr>
            <w:r>
              <w:rPr>
                <w:rFonts w:ascii="Times New Roman" w:eastAsia="Times New Roman" w:hAnsi="Times New Roman" w:cs="Times New Roman"/>
              </w:rPr>
              <w:t>Прийняття запропонованого проєкту акта</w:t>
            </w:r>
          </w:p>
        </w:tc>
        <w:tc>
          <w:tcPr>
            <w:tcW w:w="4553" w:type="dxa"/>
          </w:tcPr>
          <w:p w14:paraId="770AF628" w14:textId="77777777" w:rsidR="000F6DF6" w:rsidRDefault="000F0FFE">
            <w:pPr>
              <w:spacing w:after="140" w:line="276" w:lineRule="auto"/>
              <w:ind w:right="83"/>
              <w:jc w:val="both"/>
              <w:rPr>
                <w:rFonts w:ascii="Times New Roman" w:eastAsia="Times New Roman" w:hAnsi="Times New Roman" w:cs="Times New Roman"/>
              </w:rPr>
            </w:pPr>
            <w:r>
              <w:rPr>
                <w:rFonts w:ascii="Times New Roman" w:eastAsia="Times New Roman" w:hAnsi="Times New Roman" w:cs="Times New Roman"/>
              </w:rPr>
              <w:t>Причини для відмови відсутні. Обрана альтернатива є найбільш раціональним варіантом врахування інтересів всіх основних груп, на яких проблема справляє вплив.</w:t>
            </w:r>
          </w:p>
          <w:p w14:paraId="7A92638C" w14:textId="77777777" w:rsidR="000F6DF6" w:rsidRDefault="000F0FFE">
            <w:pPr>
              <w:spacing w:after="140" w:line="276" w:lineRule="auto"/>
              <w:ind w:right="83"/>
              <w:jc w:val="both"/>
              <w:rPr>
                <w:rFonts w:ascii="Times New Roman" w:eastAsia="Times New Roman" w:hAnsi="Times New Roman" w:cs="Times New Roman"/>
              </w:rPr>
            </w:pPr>
            <w:r>
              <w:rPr>
                <w:rFonts w:ascii="Times New Roman" w:eastAsia="Times New Roman" w:hAnsi="Times New Roman" w:cs="Times New Roman"/>
              </w:rPr>
              <w:t>Прийняття проєкту акта забезпечить досягнення задекларованих цілей та є єдиним необхідним і достатнім способом вирішення проблеми.</w:t>
            </w:r>
          </w:p>
        </w:tc>
        <w:tc>
          <w:tcPr>
            <w:tcW w:w="3104" w:type="dxa"/>
          </w:tcPr>
          <w:p w14:paraId="5D01FE59" w14:textId="77777777" w:rsidR="000F6DF6" w:rsidRDefault="000F0FFE">
            <w:pPr>
              <w:spacing w:after="140" w:line="276" w:lineRule="auto"/>
              <w:jc w:val="both"/>
              <w:rPr>
                <w:rFonts w:ascii="Times New Roman" w:eastAsia="Times New Roman" w:hAnsi="Times New Roman" w:cs="Times New Roman"/>
              </w:rPr>
            </w:pPr>
            <w:r>
              <w:rPr>
                <w:rFonts w:ascii="Times New Roman" w:eastAsia="Times New Roman" w:hAnsi="Times New Roman" w:cs="Times New Roman"/>
              </w:rPr>
              <w:t>Вплив зовнішніх факторів на дію регуляторного акта не очікується.</w:t>
            </w:r>
          </w:p>
        </w:tc>
      </w:tr>
    </w:tbl>
    <w:p w14:paraId="5B202160" w14:textId="77777777" w:rsidR="000F6DF6" w:rsidRDefault="000F6DF6">
      <w:pPr>
        <w:spacing w:after="140" w:line="276" w:lineRule="auto"/>
        <w:ind w:firstLine="567"/>
        <w:jc w:val="both"/>
        <w:rPr>
          <w:rFonts w:ascii="Times New Roman" w:eastAsia="Times New Roman" w:hAnsi="Times New Roman" w:cs="Times New Roman"/>
          <w:sz w:val="27"/>
          <w:szCs w:val="27"/>
        </w:rPr>
      </w:pPr>
      <w:bookmarkStart w:id="11" w:name="bookmark=id.3yyd7s2t4fgd" w:colFirst="0" w:colLast="0"/>
      <w:bookmarkEnd w:id="11"/>
    </w:p>
    <w:p w14:paraId="7AAD410E" w14:textId="77777777" w:rsidR="000F6DF6" w:rsidRDefault="000F0FFE">
      <w:pPr>
        <w:spacing w:after="14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Враховуючи наведене, з метою комплексного удосконалення </w:t>
      </w:r>
      <w:r>
        <w:rPr>
          <w:rFonts w:ascii="Times New Roman" w:eastAsia="Times New Roman" w:hAnsi="Times New Roman" w:cs="Times New Roman"/>
          <w:sz w:val="28"/>
          <w:szCs w:val="28"/>
          <w:highlight w:val="white"/>
        </w:rPr>
        <w:t>процедури атестації педагогічних працівників</w:t>
      </w:r>
      <w:r>
        <w:rPr>
          <w:rFonts w:ascii="Times New Roman" w:eastAsia="Times New Roman" w:hAnsi="Times New Roman" w:cs="Times New Roman"/>
          <w:sz w:val="28"/>
          <w:szCs w:val="28"/>
        </w:rPr>
        <w:t xml:space="preserve"> доцільно прийняти 2-ий альтернативний спосіб досягнення мети.</w:t>
      </w:r>
    </w:p>
    <w:p w14:paraId="63A5A67A" w14:textId="77777777" w:rsidR="000F6DF6" w:rsidRDefault="000F6DF6">
      <w:pPr>
        <w:pBdr>
          <w:top w:val="nil"/>
          <w:left w:val="nil"/>
          <w:bottom w:val="nil"/>
          <w:right w:val="nil"/>
          <w:between w:val="nil"/>
        </w:pBdr>
        <w:spacing w:after="140" w:line="276" w:lineRule="auto"/>
        <w:jc w:val="center"/>
        <w:rPr>
          <w:rFonts w:ascii="Times New Roman" w:eastAsia="Times New Roman" w:hAnsi="Times New Roman" w:cs="Times New Roman"/>
          <w:b/>
          <w:bCs/>
          <w:color w:val="000000"/>
          <w:sz w:val="28"/>
          <w:szCs w:val="28"/>
        </w:rPr>
      </w:pPr>
    </w:p>
    <w:p w14:paraId="64F081D7" w14:textId="77777777" w:rsidR="000F6DF6" w:rsidRDefault="000F0FFE">
      <w:pPr>
        <w:tabs>
          <w:tab w:val="left" w:pos="900"/>
        </w:tabs>
        <w:spacing w:after="0" w:line="276" w:lineRule="auto"/>
        <w:ind w:firstLine="567"/>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V. Механізми та заходи, які забезпечать розв’язання визначеної проблеми</w:t>
      </w:r>
    </w:p>
    <w:p w14:paraId="79B2080B" w14:textId="77777777" w:rsidR="000F6DF6" w:rsidRDefault="000F0FFE">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вимог Закону України «Про засади державної регуляторної політики у сфері господарської діяльності» проєкт регуляторного акта – наказ Міністерства освіти і науки України «Про внесення змін до наказу Міністерства освіти і науки України від 09 вересня 2022 року № 805» оприлюднено у розділі «Громадське обговорення» на офіційному сайті Міністерства освіти і науки України (www.mon.gov.ua) для обговорення та отримання пропозицій та зауважень від зацікавлених фізичних та юридичних осіб протягом одного місяця.</w:t>
      </w:r>
    </w:p>
    <w:p w14:paraId="3DEB8043" w14:textId="77777777" w:rsidR="000F6DF6" w:rsidRDefault="000F0FFE">
      <w:pPr>
        <w:spacing w:after="0" w:line="276" w:lineRule="auto"/>
        <w:ind w:firstLine="580"/>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Організаційні засади для впровадження регуляторного акта в дію</w:t>
      </w:r>
    </w:p>
    <w:p w14:paraId="0EA46455" w14:textId="77777777" w:rsidR="000F6DF6" w:rsidRDefault="000F0FFE">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Заходи, які необхідно здійснити органам влади:</w:t>
      </w:r>
    </w:p>
    <w:p w14:paraId="53A9CA20" w14:textId="77777777" w:rsidR="000F6DF6" w:rsidRDefault="000F0FFE">
      <w:pPr>
        <w:numPr>
          <w:ilvl w:val="0"/>
          <w:numId w:val="2"/>
        </w:numPr>
        <w:pBdr>
          <w:top w:val="nil"/>
          <w:left w:val="nil"/>
          <w:bottom w:val="nil"/>
          <w:right w:val="nil"/>
          <w:between w:val="nil"/>
        </w:pBdr>
        <w:spacing w:after="0" w:line="276"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забезпечити інформування суб’єктів господарювання про вимоги регуляторного акта шляхом його оприлюднення в засобах масової інформації та розміщення на офіційному вебсайті Міністерства освіти та науки України;</w:t>
      </w:r>
    </w:p>
    <w:p w14:paraId="33BBFEC6" w14:textId="77777777" w:rsidR="000F6DF6" w:rsidRDefault="000F0FFE">
      <w:pPr>
        <w:numPr>
          <w:ilvl w:val="0"/>
          <w:numId w:val="2"/>
        </w:numPr>
        <w:pBdr>
          <w:top w:val="nil"/>
          <w:left w:val="nil"/>
          <w:bottom w:val="nil"/>
          <w:right w:val="nil"/>
          <w:between w:val="nil"/>
        </w:pBdr>
        <w:spacing w:after="0" w:line="276" w:lineRule="auto"/>
        <w:ind w:left="0" w:firstLine="567"/>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здійснення</w:t>
      </w:r>
      <w:proofErr w:type="spellEnd"/>
      <w:r>
        <w:rPr>
          <w:rFonts w:ascii="Times New Roman" w:eastAsia="Times New Roman" w:hAnsi="Times New Roman" w:cs="Times New Roman"/>
          <w:color w:val="000000"/>
          <w:sz w:val="28"/>
          <w:szCs w:val="28"/>
        </w:rPr>
        <w:t xml:space="preserve"> контролю за додержанням вимог цього регуляторного акта.  </w:t>
      </w:r>
    </w:p>
    <w:p w14:paraId="4E29C0E7" w14:textId="77777777" w:rsidR="000F6DF6" w:rsidRDefault="000F0FFE">
      <w:pPr>
        <w:spacing w:after="0" w:line="276" w:lineRule="auto"/>
        <w:ind w:firstLine="567"/>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Заходи, які необхідно  здійснити закладам професійної освіти та педагогічним працівникам: </w:t>
      </w:r>
    </w:p>
    <w:p w14:paraId="32DA48FE" w14:textId="77777777" w:rsidR="000F6DF6" w:rsidRDefault="000F0FFE">
      <w:pPr>
        <w:numPr>
          <w:ilvl w:val="0"/>
          <w:numId w:val="1"/>
        </w:numPr>
        <w:pBdr>
          <w:top w:val="nil"/>
          <w:left w:val="nil"/>
          <w:bottom w:val="nil"/>
          <w:right w:val="nil"/>
          <w:between w:val="nil"/>
        </w:pBdr>
        <w:spacing w:after="0" w:line="276"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ознайомитись із вимогами нового регулювання (пошук регуляторного акта в мережі Інтернет та його опрацювання).</w:t>
      </w:r>
    </w:p>
    <w:p w14:paraId="7B2F0166" w14:textId="77777777" w:rsidR="000F6DF6" w:rsidRDefault="000F0FFE">
      <w:pPr>
        <w:pBdr>
          <w:top w:val="nil"/>
          <w:left w:val="nil"/>
          <w:bottom w:val="nil"/>
          <w:right w:val="nil"/>
          <w:between w:val="nil"/>
        </w:pBdr>
        <w:spacing w:after="0" w:line="276" w:lineRule="auto"/>
        <w:ind w:left="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Ризиків впливу зовнішніх факторів на дію регуляторного акта немає.</w:t>
      </w:r>
    </w:p>
    <w:p w14:paraId="5555B10C" w14:textId="77777777" w:rsidR="000F6DF6" w:rsidRDefault="000F0FFE">
      <w:pPr>
        <w:spacing w:after="0" w:line="276"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Можливої шкоди у разі очікуваних наслідків дії акта не прогнозується.</w:t>
      </w:r>
    </w:p>
    <w:p w14:paraId="23038CA5" w14:textId="77777777" w:rsidR="0088738A" w:rsidRDefault="0088738A">
      <w:pPr>
        <w:spacing w:after="0" w:line="276" w:lineRule="auto"/>
        <w:ind w:firstLine="567"/>
        <w:jc w:val="both"/>
        <w:rPr>
          <w:rFonts w:ascii="Times New Roman" w:eastAsia="Times New Roman" w:hAnsi="Times New Roman" w:cs="Times New Roman"/>
          <w:sz w:val="28"/>
          <w:szCs w:val="28"/>
          <w:lang w:val="uk-UA"/>
        </w:rPr>
      </w:pPr>
    </w:p>
    <w:p w14:paraId="15DA619D" w14:textId="77777777" w:rsidR="0088738A" w:rsidRDefault="0088738A">
      <w:pPr>
        <w:spacing w:after="0" w:line="276" w:lineRule="auto"/>
        <w:ind w:firstLine="567"/>
        <w:jc w:val="both"/>
        <w:rPr>
          <w:rFonts w:ascii="Times New Roman" w:eastAsia="Times New Roman" w:hAnsi="Times New Roman" w:cs="Times New Roman"/>
          <w:sz w:val="28"/>
          <w:szCs w:val="28"/>
          <w:lang w:val="uk-UA"/>
        </w:rPr>
      </w:pPr>
    </w:p>
    <w:p w14:paraId="1D093F73" w14:textId="77777777" w:rsidR="0088738A" w:rsidRDefault="0088738A">
      <w:pPr>
        <w:spacing w:after="0" w:line="276" w:lineRule="auto"/>
        <w:ind w:firstLine="567"/>
        <w:jc w:val="both"/>
        <w:rPr>
          <w:rFonts w:ascii="Times New Roman" w:eastAsia="Times New Roman" w:hAnsi="Times New Roman" w:cs="Times New Roman"/>
          <w:sz w:val="28"/>
          <w:szCs w:val="28"/>
          <w:lang w:val="uk-UA"/>
        </w:rPr>
      </w:pPr>
    </w:p>
    <w:p w14:paraId="07CB5290" w14:textId="77777777" w:rsidR="0088738A" w:rsidRDefault="0088738A">
      <w:pPr>
        <w:spacing w:after="0" w:line="276" w:lineRule="auto"/>
        <w:ind w:firstLine="567"/>
        <w:jc w:val="both"/>
        <w:rPr>
          <w:rFonts w:ascii="Times New Roman" w:eastAsia="Times New Roman" w:hAnsi="Times New Roman" w:cs="Times New Roman"/>
          <w:sz w:val="28"/>
          <w:szCs w:val="28"/>
          <w:lang w:val="uk-UA"/>
        </w:rPr>
      </w:pPr>
    </w:p>
    <w:p w14:paraId="77A66969" w14:textId="77777777" w:rsidR="0088738A" w:rsidRPr="0088738A" w:rsidRDefault="0088738A">
      <w:pPr>
        <w:spacing w:after="0" w:line="276" w:lineRule="auto"/>
        <w:ind w:firstLine="567"/>
        <w:jc w:val="both"/>
        <w:rPr>
          <w:rFonts w:ascii="Times New Roman" w:eastAsia="Times New Roman" w:hAnsi="Times New Roman" w:cs="Times New Roman"/>
          <w:sz w:val="28"/>
          <w:szCs w:val="28"/>
          <w:lang w:val="uk-UA"/>
        </w:rPr>
      </w:pPr>
    </w:p>
    <w:p w14:paraId="5375F119" w14:textId="77777777" w:rsidR="000F6DF6" w:rsidRDefault="000F0FFE">
      <w:pPr>
        <w:pBdr>
          <w:top w:val="nil"/>
          <w:left w:val="nil"/>
          <w:bottom w:val="nil"/>
          <w:right w:val="nil"/>
          <w:between w:val="nil"/>
        </w:pBdr>
        <w:spacing w:before="240" w:after="140" w:line="276"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VI. Оцінка виконання вимог регуляторного акта залежно від ресурсів, якими розпоряджаються органи виконавчої влади чи органи місцевого самоврядування, фізичні та юридичні особи, які повинні проваджувати або виконувати ці вимоги</w:t>
      </w:r>
    </w:p>
    <w:p w14:paraId="6EAF40D1" w14:textId="77777777" w:rsidR="000F6DF6" w:rsidRDefault="000F0FFE">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 впровадження проєкту регуляторного акта негативних наслідків не очікується.</w:t>
      </w:r>
    </w:p>
    <w:p w14:paraId="545691FA" w14:textId="77777777" w:rsidR="000F6DF6" w:rsidRDefault="000F0FFE">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проєкту регуляторного акта не потребує додаткових витрат з державного бюджету України, тому розрахунок бюджетних витрат не здійснювався.</w:t>
      </w:r>
    </w:p>
    <w:p w14:paraId="182B0DFF" w14:textId="77777777" w:rsidR="000F6DF6" w:rsidRDefault="000F0FFE">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що питома вага суб’єктів малого підприємництва у загальній кількості суб’єктів господарювання, на яких поширюється регулювання, перевищує 10 відсотків, здійснюється розрахунок витрат від  запровадження державного регулювання для суб’єктів малого підприємництва згідно з додатком 4 до Методики проведення аналізу впливу регуляторного акта (Тест малого підприємництва).</w:t>
      </w:r>
    </w:p>
    <w:p w14:paraId="46C4B1E0" w14:textId="77777777" w:rsidR="000F6DF6" w:rsidRDefault="000F0FFE">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Державне регулювання не передбачає утворення нового державного органу (або нового структурного підрозділу діючого органу) та не передбачає збільшення граничної чисельності працівників закладів професійної освіти.</w:t>
      </w:r>
    </w:p>
    <w:p w14:paraId="02E8A7BC" w14:textId="77777777" w:rsidR="000F6DF6" w:rsidRDefault="000F0FFE">
      <w:pPr>
        <w:spacing w:after="0" w:line="276" w:lineRule="auto"/>
        <w:ind w:firstLine="5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зв’язку з тим, що запропоноване регулювання фактично є реалізацією державної політики у сфері освіти, компенсатори (</w:t>
      </w:r>
      <w:proofErr w:type="spellStart"/>
      <w:r>
        <w:rPr>
          <w:rFonts w:ascii="Times New Roman" w:eastAsia="Times New Roman" w:hAnsi="Times New Roman" w:cs="Times New Roman"/>
          <w:sz w:val="28"/>
          <w:szCs w:val="28"/>
        </w:rPr>
        <w:t>корегуючі</w:t>
      </w:r>
      <w:proofErr w:type="spellEnd"/>
      <w:r>
        <w:rPr>
          <w:rFonts w:ascii="Times New Roman" w:eastAsia="Times New Roman" w:hAnsi="Times New Roman" w:cs="Times New Roman"/>
          <w:sz w:val="28"/>
          <w:szCs w:val="28"/>
        </w:rPr>
        <w:t xml:space="preserve"> (пом’якшувальні) заходи) для малого підприємництва не розроблялися.</w:t>
      </w:r>
    </w:p>
    <w:p w14:paraId="3277841B" w14:textId="77777777" w:rsidR="000F6DF6" w:rsidRDefault="000F0FFE">
      <w:pPr>
        <w:spacing w:before="240" w:after="140" w:line="276" w:lineRule="auto"/>
        <w:ind w:firstLine="567"/>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VII. Обґрунтування запропонованого строку дії регуляторного акта</w:t>
      </w:r>
    </w:p>
    <w:p w14:paraId="2E13CB1E" w14:textId="77777777" w:rsidR="000F6DF6" w:rsidRDefault="000F0FFE">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Строк дії регуляторного акта не обмежується в часі, що дасть змогу досягти цілей державного регулювання.</w:t>
      </w:r>
    </w:p>
    <w:p w14:paraId="4863F712" w14:textId="77777777" w:rsidR="000F6DF6" w:rsidRDefault="000F0FFE">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Зміна строку дії акта можлива в разі зміни правових актів, на вимогах яких базується проєкт регуляторного акта.</w:t>
      </w:r>
    </w:p>
    <w:p w14:paraId="3E0A37B8" w14:textId="77777777" w:rsidR="000F6DF6" w:rsidRDefault="000F0FFE">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Проєкт регуляторного акта набирає чинності з дня його офіційного опублікування.</w:t>
      </w:r>
    </w:p>
    <w:p w14:paraId="290860F1" w14:textId="77777777" w:rsidR="000F6DF6" w:rsidRDefault="000F0FFE">
      <w:pPr>
        <w:pBdr>
          <w:top w:val="nil"/>
          <w:left w:val="nil"/>
          <w:bottom w:val="nil"/>
          <w:right w:val="nil"/>
          <w:between w:val="nil"/>
        </w:pBdr>
        <w:tabs>
          <w:tab w:val="left" w:pos="567"/>
        </w:tabs>
        <w:spacing w:before="240" w:after="140" w:line="276" w:lineRule="auto"/>
        <w:ind w:firstLine="567"/>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VIII. Визначення показників результативності дії регуляторного акта</w:t>
      </w:r>
    </w:p>
    <w:p w14:paraId="417BC1E3" w14:textId="77777777" w:rsidR="000F6DF6" w:rsidRDefault="000F0FFE">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Дія акта поширюється на заклади професійної освіти при установах виконання покарань.</w:t>
      </w:r>
    </w:p>
    <w:p w14:paraId="43C9EE1E" w14:textId="77777777" w:rsidR="000F6DF6" w:rsidRDefault="000F0FFE">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Прогнозними значеннями показників результативності регуляторного акта є:</w:t>
      </w:r>
    </w:p>
    <w:p w14:paraId="34C0C7C5" w14:textId="77777777" w:rsidR="000F6DF6" w:rsidRDefault="000F0FFE">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суб’єктів господарювання, на яких поширюватиметься дія акта (33);</w:t>
      </w:r>
    </w:p>
    <w:p w14:paraId="62BCA65C" w14:textId="77777777" w:rsidR="000F6DF6" w:rsidRDefault="000F0FFE">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кількість атестованих педагогічних працівників, які працюють у закладах професійної освіти при установах виконання покарань;</w:t>
      </w:r>
    </w:p>
    <w:p w14:paraId="7A46F06F" w14:textId="77777777" w:rsidR="000F6DF6" w:rsidRDefault="000F0FFE">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педагогічних працівників зі ступенем бакалавра, яким за результатами атестації присвоєно кваліфікаційну категорію «спеціаліст першої категорії».</w:t>
      </w:r>
    </w:p>
    <w:p w14:paraId="0E82CA70" w14:textId="77777777" w:rsidR="000F6DF6" w:rsidRDefault="000F0FFE">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поінформованості суб’єктів господарювання та/або фізичних осіб з основних положень регуляторного акта – середній. Міністерством освіти і науки України забезпечується оприлюднення його у встановленому законодавством порядку, зокрема на офіційному вебсайті Міністерства освіти і науки (http://mon.gov.ua) у розділі «Регуляторна політика».</w:t>
      </w:r>
    </w:p>
    <w:p w14:paraId="4A9CE4C2" w14:textId="77777777" w:rsidR="000F6DF6" w:rsidRDefault="000F6DF6">
      <w:pPr>
        <w:spacing w:after="140" w:line="276" w:lineRule="auto"/>
        <w:ind w:firstLine="567"/>
        <w:jc w:val="both"/>
        <w:rPr>
          <w:rFonts w:ascii="Times New Roman" w:eastAsia="Times New Roman" w:hAnsi="Times New Roman" w:cs="Times New Roman"/>
          <w:sz w:val="28"/>
          <w:szCs w:val="28"/>
        </w:rPr>
      </w:pPr>
    </w:p>
    <w:p w14:paraId="0000B78E" w14:textId="77777777" w:rsidR="000F6DF6" w:rsidRDefault="000F0FFE">
      <w:pPr>
        <w:pBdr>
          <w:top w:val="nil"/>
          <w:left w:val="nil"/>
          <w:bottom w:val="nil"/>
          <w:right w:val="nil"/>
          <w:between w:val="nil"/>
        </w:pBdr>
        <w:shd w:val="clear" w:color="auto" w:fill="FFFFFF"/>
        <w:spacing w:before="240" w:after="140" w:line="276" w:lineRule="auto"/>
        <w:ind w:firstLine="567"/>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IX. Визначення заходів, за допомогою яких здійснюватиметься відстеження результативності дії регуляторного акта</w:t>
      </w:r>
    </w:p>
    <w:p w14:paraId="368E643B" w14:textId="77777777" w:rsidR="000F6DF6" w:rsidRDefault="000F0FFE">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Відстеження результативності дії регуляторного акта буде проводитися Міністерством освіти і науки України за допомогою заходів, спрямованих на оцінку стану впровадження регуляторного акта та визначення ефективності та доцільності впровадженого регулювання шляхом аналізу статистичних показників.</w:t>
      </w:r>
    </w:p>
    <w:p w14:paraId="0FA7F445" w14:textId="77777777" w:rsidR="000F6DF6" w:rsidRDefault="000F0FFE">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Базове відстеження результативності регуляторного акта буде здійснюватися після набрання чинності цим регуляторним актом, але не пізніше дня, з якого починається проведення повторного відстеження результативності цього акта.</w:t>
      </w:r>
    </w:p>
    <w:p w14:paraId="3952AB3F" w14:textId="77777777" w:rsidR="000F6DF6" w:rsidRDefault="000F0FFE">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Повторне відстеження результативності регуляторного акта проводитиметься через два роки після набрання чинності цього акта.</w:t>
      </w:r>
    </w:p>
    <w:p w14:paraId="338061DC" w14:textId="77777777" w:rsidR="000F6DF6" w:rsidRDefault="000F0FFE">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Періодичне відстеження здійснюватиметься раз на три роки, починаючи з дня виконання заходів з повторного відстеження.</w:t>
      </w:r>
    </w:p>
    <w:p w14:paraId="5F3703D2" w14:textId="77777777" w:rsidR="000F6DF6" w:rsidRDefault="000F0FFE">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разі виявлення неврегульованих та проблемних питань шляхом аналізу кількісних показників дії цього акта, питання будуть врегульовані шляхом внесення відповідних змін.</w:t>
      </w:r>
    </w:p>
    <w:p w14:paraId="5C9A7364" w14:textId="77777777" w:rsidR="000F6DF6" w:rsidRDefault="000F6DF6">
      <w:pPr>
        <w:spacing w:after="140" w:line="276" w:lineRule="auto"/>
        <w:ind w:firstLine="709"/>
        <w:jc w:val="both"/>
        <w:rPr>
          <w:rFonts w:ascii="Times New Roman" w:eastAsia="Times New Roman" w:hAnsi="Times New Roman" w:cs="Times New Roman"/>
          <w:sz w:val="28"/>
          <w:szCs w:val="28"/>
        </w:rPr>
      </w:pPr>
    </w:p>
    <w:tbl>
      <w:tblPr>
        <w:tblStyle w:val="affd"/>
        <w:tblW w:w="962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5"/>
      </w:tblGrid>
      <w:tr w:rsidR="000F6DF6" w14:paraId="3D5CFD06" w14:textId="77777777">
        <w:tc>
          <w:tcPr>
            <w:tcW w:w="4814" w:type="dxa"/>
          </w:tcPr>
          <w:p w14:paraId="2C49B6F2" w14:textId="77777777" w:rsidR="000F6DF6" w:rsidRDefault="000F0FFE">
            <w:pPr>
              <w:spacing w:after="14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Міністр освіти і науки України                                                                               </w:t>
            </w:r>
          </w:p>
        </w:tc>
        <w:tc>
          <w:tcPr>
            <w:tcW w:w="4815" w:type="dxa"/>
          </w:tcPr>
          <w:p w14:paraId="22FC1FCF" w14:textId="77777777" w:rsidR="000F6DF6" w:rsidRDefault="000F0FFE">
            <w:pPr>
              <w:spacing w:after="140" w:line="276" w:lineRule="auto"/>
              <w:jc w:val="right"/>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Оксен ЛІСОВИЙ</w:t>
            </w:r>
          </w:p>
        </w:tc>
      </w:tr>
    </w:tbl>
    <w:p w14:paraId="3363AB31" w14:textId="77777777" w:rsidR="000F6DF6" w:rsidRDefault="000F6DF6">
      <w:pPr>
        <w:spacing w:after="140" w:line="276" w:lineRule="auto"/>
        <w:jc w:val="both"/>
        <w:rPr>
          <w:rFonts w:ascii="Times New Roman" w:eastAsia="Times New Roman" w:hAnsi="Times New Roman" w:cs="Times New Roman"/>
          <w:sz w:val="27"/>
          <w:szCs w:val="27"/>
        </w:rPr>
      </w:pPr>
    </w:p>
    <w:p w14:paraId="11AB52BE" w14:textId="77777777" w:rsidR="000F6DF6" w:rsidRDefault="000F0FFE">
      <w:pPr>
        <w:spacing w:after="140" w:line="276"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«____» _____________ 2026 р.</w:t>
      </w:r>
    </w:p>
    <w:p w14:paraId="7491F1A0" w14:textId="77777777" w:rsidR="000F6DF6" w:rsidRDefault="000F6DF6">
      <w:pPr>
        <w:spacing w:after="140" w:line="276" w:lineRule="auto"/>
        <w:jc w:val="both"/>
        <w:rPr>
          <w:rFonts w:ascii="Times New Roman" w:eastAsia="Times New Roman" w:hAnsi="Times New Roman" w:cs="Times New Roman"/>
          <w:sz w:val="27"/>
          <w:szCs w:val="27"/>
        </w:rPr>
      </w:pPr>
    </w:p>
    <w:p w14:paraId="1DEF8695" w14:textId="77777777" w:rsidR="000F6DF6" w:rsidRDefault="000F6DF6">
      <w:pPr>
        <w:spacing w:after="140" w:line="276" w:lineRule="auto"/>
        <w:jc w:val="both"/>
        <w:rPr>
          <w:rFonts w:ascii="Times New Roman" w:eastAsia="Times New Roman" w:hAnsi="Times New Roman" w:cs="Times New Roman"/>
          <w:sz w:val="27"/>
          <w:szCs w:val="27"/>
        </w:rPr>
      </w:pPr>
    </w:p>
    <w:p w14:paraId="090AB48F" w14:textId="77777777" w:rsidR="000F6DF6" w:rsidRDefault="000F6DF6">
      <w:pPr>
        <w:spacing w:after="140" w:line="276" w:lineRule="auto"/>
        <w:jc w:val="both"/>
        <w:rPr>
          <w:rFonts w:ascii="Times New Roman" w:eastAsia="Times New Roman" w:hAnsi="Times New Roman" w:cs="Times New Roman"/>
          <w:sz w:val="27"/>
          <w:szCs w:val="27"/>
        </w:rPr>
      </w:pPr>
    </w:p>
    <w:p w14:paraId="7ABD8ECA" w14:textId="77777777" w:rsidR="000F6DF6" w:rsidRDefault="000F6DF6">
      <w:pPr>
        <w:spacing w:after="140" w:line="276" w:lineRule="auto"/>
        <w:jc w:val="both"/>
        <w:rPr>
          <w:rFonts w:ascii="Times New Roman" w:eastAsia="Times New Roman" w:hAnsi="Times New Roman" w:cs="Times New Roman"/>
          <w:sz w:val="27"/>
          <w:szCs w:val="27"/>
        </w:rPr>
      </w:pPr>
    </w:p>
    <w:p w14:paraId="72242A6F" w14:textId="77777777" w:rsidR="000F6DF6" w:rsidRPr="0088738A" w:rsidRDefault="000F6DF6">
      <w:pPr>
        <w:rPr>
          <w:rFonts w:ascii="Times New Roman" w:eastAsia="Times New Roman" w:hAnsi="Times New Roman" w:cs="Times New Roman"/>
          <w:sz w:val="28"/>
          <w:szCs w:val="28"/>
          <w:lang w:val="uk-UA"/>
        </w:rPr>
      </w:pPr>
    </w:p>
    <w:p w14:paraId="0171EB24" w14:textId="7CA877D9" w:rsidR="000F6DF6" w:rsidRDefault="000F0FFE" w:rsidP="000F0FFE">
      <w:pPr>
        <w:keepNext/>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ТЕСТ</w:t>
      </w:r>
      <w:r>
        <w:rPr>
          <w:rFonts w:ascii="Times New Roman" w:eastAsia="Times New Roman" w:hAnsi="Times New Roman" w:cs="Times New Roman"/>
          <w:b/>
          <w:bCs/>
          <w:sz w:val="28"/>
          <w:szCs w:val="28"/>
        </w:rPr>
        <w:br/>
        <w:t>малого підприємництва (М-Тест)</w:t>
      </w:r>
    </w:p>
    <w:p w14:paraId="0A566E91" w14:textId="77777777" w:rsidR="000F6DF6" w:rsidRDefault="000F0FFE">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Консультації з представниками малого підприємництва щодо оцінки впливу регулювання.</w:t>
      </w:r>
    </w:p>
    <w:p w14:paraId="30DC63C8" w14:textId="77777777" w:rsidR="000F6DF6" w:rsidRDefault="000F0FFE">
      <w:pPr>
        <w:ind w:firstLine="709"/>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Консультації щодо визначення впливу запропонованого регулювання на суб’єктів малого підприємництва та визначення детального переліку процедур, виконання яких необхідно для здійснення регулювання, проведено розробником у період: _____________________.</w:t>
      </w:r>
    </w:p>
    <w:tbl>
      <w:tblPr>
        <w:tblStyle w:val="affe"/>
        <w:tblW w:w="9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3225"/>
        <w:gridCol w:w="1759"/>
        <w:gridCol w:w="3911"/>
      </w:tblGrid>
      <w:tr w:rsidR="000F6DF6" w14:paraId="7BE695A7" w14:textId="77777777">
        <w:tc>
          <w:tcPr>
            <w:tcW w:w="600" w:type="dxa"/>
            <w:tcMar>
              <w:top w:w="55" w:type="dxa"/>
              <w:left w:w="55" w:type="dxa"/>
              <w:bottom w:w="55" w:type="dxa"/>
              <w:right w:w="55" w:type="dxa"/>
            </w:tcMar>
          </w:tcPr>
          <w:p w14:paraId="11ECA9FE" w14:textId="77777777" w:rsidR="000F6DF6" w:rsidRDefault="000F0FFE">
            <w:pPr>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3225" w:type="dxa"/>
            <w:tcMar>
              <w:top w:w="55" w:type="dxa"/>
              <w:left w:w="55" w:type="dxa"/>
              <w:bottom w:w="55" w:type="dxa"/>
              <w:right w:w="55" w:type="dxa"/>
            </w:tcMar>
          </w:tcPr>
          <w:p w14:paraId="3F422531" w14:textId="77777777" w:rsidR="000F6DF6" w:rsidRDefault="000F0FFE">
            <w:pPr>
              <w:jc w:val="center"/>
              <w:rPr>
                <w:rFonts w:ascii="Times New Roman" w:eastAsia="Times New Roman" w:hAnsi="Times New Roman" w:cs="Times New Roman"/>
                <w:b/>
                <w:bCs/>
              </w:rPr>
            </w:pPr>
            <w:r>
              <w:rPr>
                <w:rFonts w:ascii="Times New Roman" w:eastAsia="Times New Roman" w:hAnsi="Times New Roman" w:cs="Times New Roman"/>
                <w:b/>
                <w:bCs/>
              </w:rPr>
              <w:t>Вид консультації (публічні консультації прямі (круглі столи, наради, робочі зустрічі тощо), інтернет-консультації прямі (інтернет-форуми, соціальні мережі тощо), запити (до підприємців, експертів, науковців тощо)</w:t>
            </w:r>
          </w:p>
        </w:tc>
        <w:tc>
          <w:tcPr>
            <w:tcW w:w="1759" w:type="dxa"/>
            <w:tcMar>
              <w:top w:w="55" w:type="dxa"/>
              <w:left w:w="55" w:type="dxa"/>
              <w:bottom w:w="55" w:type="dxa"/>
              <w:right w:w="55" w:type="dxa"/>
            </w:tcMar>
          </w:tcPr>
          <w:p w14:paraId="67999590" w14:textId="77777777" w:rsidR="000F6DF6" w:rsidRDefault="000F0FFE">
            <w:pPr>
              <w:jc w:val="center"/>
              <w:rPr>
                <w:rFonts w:ascii="Times New Roman" w:eastAsia="Times New Roman" w:hAnsi="Times New Roman" w:cs="Times New Roman"/>
                <w:b/>
                <w:bCs/>
              </w:rPr>
            </w:pPr>
            <w:r>
              <w:rPr>
                <w:rFonts w:ascii="Times New Roman" w:eastAsia="Times New Roman" w:hAnsi="Times New Roman" w:cs="Times New Roman"/>
                <w:b/>
                <w:bCs/>
              </w:rPr>
              <w:t>Кількість учасників консультацій, осіб</w:t>
            </w:r>
          </w:p>
        </w:tc>
        <w:tc>
          <w:tcPr>
            <w:tcW w:w="3911" w:type="dxa"/>
            <w:tcMar>
              <w:top w:w="55" w:type="dxa"/>
              <w:left w:w="55" w:type="dxa"/>
              <w:bottom w:w="55" w:type="dxa"/>
              <w:right w:w="55" w:type="dxa"/>
            </w:tcMar>
          </w:tcPr>
          <w:p w14:paraId="0A0BA5DC" w14:textId="77777777" w:rsidR="000F6DF6" w:rsidRDefault="000F0FFE">
            <w:pPr>
              <w:jc w:val="center"/>
              <w:rPr>
                <w:rFonts w:ascii="Times New Roman" w:eastAsia="Times New Roman" w:hAnsi="Times New Roman" w:cs="Times New Roman"/>
                <w:b/>
                <w:bCs/>
              </w:rPr>
            </w:pPr>
            <w:r>
              <w:rPr>
                <w:rFonts w:ascii="Times New Roman" w:eastAsia="Times New Roman" w:hAnsi="Times New Roman" w:cs="Times New Roman"/>
                <w:b/>
                <w:bCs/>
              </w:rPr>
              <w:t>Основні результати консультацій (опис)</w:t>
            </w:r>
          </w:p>
        </w:tc>
      </w:tr>
      <w:tr w:rsidR="000F6DF6" w14:paraId="2C1621EE" w14:textId="77777777">
        <w:tc>
          <w:tcPr>
            <w:tcW w:w="600" w:type="dxa"/>
            <w:tcMar>
              <w:top w:w="55" w:type="dxa"/>
              <w:left w:w="55" w:type="dxa"/>
              <w:bottom w:w="55" w:type="dxa"/>
              <w:right w:w="55" w:type="dxa"/>
            </w:tcMar>
          </w:tcPr>
          <w:p w14:paraId="5808125D" w14:textId="77777777" w:rsidR="000F6DF6" w:rsidRDefault="000F0FFE">
            <w:pPr>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3225" w:type="dxa"/>
            <w:tcMar>
              <w:top w:w="55" w:type="dxa"/>
              <w:left w:w="55" w:type="dxa"/>
              <w:bottom w:w="55" w:type="dxa"/>
              <w:right w:w="55" w:type="dxa"/>
            </w:tcMar>
          </w:tcPr>
          <w:p w14:paraId="48B56CCD" w14:textId="77777777" w:rsidR="000F6DF6" w:rsidRDefault="000F0FFE">
            <w:pPr>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1759" w:type="dxa"/>
            <w:tcMar>
              <w:top w:w="55" w:type="dxa"/>
              <w:left w:w="55" w:type="dxa"/>
              <w:bottom w:w="55" w:type="dxa"/>
              <w:right w:w="55" w:type="dxa"/>
            </w:tcMar>
          </w:tcPr>
          <w:p w14:paraId="731BC757" w14:textId="77777777" w:rsidR="000F6DF6" w:rsidRDefault="000F0FFE">
            <w:pPr>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3911" w:type="dxa"/>
            <w:tcMar>
              <w:top w:w="55" w:type="dxa"/>
              <w:left w:w="55" w:type="dxa"/>
              <w:bottom w:w="55" w:type="dxa"/>
              <w:right w:w="55" w:type="dxa"/>
            </w:tcMar>
          </w:tcPr>
          <w:p w14:paraId="0BBB50C4" w14:textId="77777777" w:rsidR="000F6DF6" w:rsidRDefault="000F0FFE">
            <w:pPr>
              <w:jc w:val="center"/>
              <w:rPr>
                <w:rFonts w:ascii="Times New Roman" w:eastAsia="Times New Roman" w:hAnsi="Times New Roman" w:cs="Times New Roman"/>
                <w:b/>
                <w:bCs/>
              </w:rPr>
            </w:pPr>
            <w:r>
              <w:rPr>
                <w:rFonts w:ascii="Times New Roman" w:eastAsia="Times New Roman" w:hAnsi="Times New Roman" w:cs="Times New Roman"/>
                <w:b/>
                <w:bCs/>
              </w:rPr>
              <w:t>-</w:t>
            </w:r>
          </w:p>
        </w:tc>
      </w:tr>
    </w:tbl>
    <w:p w14:paraId="6820802D" w14:textId="77777777" w:rsidR="000F6DF6" w:rsidRDefault="000F6DF6">
      <w:pPr>
        <w:jc w:val="both"/>
        <w:rPr>
          <w:rFonts w:ascii="Times New Roman" w:eastAsia="Times New Roman" w:hAnsi="Times New Roman" w:cs="Times New Roman"/>
          <w:sz w:val="28"/>
          <w:szCs w:val="28"/>
          <w:highlight w:val="yellow"/>
        </w:rPr>
      </w:pPr>
    </w:p>
    <w:p w14:paraId="41E21A96" w14:textId="77777777" w:rsidR="000F6DF6" w:rsidRDefault="000F0FFE">
      <w:pPr>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8"/>
          <w:szCs w:val="28"/>
        </w:rPr>
        <w:t>2. Вимірювання впливу регулювання на суб’єктів малого підприємництва (мікро- та малі):</w:t>
      </w:r>
    </w:p>
    <w:p w14:paraId="1A22B6F9" w14:textId="77777777" w:rsidR="000F6DF6" w:rsidRDefault="000F0FFE">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суб’єктів господарювання, на яких поширюється регулювання – 33, у тому числі малого підприємництва 33;</w:t>
      </w:r>
    </w:p>
    <w:p w14:paraId="40D23710" w14:textId="77777777" w:rsidR="000F6DF6" w:rsidRDefault="000F0FFE">
      <w:pPr>
        <w:ind w:firstLine="709"/>
        <w:jc w:val="both"/>
        <w:rPr>
          <w:rFonts w:ascii="Times New Roman" w:eastAsia="Times New Roman" w:hAnsi="Times New Roman" w:cs="Times New Roman"/>
          <w:sz w:val="16"/>
          <w:szCs w:val="16"/>
          <w:highlight w:val="yellow"/>
        </w:rPr>
      </w:pPr>
      <w:r>
        <w:rPr>
          <w:rFonts w:ascii="Times New Roman" w:eastAsia="Times New Roman" w:hAnsi="Times New Roman" w:cs="Times New Roman"/>
          <w:sz w:val="28"/>
          <w:szCs w:val="28"/>
        </w:rPr>
        <w:t xml:space="preserve">питома вага суб'єктів малого підприємництва у загальній кількості суб'єктів господарювання, на яких проблема справляє вплив – 100% (відсотків). </w:t>
      </w:r>
    </w:p>
    <w:p w14:paraId="5B973B06" w14:textId="77777777" w:rsidR="000F6DF6" w:rsidRDefault="000F0FFE">
      <w:pPr>
        <w:jc w:val="both"/>
        <w:rPr>
          <w:rFonts w:ascii="Times New Roman" w:eastAsia="Times New Roman" w:hAnsi="Times New Roman" w:cs="Times New Roman"/>
          <w:sz w:val="28"/>
          <w:szCs w:val="28"/>
          <w:highlight w:val="yellow"/>
        </w:rPr>
      </w:pPr>
      <w:r>
        <w:rPr>
          <w:rFonts w:ascii="Times New Roman" w:eastAsia="Times New Roman" w:hAnsi="Times New Roman" w:cs="Times New Roman"/>
          <w:sz w:val="28"/>
          <w:szCs w:val="28"/>
        </w:rPr>
        <w:tab/>
        <w:t xml:space="preserve">3. Розрахунок витрат суб'єктів малого підприємництва на виконання вимог регулювання </w:t>
      </w:r>
    </w:p>
    <w:tbl>
      <w:tblPr>
        <w:tblStyle w:val="afff"/>
        <w:tblW w:w="91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93"/>
        <w:gridCol w:w="3161"/>
        <w:gridCol w:w="1660"/>
        <w:gridCol w:w="1523"/>
        <w:gridCol w:w="1372"/>
      </w:tblGrid>
      <w:tr w:rsidR="000F6DF6" w14:paraId="716A4A54" w14:textId="77777777">
        <w:trPr>
          <w:jc w:val="center"/>
        </w:trPr>
        <w:tc>
          <w:tcPr>
            <w:tcW w:w="1393" w:type="dxa"/>
          </w:tcPr>
          <w:p w14:paraId="53C049B1" w14:textId="77777777" w:rsidR="000F6DF6" w:rsidRDefault="000F0FFE">
            <w:pPr>
              <w:ind w:right="-88"/>
              <w:jc w:val="center"/>
              <w:rPr>
                <w:rFonts w:ascii="Times New Roman" w:eastAsia="Times New Roman" w:hAnsi="Times New Roman" w:cs="Times New Roman"/>
              </w:rPr>
            </w:pPr>
            <w:r>
              <w:rPr>
                <w:rFonts w:ascii="Times New Roman" w:eastAsia="Times New Roman" w:hAnsi="Times New Roman" w:cs="Times New Roman"/>
              </w:rPr>
              <w:t>Порядковий номер</w:t>
            </w:r>
          </w:p>
        </w:tc>
        <w:tc>
          <w:tcPr>
            <w:tcW w:w="3161" w:type="dxa"/>
          </w:tcPr>
          <w:p w14:paraId="12D7F674"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Найменування оцінки</w:t>
            </w:r>
          </w:p>
        </w:tc>
        <w:tc>
          <w:tcPr>
            <w:tcW w:w="1660" w:type="dxa"/>
          </w:tcPr>
          <w:p w14:paraId="021669E1"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У перший рік (стартовий рік впровадження регулювання)</w:t>
            </w:r>
          </w:p>
        </w:tc>
        <w:tc>
          <w:tcPr>
            <w:tcW w:w="1523" w:type="dxa"/>
          </w:tcPr>
          <w:p w14:paraId="30E896E2"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Періодичні (за наступний рік)</w:t>
            </w:r>
          </w:p>
        </w:tc>
        <w:tc>
          <w:tcPr>
            <w:tcW w:w="1372" w:type="dxa"/>
          </w:tcPr>
          <w:p w14:paraId="65F13425"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Витрати за</w:t>
            </w:r>
            <w:r>
              <w:rPr>
                <w:rFonts w:ascii="Times New Roman" w:eastAsia="Times New Roman" w:hAnsi="Times New Roman" w:cs="Times New Roman"/>
              </w:rPr>
              <w:br/>
              <w:t>п’ять років</w:t>
            </w:r>
          </w:p>
        </w:tc>
      </w:tr>
      <w:tr w:rsidR="000F6DF6" w14:paraId="76F408DF" w14:textId="77777777">
        <w:trPr>
          <w:jc w:val="center"/>
        </w:trPr>
        <w:tc>
          <w:tcPr>
            <w:tcW w:w="9109" w:type="dxa"/>
            <w:gridSpan w:val="5"/>
          </w:tcPr>
          <w:p w14:paraId="15B25F05"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Оцінка «прямих» витрат суб’єктів малого підприємництва на виконання регулювання</w:t>
            </w:r>
          </w:p>
        </w:tc>
      </w:tr>
      <w:tr w:rsidR="000F6DF6" w14:paraId="0418BA7D" w14:textId="77777777">
        <w:trPr>
          <w:jc w:val="center"/>
        </w:trPr>
        <w:tc>
          <w:tcPr>
            <w:tcW w:w="1393" w:type="dxa"/>
          </w:tcPr>
          <w:p w14:paraId="0B054CD9"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lastRenderedPageBreak/>
              <w:t>1</w:t>
            </w:r>
          </w:p>
        </w:tc>
        <w:tc>
          <w:tcPr>
            <w:tcW w:w="3161" w:type="dxa"/>
          </w:tcPr>
          <w:p w14:paraId="6561E1CB" w14:textId="77777777" w:rsidR="000F6DF6" w:rsidRDefault="000F0FFE">
            <w:pPr>
              <w:rPr>
                <w:rFonts w:ascii="Times New Roman" w:eastAsia="Times New Roman" w:hAnsi="Times New Roman" w:cs="Times New Roman"/>
              </w:rPr>
            </w:pPr>
            <w:r>
              <w:rPr>
                <w:rFonts w:ascii="Times New Roman" w:eastAsia="Times New Roman" w:hAnsi="Times New Roman" w:cs="Times New Roman"/>
              </w:rPr>
              <w:t xml:space="preserve">Придбання необхідного обладнання (пристроїв, машин, механізмів) </w:t>
            </w:r>
          </w:p>
        </w:tc>
        <w:tc>
          <w:tcPr>
            <w:tcW w:w="1660" w:type="dxa"/>
          </w:tcPr>
          <w:p w14:paraId="77201517"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523" w:type="dxa"/>
          </w:tcPr>
          <w:p w14:paraId="24D60639"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372" w:type="dxa"/>
          </w:tcPr>
          <w:p w14:paraId="41B97DB7"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315C9E45" w14:textId="77777777">
        <w:trPr>
          <w:trHeight w:val="95"/>
          <w:jc w:val="center"/>
        </w:trPr>
        <w:tc>
          <w:tcPr>
            <w:tcW w:w="1393" w:type="dxa"/>
          </w:tcPr>
          <w:p w14:paraId="43B6FB31"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2</w:t>
            </w:r>
          </w:p>
        </w:tc>
        <w:tc>
          <w:tcPr>
            <w:tcW w:w="3161" w:type="dxa"/>
          </w:tcPr>
          <w:p w14:paraId="5DCF5FF7" w14:textId="77777777" w:rsidR="000F6DF6" w:rsidRDefault="000F0FFE">
            <w:pPr>
              <w:rPr>
                <w:rFonts w:ascii="Times New Roman" w:eastAsia="Times New Roman" w:hAnsi="Times New Roman" w:cs="Times New Roman"/>
              </w:rPr>
            </w:pPr>
            <w:r>
              <w:rPr>
                <w:rFonts w:ascii="Times New Roman" w:eastAsia="Times New Roman" w:hAnsi="Times New Roman" w:cs="Times New Roman"/>
                <w:highlight w:val="white"/>
              </w:rPr>
              <w:t>Процедури повірки та/або постановки на відповідний облік у визначеному органі державної влади чи місцевого самоврядування</w:t>
            </w:r>
          </w:p>
        </w:tc>
        <w:tc>
          <w:tcPr>
            <w:tcW w:w="1660" w:type="dxa"/>
          </w:tcPr>
          <w:p w14:paraId="77A16669"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523" w:type="dxa"/>
          </w:tcPr>
          <w:p w14:paraId="05E2C8A1"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372" w:type="dxa"/>
          </w:tcPr>
          <w:p w14:paraId="68376CFA"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6C0538C9" w14:textId="77777777">
        <w:trPr>
          <w:jc w:val="center"/>
        </w:trPr>
        <w:tc>
          <w:tcPr>
            <w:tcW w:w="1393" w:type="dxa"/>
          </w:tcPr>
          <w:p w14:paraId="493082AD"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3</w:t>
            </w:r>
          </w:p>
        </w:tc>
        <w:tc>
          <w:tcPr>
            <w:tcW w:w="3161" w:type="dxa"/>
          </w:tcPr>
          <w:p w14:paraId="6511F6DE" w14:textId="77777777" w:rsidR="000F6DF6" w:rsidRDefault="000F0FFE">
            <w:pPr>
              <w:rPr>
                <w:rFonts w:ascii="Times New Roman" w:eastAsia="Times New Roman" w:hAnsi="Times New Roman" w:cs="Times New Roman"/>
              </w:rPr>
            </w:pPr>
            <w:r>
              <w:rPr>
                <w:rFonts w:ascii="Times New Roman" w:eastAsia="Times New Roman" w:hAnsi="Times New Roman" w:cs="Times New Roman"/>
                <w:highlight w:val="white"/>
              </w:rPr>
              <w:t>Процедури експлуатації обладнання (експлуатаційні витрати – витратні матеріали (канцелярські товари))</w:t>
            </w:r>
          </w:p>
        </w:tc>
        <w:tc>
          <w:tcPr>
            <w:tcW w:w="1660" w:type="dxa"/>
          </w:tcPr>
          <w:p w14:paraId="7D38A28C"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523" w:type="dxa"/>
          </w:tcPr>
          <w:p w14:paraId="00C0D763"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372" w:type="dxa"/>
          </w:tcPr>
          <w:p w14:paraId="0113B4A1"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20C7947B" w14:textId="77777777">
        <w:trPr>
          <w:jc w:val="center"/>
        </w:trPr>
        <w:tc>
          <w:tcPr>
            <w:tcW w:w="1393" w:type="dxa"/>
          </w:tcPr>
          <w:p w14:paraId="1F607A7B"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4</w:t>
            </w:r>
          </w:p>
        </w:tc>
        <w:tc>
          <w:tcPr>
            <w:tcW w:w="3161" w:type="dxa"/>
          </w:tcPr>
          <w:p w14:paraId="53478AC9" w14:textId="77777777" w:rsidR="000F6DF6" w:rsidRDefault="000F0FFE">
            <w:pPr>
              <w:rPr>
                <w:rFonts w:ascii="Times New Roman" w:eastAsia="Times New Roman" w:hAnsi="Times New Roman" w:cs="Times New Roman"/>
              </w:rPr>
            </w:pPr>
            <w:r>
              <w:rPr>
                <w:rFonts w:ascii="Times New Roman" w:eastAsia="Times New Roman" w:hAnsi="Times New Roman" w:cs="Times New Roman"/>
                <w:highlight w:val="white"/>
              </w:rPr>
              <w:t>Процедури обслуговування обладнання (технічне обслуговування)</w:t>
            </w:r>
          </w:p>
        </w:tc>
        <w:tc>
          <w:tcPr>
            <w:tcW w:w="1660" w:type="dxa"/>
          </w:tcPr>
          <w:p w14:paraId="7AA43382"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523" w:type="dxa"/>
          </w:tcPr>
          <w:p w14:paraId="0858F10D"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372" w:type="dxa"/>
          </w:tcPr>
          <w:p w14:paraId="572425B6"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29354740" w14:textId="77777777">
        <w:trPr>
          <w:jc w:val="center"/>
        </w:trPr>
        <w:tc>
          <w:tcPr>
            <w:tcW w:w="1393" w:type="dxa"/>
          </w:tcPr>
          <w:p w14:paraId="2397F299"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5</w:t>
            </w:r>
          </w:p>
        </w:tc>
        <w:tc>
          <w:tcPr>
            <w:tcW w:w="3161" w:type="dxa"/>
          </w:tcPr>
          <w:p w14:paraId="1742AF1A" w14:textId="77777777" w:rsidR="000F6DF6" w:rsidRDefault="000F0FFE">
            <w:pPr>
              <w:rPr>
                <w:rFonts w:ascii="Times New Roman" w:eastAsia="Times New Roman" w:hAnsi="Times New Roman" w:cs="Times New Roman"/>
              </w:rPr>
            </w:pPr>
            <w:r>
              <w:rPr>
                <w:rFonts w:ascii="Times New Roman" w:eastAsia="Times New Roman" w:hAnsi="Times New Roman" w:cs="Times New Roman"/>
              </w:rPr>
              <w:t>Інші процедури</w:t>
            </w:r>
          </w:p>
        </w:tc>
        <w:tc>
          <w:tcPr>
            <w:tcW w:w="1660" w:type="dxa"/>
          </w:tcPr>
          <w:p w14:paraId="744431EA"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523" w:type="dxa"/>
          </w:tcPr>
          <w:p w14:paraId="773BC40F"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372" w:type="dxa"/>
          </w:tcPr>
          <w:p w14:paraId="4ADD5C93"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0516A10B" w14:textId="77777777">
        <w:trPr>
          <w:jc w:val="center"/>
        </w:trPr>
        <w:tc>
          <w:tcPr>
            <w:tcW w:w="1393" w:type="dxa"/>
          </w:tcPr>
          <w:p w14:paraId="7BFB1F8A" w14:textId="77777777" w:rsidR="000F6DF6" w:rsidRDefault="000F0FFE">
            <w:pPr>
              <w:tabs>
                <w:tab w:val="left" w:pos="375"/>
              </w:tabs>
              <w:jc w:val="center"/>
              <w:rPr>
                <w:rFonts w:ascii="Times New Roman" w:eastAsia="Times New Roman" w:hAnsi="Times New Roman" w:cs="Times New Roman"/>
              </w:rPr>
            </w:pPr>
            <w:r>
              <w:rPr>
                <w:rFonts w:ascii="Times New Roman" w:eastAsia="Times New Roman" w:hAnsi="Times New Roman" w:cs="Times New Roman"/>
              </w:rPr>
              <w:t>6</w:t>
            </w:r>
          </w:p>
        </w:tc>
        <w:tc>
          <w:tcPr>
            <w:tcW w:w="3161" w:type="dxa"/>
          </w:tcPr>
          <w:p w14:paraId="6BF5E14C" w14:textId="77777777" w:rsidR="000F6DF6" w:rsidRDefault="000F0FFE">
            <w:pPr>
              <w:tabs>
                <w:tab w:val="left" w:pos="375"/>
              </w:tabs>
              <w:rPr>
                <w:rFonts w:ascii="Times New Roman" w:eastAsia="Times New Roman" w:hAnsi="Times New Roman" w:cs="Times New Roman"/>
              </w:rPr>
            </w:pPr>
            <w:r>
              <w:rPr>
                <w:rFonts w:ascii="Times New Roman" w:eastAsia="Times New Roman" w:hAnsi="Times New Roman" w:cs="Times New Roman"/>
              </w:rPr>
              <w:t>Разом (сума рядків 1 + 2 + 3 + 4 + 5), гривень</w:t>
            </w:r>
          </w:p>
        </w:tc>
        <w:tc>
          <w:tcPr>
            <w:tcW w:w="1660" w:type="dxa"/>
          </w:tcPr>
          <w:p w14:paraId="52D11DAA" w14:textId="77777777" w:rsidR="000F6DF6" w:rsidRDefault="000F0FFE">
            <w:pPr>
              <w:tabs>
                <w:tab w:val="left" w:pos="375"/>
              </w:tabs>
              <w:jc w:val="center"/>
              <w:rPr>
                <w:rFonts w:ascii="Times New Roman" w:eastAsia="Times New Roman" w:hAnsi="Times New Roman" w:cs="Times New Roman"/>
              </w:rPr>
            </w:pPr>
            <w:r>
              <w:rPr>
                <w:rFonts w:ascii="Times New Roman" w:eastAsia="Times New Roman" w:hAnsi="Times New Roman" w:cs="Times New Roman"/>
              </w:rPr>
              <w:t>-</w:t>
            </w:r>
          </w:p>
        </w:tc>
        <w:tc>
          <w:tcPr>
            <w:tcW w:w="1523" w:type="dxa"/>
          </w:tcPr>
          <w:p w14:paraId="3B6BE2BE" w14:textId="77777777" w:rsidR="000F6DF6" w:rsidRDefault="000F0FFE">
            <w:pPr>
              <w:tabs>
                <w:tab w:val="left" w:pos="375"/>
              </w:tabs>
              <w:jc w:val="center"/>
              <w:rPr>
                <w:rFonts w:ascii="Times New Roman" w:eastAsia="Times New Roman" w:hAnsi="Times New Roman" w:cs="Times New Roman"/>
              </w:rPr>
            </w:pPr>
            <w:r>
              <w:rPr>
                <w:rFonts w:ascii="Times New Roman" w:eastAsia="Times New Roman" w:hAnsi="Times New Roman" w:cs="Times New Roman"/>
              </w:rPr>
              <w:t>-</w:t>
            </w:r>
          </w:p>
        </w:tc>
        <w:tc>
          <w:tcPr>
            <w:tcW w:w="1372" w:type="dxa"/>
          </w:tcPr>
          <w:p w14:paraId="34E660A6" w14:textId="77777777" w:rsidR="000F6DF6" w:rsidRDefault="000F0FFE">
            <w:pPr>
              <w:tabs>
                <w:tab w:val="left" w:pos="375"/>
              </w:tabs>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54F43411" w14:textId="77777777">
        <w:trPr>
          <w:jc w:val="center"/>
        </w:trPr>
        <w:tc>
          <w:tcPr>
            <w:tcW w:w="1393" w:type="dxa"/>
          </w:tcPr>
          <w:p w14:paraId="502CC337"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7</w:t>
            </w:r>
          </w:p>
        </w:tc>
        <w:tc>
          <w:tcPr>
            <w:tcW w:w="3161" w:type="dxa"/>
          </w:tcPr>
          <w:p w14:paraId="6049F2DD" w14:textId="77777777" w:rsidR="000F6DF6" w:rsidRDefault="000F0FFE">
            <w:pPr>
              <w:rPr>
                <w:rFonts w:ascii="Times New Roman" w:eastAsia="Times New Roman" w:hAnsi="Times New Roman" w:cs="Times New Roman"/>
              </w:rPr>
            </w:pPr>
            <w:r>
              <w:rPr>
                <w:rFonts w:ascii="Times New Roman" w:eastAsia="Times New Roman" w:hAnsi="Times New Roman" w:cs="Times New Roman"/>
              </w:rPr>
              <w:t>Кількість суб’єктів господарювання, що повинні виконати вимоги регулювання, одиниць</w:t>
            </w:r>
          </w:p>
        </w:tc>
        <w:tc>
          <w:tcPr>
            <w:tcW w:w="1660" w:type="dxa"/>
          </w:tcPr>
          <w:p w14:paraId="0FF6F8FB"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33</w:t>
            </w:r>
          </w:p>
        </w:tc>
        <w:tc>
          <w:tcPr>
            <w:tcW w:w="1523" w:type="dxa"/>
          </w:tcPr>
          <w:p w14:paraId="10BA6FDB"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33</w:t>
            </w:r>
          </w:p>
        </w:tc>
        <w:tc>
          <w:tcPr>
            <w:tcW w:w="1372" w:type="dxa"/>
          </w:tcPr>
          <w:p w14:paraId="5B61E0A6"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33</w:t>
            </w:r>
          </w:p>
        </w:tc>
      </w:tr>
      <w:tr w:rsidR="000F6DF6" w14:paraId="382F3B3F" w14:textId="77777777">
        <w:trPr>
          <w:jc w:val="center"/>
        </w:trPr>
        <w:tc>
          <w:tcPr>
            <w:tcW w:w="1393" w:type="dxa"/>
          </w:tcPr>
          <w:p w14:paraId="377E625E"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8</w:t>
            </w:r>
          </w:p>
        </w:tc>
        <w:tc>
          <w:tcPr>
            <w:tcW w:w="3161" w:type="dxa"/>
          </w:tcPr>
          <w:p w14:paraId="06908319" w14:textId="77777777" w:rsidR="000F6DF6" w:rsidRDefault="000F0FFE">
            <w:pPr>
              <w:rPr>
                <w:rFonts w:ascii="Times New Roman" w:eastAsia="Times New Roman" w:hAnsi="Times New Roman" w:cs="Times New Roman"/>
              </w:rPr>
            </w:pPr>
            <w:r>
              <w:rPr>
                <w:rFonts w:ascii="Times New Roman" w:eastAsia="Times New Roman" w:hAnsi="Times New Roman" w:cs="Times New Roman"/>
              </w:rPr>
              <w:t>Сумарно (рядок 6 × рядок 7), гривень</w:t>
            </w:r>
          </w:p>
        </w:tc>
        <w:tc>
          <w:tcPr>
            <w:tcW w:w="1660" w:type="dxa"/>
          </w:tcPr>
          <w:p w14:paraId="71020C7A"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523" w:type="dxa"/>
          </w:tcPr>
          <w:p w14:paraId="76A59F93"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372" w:type="dxa"/>
          </w:tcPr>
          <w:p w14:paraId="4AE7C2F6"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429CBDD6" w14:textId="77777777">
        <w:trPr>
          <w:jc w:val="center"/>
        </w:trPr>
        <w:tc>
          <w:tcPr>
            <w:tcW w:w="9109" w:type="dxa"/>
            <w:gridSpan w:val="5"/>
          </w:tcPr>
          <w:p w14:paraId="0700BE9A"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Оцінка вартості адміністративних процедур суб’єктів малого підприємництва щодо виконання регулювання та звітування</w:t>
            </w:r>
          </w:p>
        </w:tc>
      </w:tr>
      <w:tr w:rsidR="000F6DF6" w14:paraId="3974DB43" w14:textId="77777777">
        <w:trPr>
          <w:trHeight w:val="42"/>
          <w:jc w:val="center"/>
        </w:trPr>
        <w:tc>
          <w:tcPr>
            <w:tcW w:w="1393" w:type="dxa"/>
          </w:tcPr>
          <w:p w14:paraId="122B94CF"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9</w:t>
            </w:r>
          </w:p>
        </w:tc>
        <w:tc>
          <w:tcPr>
            <w:tcW w:w="3161" w:type="dxa"/>
          </w:tcPr>
          <w:p w14:paraId="2CF8896A" w14:textId="77777777" w:rsidR="000F6DF6" w:rsidRDefault="000F0FFE">
            <w:pP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Процедури отримання первинної інформації </w:t>
            </w:r>
          </w:p>
          <w:p w14:paraId="55BC7488" w14:textId="77777777" w:rsidR="000F6DF6" w:rsidRDefault="000F6DF6">
            <w:pPr>
              <w:rPr>
                <w:rFonts w:ascii="Times New Roman" w:eastAsia="Times New Roman" w:hAnsi="Times New Roman" w:cs="Times New Roman"/>
              </w:rPr>
            </w:pPr>
          </w:p>
        </w:tc>
        <w:tc>
          <w:tcPr>
            <w:tcW w:w="1660" w:type="dxa"/>
          </w:tcPr>
          <w:p w14:paraId="39CF7B1F" w14:textId="77777777" w:rsidR="000F6DF6" w:rsidRDefault="000F0FFE">
            <w:pPr>
              <w:jc w:val="center"/>
              <w:rPr>
                <w:rFonts w:ascii="Times New Roman" w:eastAsia="Times New Roman" w:hAnsi="Times New Roman" w:cs="Times New Roman"/>
                <w:highlight w:val="yellow"/>
              </w:rPr>
            </w:pPr>
            <w:r>
              <w:rPr>
                <w:rFonts w:ascii="Times New Roman" w:eastAsia="Times New Roman" w:hAnsi="Times New Roman" w:cs="Times New Roman"/>
              </w:rPr>
              <w:t>-</w:t>
            </w:r>
          </w:p>
        </w:tc>
        <w:tc>
          <w:tcPr>
            <w:tcW w:w="1523" w:type="dxa"/>
          </w:tcPr>
          <w:p w14:paraId="67B31572" w14:textId="77777777" w:rsidR="000F6DF6" w:rsidRDefault="000F0FFE">
            <w:pPr>
              <w:jc w:val="center"/>
              <w:rPr>
                <w:rFonts w:ascii="Times New Roman" w:eastAsia="Times New Roman" w:hAnsi="Times New Roman" w:cs="Times New Roman"/>
                <w:highlight w:val="yellow"/>
              </w:rPr>
            </w:pPr>
            <w:r>
              <w:rPr>
                <w:rFonts w:ascii="Times New Roman" w:eastAsia="Times New Roman" w:hAnsi="Times New Roman" w:cs="Times New Roman"/>
              </w:rPr>
              <w:t>-</w:t>
            </w:r>
          </w:p>
        </w:tc>
        <w:tc>
          <w:tcPr>
            <w:tcW w:w="1372" w:type="dxa"/>
          </w:tcPr>
          <w:p w14:paraId="5C4AB7AA" w14:textId="77777777" w:rsidR="000F6DF6" w:rsidRDefault="000F0FFE">
            <w:pPr>
              <w:jc w:val="center"/>
              <w:rPr>
                <w:rFonts w:ascii="Times New Roman" w:eastAsia="Times New Roman" w:hAnsi="Times New Roman" w:cs="Times New Roman"/>
                <w:highlight w:val="yellow"/>
              </w:rPr>
            </w:pPr>
            <w:r>
              <w:rPr>
                <w:rFonts w:ascii="Times New Roman" w:eastAsia="Times New Roman" w:hAnsi="Times New Roman" w:cs="Times New Roman"/>
              </w:rPr>
              <w:t>-</w:t>
            </w:r>
          </w:p>
        </w:tc>
      </w:tr>
      <w:tr w:rsidR="000F6DF6" w14:paraId="771F7EF5" w14:textId="77777777">
        <w:trPr>
          <w:trHeight w:val="38"/>
          <w:jc w:val="center"/>
        </w:trPr>
        <w:tc>
          <w:tcPr>
            <w:tcW w:w="1393" w:type="dxa"/>
          </w:tcPr>
          <w:p w14:paraId="530C5F66"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10</w:t>
            </w:r>
          </w:p>
        </w:tc>
        <w:tc>
          <w:tcPr>
            <w:tcW w:w="3161" w:type="dxa"/>
          </w:tcPr>
          <w:p w14:paraId="1CB49F87" w14:textId="77777777" w:rsidR="000F6DF6" w:rsidRDefault="000F0FFE">
            <w:pPr>
              <w:rPr>
                <w:rFonts w:ascii="Times New Roman" w:eastAsia="Times New Roman" w:hAnsi="Times New Roman" w:cs="Times New Roman"/>
                <w:highlight w:val="white"/>
              </w:rPr>
            </w:pPr>
            <w:r>
              <w:rPr>
                <w:rFonts w:ascii="Times New Roman" w:eastAsia="Times New Roman" w:hAnsi="Times New Roman" w:cs="Times New Roman"/>
                <w:highlight w:val="white"/>
              </w:rPr>
              <w:t>Процедури організації виконання вимог регулювання</w:t>
            </w:r>
          </w:p>
          <w:p w14:paraId="5858BEDB" w14:textId="77777777" w:rsidR="000F6DF6" w:rsidRDefault="000F6DF6">
            <w:pPr>
              <w:rPr>
                <w:rFonts w:ascii="Times New Roman" w:eastAsia="Times New Roman" w:hAnsi="Times New Roman" w:cs="Times New Roman"/>
              </w:rPr>
            </w:pPr>
          </w:p>
        </w:tc>
        <w:tc>
          <w:tcPr>
            <w:tcW w:w="1660" w:type="dxa"/>
          </w:tcPr>
          <w:p w14:paraId="5F9EB5F7" w14:textId="77777777" w:rsidR="000F6DF6" w:rsidRDefault="000F0FFE">
            <w:pPr>
              <w:jc w:val="center"/>
              <w:rPr>
                <w:rFonts w:ascii="Times New Roman" w:eastAsia="Times New Roman" w:hAnsi="Times New Roman" w:cs="Times New Roman"/>
                <w:highlight w:val="yellow"/>
              </w:rPr>
            </w:pPr>
            <w:r>
              <w:rPr>
                <w:rFonts w:ascii="Times New Roman" w:eastAsia="Times New Roman" w:hAnsi="Times New Roman" w:cs="Times New Roman"/>
              </w:rPr>
              <w:t>-</w:t>
            </w:r>
          </w:p>
        </w:tc>
        <w:tc>
          <w:tcPr>
            <w:tcW w:w="1523" w:type="dxa"/>
          </w:tcPr>
          <w:p w14:paraId="66B7BFD6" w14:textId="77777777" w:rsidR="000F6DF6" w:rsidRDefault="000F0FFE">
            <w:pPr>
              <w:jc w:val="center"/>
              <w:rPr>
                <w:rFonts w:ascii="Times New Roman" w:eastAsia="Times New Roman" w:hAnsi="Times New Roman" w:cs="Times New Roman"/>
                <w:highlight w:val="yellow"/>
              </w:rPr>
            </w:pPr>
            <w:r>
              <w:rPr>
                <w:rFonts w:ascii="Times New Roman" w:eastAsia="Times New Roman" w:hAnsi="Times New Roman" w:cs="Times New Roman"/>
              </w:rPr>
              <w:t>-</w:t>
            </w:r>
          </w:p>
        </w:tc>
        <w:tc>
          <w:tcPr>
            <w:tcW w:w="1372" w:type="dxa"/>
          </w:tcPr>
          <w:p w14:paraId="32475F4B" w14:textId="77777777" w:rsidR="000F6DF6" w:rsidRDefault="000F0FFE">
            <w:pPr>
              <w:jc w:val="center"/>
              <w:rPr>
                <w:rFonts w:ascii="Times New Roman" w:eastAsia="Times New Roman" w:hAnsi="Times New Roman" w:cs="Times New Roman"/>
                <w:highlight w:val="yellow"/>
              </w:rPr>
            </w:pPr>
            <w:r>
              <w:rPr>
                <w:rFonts w:ascii="Times New Roman" w:eastAsia="Times New Roman" w:hAnsi="Times New Roman" w:cs="Times New Roman"/>
              </w:rPr>
              <w:t>-</w:t>
            </w:r>
          </w:p>
        </w:tc>
      </w:tr>
      <w:tr w:rsidR="000F6DF6" w14:paraId="05313C7C" w14:textId="77777777">
        <w:trPr>
          <w:trHeight w:val="38"/>
          <w:jc w:val="center"/>
        </w:trPr>
        <w:tc>
          <w:tcPr>
            <w:tcW w:w="1393" w:type="dxa"/>
          </w:tcPr>
          <w:p w14:paraId="0E567E7C"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11</w:t>
            </w:r>
          </w:p>
        </w:tc>
        <w:tc>
          <w:tcPr>
            <w:tcW w:w="3161" w:type="dxa"/>
          </w:tcPr>
          <w:p w14:paraId="273F09BB" w14:textId="77777777" w:rsidR="000F6DF6" w:rsidRDefault="000F0FFE">
            <w:pPr>
              <w:rPr>
                <w:rFonts w:ascii="Times New Roman" w:eastAsia="Times New Roman" w:hAnsi="Times New Roman" w:cs="Times New Roman"/>
              </w:rPr>
            </w:pPr>
            <w:r>
              <w:rPr>
                <w:rFonts w:ascii="Times New Roman" w:eastAsia="Times New Roman" w:hAnsi="Times New Roman" w:cs="Times New Roman"/>
                <w:highlight w:val="white"/>
              </w:rPr>
              <w:t>Процедури офіційного звітування</w:t>
            </w:r>
          </w:p>
        </w:tc>
        <w:tc>
          <w:tcPr>
            <w:tcW w:w="1660" w:type="dxa"/>
          </w:tcPr>
          <w:p w14:paraId="386504A1"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523" w:type="dxa"/>
          </w:tcPr>
          <w:p w14:paraId="166F6916"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372" w:type="dxa"/>
          </w:tcPr>
          <w:p w14:paraId="4B1F273D"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6D061146" w14:textId="77777777">
        <w:trPr>
          <w:trHeight w:val="38"/>
          <w:jc w:val="center"/>
        </w:trPr>
        <w:tc>
          <w:tcPr>
            <w:tcW w:w="1393" w:type="dxa"/>
          </w:tcPr>
          <w:p w14:paraId="4CEA150C"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12</w:t>
            </w:r>
          </w:p>
        </w:tc>
        <w:tc>
          <w:tcPr>
            <w:tcW w:w="3161" w:type="dxa"/>
          </w:tcPr>
          <w:p w14:paraId="4B364972" w14:textId="77777777" w:rsidR="000F6DF6" w:rsidRDefault="000F0FFE">
            <w:pPr>
              <w:rPr>
                <w:rFonts w:ascii="Times New Roman" w:eastAsia="Times New Roman" w:hAnsi="Times New Roman" w:cs="Times New Roman"/>
              </w:rPr>
            </w:pPr>
            <w:r>
              <w:rPr>
                <w:rFonts w:ascii="Times New Roman" w:eastAsia="Times New Roman" w:hAnsi="Times New Roman" w:cs="Times New Roman"/>
                <w:highlight w:val="white"/>
              </w:rPr>
              <w:t>Процедури щодо забезпечення процесу перевірок</w:t>
            </w:r>
          </w:p>
        </w:tc>
        <w:tc>
          <w:tcPr>
            <w:tcW w:w="1660" w:type="dxa"/>
          </w:tcPr>
          <w:p w14:paraId="7CAC7D51"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523" w:type="dxa"/>
          </w:tcPr>
          <w:p w14:paraId="005083A4"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372" w:type="dxa"/>
          </w:tcPr>
          <w:p w14:paraId="2BD6DDC1"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736FD85E" w14:textId="77777777">
        <w:trPr>
          <w:trHeight w:val="38"/>
          <w:jc w:val="center"/>
        </w:trPr>
        <w:tc>
          <w:tcPr>
            <w:tcW w:w="1393" w:type="dxa"/>
          </w:tcPr>
          <w:p w14:paraId="1CD1A2B1"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lastRenderedPageBreak/>
              <w:t>13</w:t>
            </w:r>
          </w:p>
        </w:tc>
        <w:tc>
          <w:tcPr>
            <w:tcW w:w="3161" w:type="dxa"/>
          </w:tcPr>
          <w:p w14:paraId="315B284F" w14:textId="77777777" w:rsidR="000F6DF6" w:rsidRDefault="000F0FFE">
            <w:pPr>
              <w:rPr>
                <w:rFonts w:ascii="Times New Roman" w:eastAsia="Times New Roman" w:hAnsi="Times New Roman" w:cs="Times New Roman"/>
                <w:highlight w:val="white"/>
              </w:rPr>
            </w:pPr>
            <w:r>
              <w:rPr>
                <w:rFonts w:ascii="Times New Roman" w:eastAsia="Times New Roman" w:hAnsi="Times New Roman" w:cs="Times New Roman"/>
                <w:highlight w:val="white"/>
              </w:rPr>
              <w:t>Інші процедури (уточнити)</w:t>
            </w:r>
          </w:p>
          <w:p w14:paraId="11262788" w14:textId="77777777" w:rsidR="000F6DF6" w:rsidRDefault="000F6DF6">
            <w:pPr>
              <w:rPr>
                <w:rFonts w:ascii="Times New Roman" w:eastAsia="Times New Roman" w:hAnsi="Times New Roman" w:cs="Times New Roman"/>
              </w:rPr>
            </w:pPr>
          </w:p>
          <w:p w14:paraId="7FC75528" w14:textId="77777777" w:rsidR="000F6DF6" w:rsidRDefault="000F0FFE">
            <w:pPr>
              <w:widowControl w:val="0"/>
              <w:tabs>
                <w:tab w:val="left" w:pos="1195"/>
                <w:tab w:val="left" w:pos="2774"/>
              </w:tabs>
              <w:jc w:val="both"/>
              <w:rPr>
                <w:rFonts w:ascii="Times New Roman" w:eastAsia="Times New Roman" w:hAnsi="Times New Roman" w:cs="Times New Roman"/>
              </w:rPr>
            </w:pPr>
            <w:r>
              <w:rPr>
                <w:rFonts w:ascii="Times New Roman" w:eastAsia="Times New Roman" w:hAnsi="Times New Roman" w:cs="Times New Roman"/>
              </w:rPr>
              <w:t xml:space="preserve">Витрати, пов’язані з ознайомленням </w:t>
            </w:r>
          </w:p>
          <w:p w14:paraId="1D1AEE0C" w14:textId="77777777" w:rsidR="000F6DF6" w:rsidRDefault="000F0FFE">
            <w:pPr>
              <w:jc w:val="both"/>
              <w:rPr>
                <w:rFonts w:ascii="Times New Roman" w:eastAsia="Times New Roman" w:hAnsi="Times New Roman" w:cs="Times New Roman"/>
              </w:rPr>
            </w:pPr>
            <w:r>
              <w:rPr>
                <w:rFonts w:ascii="Times New Roman" w:eastAsia="Times New Roman" w:hAnsi="Times New Roman" w:cs="Times New Roman"/>
              </w:rPr>
              <w:t>(1 год на ознайомлення з регуляторним актом)</w:t>
            </w:r>
          </w:p>
          <w:p w14:paraId="2D2B086B" w14:textId="77777777" w:rsidR="000F6DF6" w:rsidRDefault="000F6DF6">
            <w:pPr>
              <w:jc w:val="both"/>
              <w:rPr>
                <w:rFonts w:ascii="Times New Roman" w:eastAsia="Times New Roman" w:hAnsi="Times New Roman" w:cs="Times New Roman"/>
              </w:rPr>
            </w:pPr>
          </w:p>
          <w:p w14:paraId="66EEC457" w14:textId="77777777" w:rsidR="000F6DF6" w:rsidRDefault="000F0FFE">
            <w:pPr>
              <w:jc w:val="both"/>
              <w:rPr>
                <w:rFonts w:ascii="Times New Roman" w:eastAsia="Times New Roman" w:hAnsi="Times New Roman" w:cs="Times New Roman"/>
              </w:rPr>
            </w:pPr>
            <w:r>
              <w:rPr>
                <w:rFonts w:ascii="Times New Roman" w:eastAsia="Times New Roman" w:hAnsi="Times New Roman" w:cs="Times New Roman"/>
              </w:rPr>
              <w:t>Витрати, пов’язані зі здійсненням роботи комісій із видачі свідоцтва на право керування тракторами і сільськогосподарською технікою, їх видачу та облік становлять орієнтовно.</w:t>
            </w:r>
          </w:p>
          <w:p w14:paraId="70EF24C7" w14:textId="77777777" w:rsidR="000F6DF6" w:rsidRDefault="000F0FFE">
            <w:pPr>
              <w:rPr>
                <w:rFonts w:ascii="Times New Roman" w:eastAsia="Times New Roman" w:hAnsi="Times New Roman" w:cs="Times New Roman"/>
              </w:rPr>
            </w:pPr>
            <w:r>
              <w:rPr>
                <w:rFonts w:ascii="Times New Roman" w:eastAsia="Times New Roman" w:hAnsi="Times New Roman" w:cs="Times New Roman"/>
              </w:rPr>
              <w:t>Витрати включатимуться до заробітної плати працівників, які здійснюють відповідну діяльність у межах виконання своїх посадових обов’язків.</w:t>
            </w:r>
          </w:p>
          <w:p w14:paraId="2162EB11" w14:textId="77777777" w:rsidR="000F6DF6" w:rsidRDefault="000F6DF6">
            <w:pPr>
              <w:rPr>
                <w:rFonts w:ascii="Times New Roman" w:eastAsia="Times New Roman" w:hAnsi="Times New Roman" w:cs="Times New Roman"/>
              </w:rPr>
            </w:pPr>
          </w:p>
        </w:tc>
        <w:tc>
          <w:tcPr>
            <w:tcW w:w="1660" w:type="dxa"/>
          </w:tcPr>
          <w:p w14:paraId="6AE0BFEB"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p w14:paraId="4B2F84EB" w14:textId="77777777" w:rsidR="000F6DF6" w:rsidRDefault="000F6DF6">
            <w:pPr>
              <w:jc w:val="center"/>
              <w:rPr>
                <w:rFonts w:ascii="Times New Roman" w:eastAsia="Times New Roman" w:hAnsi="Times New Roman" w:cs="Times New Roman"/>
              </w:rPr>
            </w:pPr>
          </w:p>
          <w:p w14:paraId="790B1099" w14:textId="77777777" w:rsidR="000F6DF6" w:rsidRDefault="000F6DF6">
            <w:pPr>
              <w:jc w:val="center"/>
              <w:rPr>
                <w:rFonts w:ascii="Times New Roman" w:eastAsia="Times New Roman" w:hAnsi="Times New Roman" w:cs="Times New Roman"/>
              </w:rPr>
            </w:pPr>
          </w:p>
          <w:p w14:paraId="3888A6A2" w14:textId="77777777" w:rsidR="000F6DF6" w:rsidRDefault="000F6DF6">
            <w:pPr>
              <w:jc w:val="center"/>
              <w:rPr>
                <w:rFonts w:ascii="Times New Roman" w:eastAsia="Times New Roman" w:hAnsi="Times New Roman" w:cs="Times New Roman"/>
              </w:rPr>
            </w:pPr>
          </w:p>
          <w:p w14:paraId="6D6D61CD" w14:textId="77777777" w:rsidR="000F6DF6" w:rsidRDefault="000F6DF6">
            <w:pPr>
              <w:jc w:val="center"/>
              <w:rPr>
                <w:rFonts w:ascii="Times New Roman" w:eastAsia="Times New Roman" w:hAnsi="Times New Roman" w:cs="Times New Roman"/>
              </w:rPr>
            </w:pPr>
          </w:p>
          <w:p w14:paraId="184DE438" w14:textId="77777777" w:rsidR="000F6DF6" w:rsidRDefault="000F6DF6">
            <w:pPr>
              <w:jc w:val="center"/>
              <w:rPr>
                <w:rFonts w:ascii="Times New Roman" w:eastAsia="Times New Roman" w:hAnsi="Times New Roman" w:cs="Times New Roman"/>
              </w:rPr>
            </w:pPr>
          </w:p>
          <w:p w14:paraId="7F38FDCC" w14:textId="77777777" w:rsidR="000F6DF6" w:rsidRDefault="000F6DF6">
            <w:pPr>
              <w:jc w:val="center"/>
              <w:rPr>
                <w:rFonts w:ascii="Times New Roman" w:eastAsia="Times New Roman" w:hAnsi="Times New Roman" w:cs="Times New Roman"/>
              </w:rPr>
            </w:pPr>
          </w:p>
          <w:p w14:paraId="486D89EC" w14:textId="77777777" w:rsidR="000F6DF6" w:rsidRDefault="000F6DF6">
            <w:pPr>
              <w:jc w:val="center"/>
              <w:rPr>
                <w:rFonts w:ascii="Times New Roman" w:eastAsia="Times New Roman" w:hAnsi="Times New Roman" w:cs="Times New Roman"/>
              </w:rPr>
            </w:pPr>
          </w:p>
          <w:p w14:paraId="2D5104AB" w14:textId="77777777" w:rsidR="000F6DF6" w:rsidRDefault="000F6DF6">
            <w:pPr>
              <w:jc w:val="center"/>
              <w:rPr>
                <w:rFonts w:ascii="Times New Roman" w:eastAsia="Times New Roman" w:hAnsi="Times New Roman" w:cs="Times New Roman"/>
              </w:rPr>
            </w:pPr>
          </w:p>
        </w:tc>
        <w:tc>
          <w:tcPr>
            <w:tcW w:w="1523" w:type="dxa"/>
          </w:tcPr>
          <w:p w14:paraId="182CD71C"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372" w:type="dxa"/>
          </w:tcPr>
          <w:p w14:paraId="0B450F7D"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0F8D0B2B" w14:textId="77777777">
        <w:trPr>
          <w:trHeight w:val="38"/>
          <w:jc w:val="center"/>
        </w:trPr>
        <w:tc>
          <w:tcPr>
            <w:tcW w:w="1393" w:type="dxa"/>
          </w:tcPr>
          <w:p w14:paraId="24CC8390"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14</w:t>
            </w:r>
          </w:p>
        </w:tc>
        <w:tc>
          <w:tcPr>
            <w:tcW w:w="3161" w:type="dxa"/>
          </w:tcPr>
          <w:p w14:paraId="54DFF710" w14:textId="77777777" w:rsidR="000F6DF6" w:rsidRDefault="000F0FFE">
            <w:pPr>
              <w:rPr>
                <w:rFonts w:ascii="Times New Roman" w:eastAsia="Times New Roman" w:hAnsi="Times New Roman" w:cs="Times New Roman"/>
              </w:rPr>
            </w:pPr>
            <w:r>
              <w:rPr>
                <w:rFonts w:ascii="Times New Roman" w:eastAsia="Times New Roman" w:hAnsi="Times New Roman" w:cs="Times New Roman"/>
                <w:highlight w:val="white"/>
              </w:rPr>
              <w:t>Разом (сума рядків 9+10+11+12+13), гривень</w:t>
            </w:r>
          </w:p>
        </w:tc>
        <w:tc>
          <w:tcPr>
            <w:tcW w:w="1660" w:type="dxa"/>
          </w:tcPr>
          <w:p w14:paraId="2F161328"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523" w:type="dxa"/>
          </w:tcPr>
          <w:p w14:paraId="7CE9A00C"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372" w:type="dxa"/>
          </w:tcPr>
          <w:p w14:paraId="29ADE73E"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77DC0FD3" w14:textId="77777777">
        <w:trPr>
          <w:trHeight w:val="38"/>
          <w:jc w:val="center"/>
        </w:trPr>
        <w:tc>
          <w:tcPr>
            <w:tcW w:w="1393" w:type="dxa"/>
          </w:tcPr>
          <w:p w14:paraId="30F23BB3"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15</w:t>
            </w:r>
          </w:p>
        </w:tc>
        <w:tc>
          <w:tcPr>
            <w:tcW w:w="3161" w:type="dxa"/>
          </w:tcPr>
          <w:p w14:paraId="57E91C04" w14:textId="77777777" w:rsidR="000F6DF6" w:rsidRDefault="000F0FFE">
            <w:pPr>
              <w:rPr>
                <w:rFonts w:ascii="Times New Roman" w:eastAsia="Times New Roman" w:hAnsi="Times New Roman" w:cs="Times New Roman"/>
              </w:rPr>
            </w:pPr>
            <w:r>
              <w:rPr>
                <w:rFonts w:ascii="Times New Roman" w:eastAsia="Times New Roman" w:hAnsi="Times New Roman" w:cs="Times New Roman"/>
              </w:rPr>
              <w:t>Кількість суб’єктів малого підприємництва, що повинні виконати вимоги регулювання, одиниць</w:t>
            </w:r>
          </w:p>
        </w:tc>
        <w:tc>
          <w:tcPr>
            <w:tcW w:w="1660" w:type="dxa"/>
          </w:tcPr>
          <w:p w14:paraId="24E4A510"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33</w:t>
            </w:r>
          </w:p>
        </w:tc>
        <w:tc>
          <w:tcPr>
            <w:tcW w:w="1523" w:type="dxa"/>
          </w:tcPr>
          <w:p w14:paraId="729D27F5"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33</w:t>
            </w:r>
          </w:p>
        </w:tc>
        <w:tc>
          <w:tcPr>
            <w:tcW w:w="1372" w:type="dxa"/>
          </w:tcPr>
          <w:p w14:paraId="1212D758"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33</w:t>
            </w:r>
          </w:p>
        </w:tc>
      </w:tr>
      <w:tr w:rsidR="000F6DF6" w14:paraId="405553F3" w14:textId="77777777">
        <w:trPr>
          <w:jc w:val="center"/>
        </w:trPr>
        <w:tc>
          <w:tcPr>
            <w:tcW w:w="1393" w:type="dxa"/>
          </w:tcPr>
          <w:p w14:paraId="50580F15"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16</w:t>
            </w:r>
          </w:p>
        </w:tc>
        <w:tc>
          <w:tcPr>
            <w:tcW w:w="3161" w:type="dxa"/>
          </w:tcPr>
          <w:p w14:paraId="5D47752A" w14:textId="77777777" w:rsidR="000F6DF6" w:rsidRDefault="000F0FFE">
            <w:pPr>
              <w:rPr>
                <w:rFonts w:ascii="Times New Roman" w:eastAsia="Times New Roman" w:hAnsi="Times New Roman" w:cs="Times New Roman"/>
                <w:highlight w:val="yellow"/>
              </w:rPr>
            </w:pPr>
            <w:r>
              <w:rPr>
                <w:rFonts w:ascii="Times New Roman" w:eastAsia="Times New Roman" w:hAnsi="Times New Roman" w:cs="Times New Roman"/>
              </w:rPr>
              <w:t>Сумарно (рядок 14×15), гривень</w:t>
            </w:r>
          </w:p>
        </w:tc>
        <w:tc>
          <w:tcPr>
            <w:tcW w:w="1660" w:type="dxa"/>
            <w:vAlign w:val="center"/>
          </w:tcPr>
          <w:p w14:paraId="1966B29D"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523" w:type="dxa"/>
            <w:vAlign w:val="center"/>
          </w:tcPr>
          <w:p w14:paraId="13DEE929"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372" w:type="dxa"/>
            <w:vAlign w:val="center"/>
          </w:tcPr>
          <w:p w14:paraId="69A37F3E" w14:textId="77777777" w:rsidR="000F6DF6" w:rsidRDefault="000F0FFE">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14:paraId="248276BB" w14:textId="77777777" w:rsidR="000F6DF6" w:rsidRDefault="000F6DF6">
      <w:pPr>
        <w:jc w:val="center"/>
        <w:rPr>
          <w:rFonts w:ascii="Times New Roman" w:eastAsia="Times New Roman" w:hAnsi="Times New Roman" w:cs="Times New Roman"/>
          <w:b/>
          <w:bCs/>
          <w:sz w:val="28"/>
          <w:szCs w:val="28"/>
        </w:rPr>
      </w:pPr>
    </w:p>
    <w:p w14:paraId="3C11BB86" w14:textId="77777777" w:rsidR="000F6DF6" w:rsidRDefault="000F0FFE">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Бюджетні витрати на адміністрування регулювання суб’єктів малого підприємництва</w:t>
      </w:r>
    </w:p>
    <w:p w14:paraId="0F53EA7C" w14:textId="77777777" w:rsidR="000F6DF6" w:rsidRDefault="000F0FFE">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Розрахунок бюджетних витрат на адміністрування регулювання здійснюється окремо для кожного відповідного органу державної влади чи органу місцевого самоврядування, що залучений до процесу регулювання.</w:t>
      </w:r>
    </w:p>
    <w:p w14:paraId="2157529E" w14:textId="660AC8A6" w:rsidR="000F6DF6" w:rsidRDefault="000F0FFE">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Державний орган, для якого здійснюється розрахунок вартості адміністрування регулювання:</w:t>
      </w:r>
    </w:p>
    <w:p w14:paraId="46C07C38" w14:textId="77777777" w:rsidR="000F0FFE" w:rsidRDefault="000F0FFE">
      <w:pPr>
        <w:ind w:firstLine="709"/>
        <w:jc w:val="both"/>
        <w:rPr>
          <w:rFonts w:ascii="Times New Roman" w:eastAsia="Times New Roman" w:hAnsi="Times New Roman" w:cs="Times New Roman"/>
          <w:sz w:val="28"/>
          <w:szCs w:val="28"/>
        </w:rPr>
      </w:pPr>
    </w:p>
    <w:p w14:paraId="2E093A63" w14:textId="77777777" w:rsidR="000F6DF6" w:rsidRDefault="000F0FFE">
      <w:pPr>
        <w:jc w:val="center"/>
        <w:rPr>
          <w:rFonts w:ascii="Times New Roman" w:eastAsia="Times New Roman" w:hAnsi="Times New Roman" w:cs="Times New Roman"/>
          <w:sz w:val="16"/>
          <w:szCs w:val="16"/>
        </w:rPr>
      </w:pPr>
      <w:r>
        <w:rPr>
          <w:rFonts w:ascii="Times New Roman" w:eastAsia="Times New Roman" w:hAnsi="Times New Roman" w:cs="Times New Roman"/>
          <w:sz w:val="28"/>
          <w:szCs w:val="28"/>
        </w:rPr>
        <w:lastRenderedPageBreak/>
        <w:t xml:space="preserve">Міністерство освіти і науки України </w:t>
      </w:r>
    </w:p>
    <w:tbl>
      <w:tblPr>
        <w:tblStyle w:val="afff0"/>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5"/>
        <w:gridCol w:w="1045"/>
        <w:gridCol w:w="1645"/>
        <w:gridCol w:w="1451"/>
        <w:gridCol w:w="1548"/>
        <w:gridCol w:w="1668"/>
      </w:tblGrid>
      <w:tr w:rsidR="000F6DF6" w14:paraId="7698A4DC" w14:textId="77777777">
        <w:tc>
          <w:tcPr>
            <w:tcW w:w="1965" w:type="dxa"/>
          </w:tcPr>
          <w:p w14:paraId="3311AA47"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 xml:space="preserve">Процедура регулювання суб’єктів малого підприємництва (розрахунок на одного типового суб’єкта господарювання малого підприємництва - за потреби окремо для суб’єктів малого та </w:t>
            </w:r>
            <w:proofErr w:type="spellStart"/>
            <w:r>
              <w:rPr>
                <w:rFonts w:ascii="Times New Roman" w:eastAsia="Times New Roman" w:hAnsi="Times New Roman" w:cs="Times New Roman"/>
              </w:rPr>
              <w:t>мікропідпри-ємництва</w:t>
            </w:r>
            <w:proofErr w:type="spellEnd"/>
            <w:r>
              <w:rPr>
                <w:rFonts w:ascii="Times New Roman" w:eastAsia="Times New Roman" w:hAnsi="Times New Roman" w:cs="Times New Roman"/>
              </w:rPr>
              <w:t>)</w:t>
            </w:r>
          </w:p>
        </w:tc>
        <w:tc>
          <w:tcPr>
            <w:tcW w:w="1045" w:type="dxa"/>
          </w:tcPr>
          <w:p w14:paraId="47BE361E"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Планові витрати часу на процедуру</w:t>
            </w:r>
          </w:p>
        </w:tc>
        <w:tc>
          <w:tcPr>
            <w:tcW w:w="1645" w:type="dxa"/>
          </w:tcPr>
          <w:p w14:paraId="672EEBF2"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Вартість часу співробітника органу державної влади відповідної категорії (заробітна плата)</w:t>
            </w:r>
          </w:p>
        </w:tc>
        <w:tc>
          <w:tcPr>
            <w:tcW w:w="1451" w:type="dxa"/>
          </w:tcPr>
          <w:p w14:paraId="0E1E94F5"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Оцінка кількості процедур за рік, що припадають на одного суб’єкта</w:t>
            </w:r>
          </w:p>
        </w:tc>
        <w:tc>
          <w:tcPr>
            <w:tcW w:w="1548" w:type="dxa"/>
          </w:tcPr>
          <w:p w14:paraId="46454003"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Оцінка кількості суб’єктів, що підпадають під дію процедури регулювання</w:t>
            </w:r>
          </w:p>
        </w:tc>
        <w:tc>
          <w:tcPr>
            <w:tcW w:w="1668" w:type="dxa"/>
          </w:tcPr>
          <w:p w14:paraId="69B59817"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Витрати на адміністрування регулювання* (за рік), гривень</w:t>
            </w:r>
          </w:p>
        </w:tc>
      </w:tr>
      <w:tr w:rsidR="000F6DF6" w14:paraId="2E561C33" w14:textId="77777777">
        <w:trPr>
          <w:trHeight w:val="556"/>
        </w:trPr>
        <w:tc>
          <w:tcPr>
            <w:tcW w:w="1965" w:type="dxa"/>
          </w:tcPr>
          <w:p w14:paraId="58F98B73" w14:textId="77777777" w:rsidR="000F6DF6" w:rsidRDefault="000F0FFE">
            <w:pPr>
              <w:rPr>
                <w:rFonts w:ascii="Times New Roman" w:eastAsia="Times New Roman" w:hAnsi="Times New Roman" w:cs="Times New Roman"/>
              </w:rPr>
            </w:pPr>
            <w:r>
              <w:rPr>
                <w:rFonts w:ascii="Times New Roman" w:eastAsia="Times New Roman" w:hAnsi="Times New Roman" w:cs="Times New Roman"/>
              </w:rPr>
              <w:t>1. Облік суб’єкта господарювання, що перебуває у сфері регулювання</w:t>
            </w:r>
          </w:p>
        </w:tc>
        <w:tc>
          <w:tcPr>
            <w:tcW w:w="1045" w:type="dxa"/>
          </w:tcPr>
          <w:p w14:paraId="78679A9C"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645" w:type="dxa"/>
          </w:tcPr>
          <w:p w14:paraId="39A338BA"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451" w:type="dxa"/>
          </w:tcPr>
          <w:p w14:paraId="45C3FA55"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548" w:type="dxa"/>
          </w:tcPr>
          <w:p w14:paraId="0A6762A7"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668" w:type="dxa"/>
          </w:tcPr>
          <w:p w14:paraId="3B4056FE"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52260403" w14:textId="77777777">
        <w:tc>
          <w:tcPr>
            <w:tcW w:w="1965" w:type="dxa"/>
          </w:tcPr>
          <w:p w14:paraId="3884A6C5" w14:textId="77777777" w:rsidR="000F6DF6" w:rsidRDefault="000F0FFE">
            <w:pPr>
              <w:rPr>
                <w:rFonts w:ascii="Times New Roman" w:eastAsia="Times New Roman" w:hAnsi="Times New Roman" w:cs="Times New Roman"/>
              </w:rPr>
            </w:pPr>
            <w:r>
              <w:rPr>
                <w:rFonts w:ascii="Times New Roman" w:eastAsia="Times New Roman" w:hAnsi="Times New Roman" w:cs="Times New Roman"/>
              </w:rPr>
              <w:t>2. Поточний контроль за суб’єктом господарювання, що перебуває у сфері регулювання, у тому числі:</w:t>
            </w:r>
          </w:p>
        </w:tc>
        <w:tc>
          <w:tcPr>
            <w:tcW w:w="1045" w:type="dxa"/>
          </w:tcPr>
          <w:p w14:paraId="53FEB007"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645" w:type="dxa"/>
          </w:tcPr>
          <w:p w14:paraId="6CB3DBED"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451" w:type="dxa"/>
          </w:tcPr>
          <w:p w14:paraId="4B08F5B4"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548" w:type="dxa"/>
          </w:tcPr>
          <w:p w14:paraId="31C6D5BB"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668" w:type="dxa"/>
          </w:tcPr>
          <w:p w14:paraId="34022A85"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4BCA5724" w14:textId="77777777">
        <w:tc>
          <w:tcPr>
            <w:tcW w:w="1965" w:type="dxa"/>
          </w:tcPr>
          <w:p w14:paraId="1774BCD0" w14:textId="77777777" w:rsidR="000F6DF6" w:rsidRDefault="000F0FFE">
            <w:pPr>
              <w:rPr>
                <w:rFonts w:ascii="Times New Roman" w:eastAsia="Times New Roman" w:hAnsi="Times New Roman" w:cs="Times New Roman"/>
              </w:rPr>
            </w:pPr>
            <w:r>
              <w:rPr>
                <w:rFonts w:ascii="Times New Roman" w:eastAsia="Times New Roman" w:hAnsi="Times New Roman" w:cs="Times New Roman"/>
              </w:rPr>
              <w:t>камеральні</w:t>
            </w:r>
          </w:p>
        </w:tc>
        <w:tc>
          <w:tcPr>
            <w:tcW w:w="1045" w:type="dxa"/>
          </w:tcPr>
          <w:p w14:paraId="747C233E"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645" w:type="dxa"/>
          </w:tcPr>
          <w:p w14:paraId="5960FDC1"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451" w:type="dxa"/>
          </w:tcPr>
          <w:p w14:paraId="78F3B53E"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548" w:type="dxa"/>
          </w:tcPr>
          <w:p w14:paraId="387D0D73"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668" w:type="dxa"/>
          </w:tcPr>
          <w:p w14:paraId="3079CD6B"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2566F94E" w14:textId="77777777">
        <w:tc>
          <w:tcPr>
            <w:tcW w:w="1965" w:type="dxa"/>
          </w:tcPr>
          <w:p w14:paraId="2C7DCEAE" w14:textId="77777777" w:rsidR="000F6DF6" w:rsidRDefault="000F0FFE">
            <w:pPr>
              <w:rPr>
                <w:rFonts w:ascii="Times New Roman" w:eastAsia="Times New Roman" w:hAnsi="Times New Roman" w:cs="Times New Roman"/>
              </w:rPr>
            </w:pPr>
            <w:r>
              <w:rPr>
                <w:rFonts w:ascii="Times New Roman" w:eastAsia="Times New Roman" w:hAnsi="Times New Roman" w:cs="Times New Roman"/>
              </w:rPr>
              <w:t>виїзні</w:t>
            </w:r>
          </w:p>
        </w:tc>
        <w:tc>
          <w:tcPr>
            <w:tcW w:w="1045" w:type="dxa"/>
          </w:tcPr>
          <w:p w14:paraId="716EB170"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645" w:type="dxa"/>
          </w:tcPr>
          <w:p w14:paraId="3E9A19C9"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451" w:type="dxa"/>
          </w:tcPr>
          <w:p w14:paraId="38DC16DA"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548" w:type="dxa"/>
          </w:tcPr>
          <w:p w14:paraId="6E657312"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668" w:type="dxa"/>
          </w:tcPr>
          <w:p w14:paraId="44FC7D7D"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406F0B1A" w14:textId="77777777">
        <w:tc>
          <w:tcPr>
            <w:tcW w:w="1965" w:type="dxa"/>
          </w:tcPr>
          <w:p w14:paraId="7A76F774" w14:textId="77777777" w:rsidR="000F6DF6" w:rsidRDefault="000F0FFE">
            <w:pPr>
              <w:rPr>
                <w:rFonts w:ascii="Times New Roman" w:eastAsia="Times New Roman" w:hAnsi="Times New Roman" w:cs="Times New Roman"/>
              </w:rPr>
            </w:pPr>
            <w:r>
              <w:rPr>
                <w:rFonts w:ascii="Times New Roman" w:eastAsia="Times New Roman" w:hAnsi="Times New Roman" w:cs="Times New Roman"/>
              </w:rPr>
              <w:t>3. Підготовка, затвердження та опрацювання одного окремого акта про порушення вимог регулювання</w:t>
            </w:r>
          </w:p>
        </w:tc>
        <w:tc>
          <w:tcPr>
            <w:tcW w:w="1045" w:type="dxa"/>
          </w:tcPr>
          <w:p w14:paraId="41002057"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645" w:type="dxa"/>
          </w:tcPr>
          <w:p w14:paraId="3CE5858B"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451" w:type="dxa"/>
          </w:tcPr>
          <w:p w14:paraId="4C40FA77"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548" w:type="dxa"/>
          </w:tcPr>
          <w:p w14:paraId="73D58051"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1668" w:type="dxa"/>
          </w:tcPr>
          <w:p w14:paraId="60A8A281"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r>
      <w:tr w:rsidR="000F6DF6" w14:paraId="7D51E514" w14:textId="77777777">
        <w:tc>
          <w:tcPr>
            <w:tcW w:w="1965" w:type="dxa"/>
          </w:tcPr>
          <w:p w14:paraId="7F09AEEC" w14:textId="77777777" w:rsidR="000F6DF6" w:rsidRDefault="000F0FFE">
            <w:pPr>
              <w:rPr>
                <w:rFonts w:ascii="Times New Roman" w:eastAsia="Times New Roman" w:hAnsi="Times New Roman" w:cs="Times New Roman"/>
              </w:rPr>
            </w:pPr>
            <w:r>
              <w:rPr>
                <w:rFonts w:ascii="Times New Roman" w:eastAsia="Times New Roman" w:hAnsi="Times New Roman" w:cs="Times New Roman"/>
              </w:rPr>
              <w:t xml:space="preserve">4. Реалізація одного окремого рішення щодо </w:t>
            </w:r>
            <w:r>
              <w:rPr>
                <w:rFonts w:ascii="Times New Roman" w:eastAsia="Times New Roman" w:hAnsi="Times New Roman" w:cs="Times New Roman"/>
              </w:rPr>
              <w:lastRenderedPageBreak/>
              <w:t>порушення вимог регулювання</w:t>
            </w:r>
          </w:p>
        </w:tc>
        <w:tc>
          <w:tcPr>
            <w:tcW w:w="1045" w:type="dxa"/>
          </w:tcPr>
          <w:p w14:paraId="318882B4"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lastRenderedPageBreak/>
              <w:t>- </w:t>
            </w:r>
          </w:p>
        </w:tc>
        <w:tc>
          <w:tcPr>
            <w:tcW w:w="1645" w:type="dxa"/>
          </w:tcPr>
          <w:p w14:paraId="5D0B0DAE"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 -</w:t>
            </w:r>
          </w:p>
        </w:tc>
        <w:tc>
          <w:tcPr>
            <w:tcW w:w="1451" w:type="dxa"/>
          </w:tcPr>
          <w:p w14:paraId="0C18A155"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 -</w:t>
            </w:r>
          </w:p>
        </w:tc>
        <w:tc>
          <w:tcPr>
            <w:tcW w:w="1548" w:type="dxa"/>
          </w:tcPr>
          <w:p w14:paraId="27F1FA8B"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 -</w:t>
            </w:r>
          </w:p>
        </w:tc>
        <w:tc>
          <w:tcPr>
            <w:tcW w:w="1668" w:type="dxa"/>
          </w:tcPr>
          <w:p w14:paraId="092576F9"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 </w:t>
            </w:r>
          </w:p>
        </w:tc>
      </w:tr>
      <w:tr w:rsidR="000F6DF6" w14:paraId="33E3D237" w14:textId="77777777">
        <w:tc>
          <w:tcPr>
            <w:tcW w:w="1965" w:type="dxa"/>
          </w:tcPr>
          <w:p w14:paraId="49CE1A10" w14:textId="77777777" w:rsidR="000F6DF6" w:rsidRDefault="000F0FFE">
            <w:pPr>
              <w:rPr>
                <w:rFonts w:ascii="Times New Roman" w:eastAsia="Times New Roman" w:hAnsi="Times New Roman" w:cs="Times New Roman"/>
              </w:rPr>
            </w:pPr>
            <w:r>
              <w:rPr>
                <w:rFonts w:ascii="Times New Roman" w:eastAsia="Times New Roman" w:hAnsi="Times New Roman" w:cs="Times New Roman"/>
              </w:rPr>
              <w:t>5. Оскарження одного окремого рішення суб’єктами господарювання</w:t>
            </w:r>
          </w:p>
        </w:tc>
        <w:tc>
          <w:tcPr>
            <w:tcW w:w="1045" w:type="dxa"/>
          </w:tcPr>
          <w:p w14:paraId="02CAC3F0"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 -</w:t>
            </w:r>
          </w:p>
        </w:tc>
        <w:tc>
          <w:tcPr>
            <w:tcW w:w="1645" w:type="dxa"/>
          </w:tcPr>
          <w:p w14:paraId="37CB85C9"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 -</w:t>
            </w:r>
          </w:p>
        </w:tc>
        <w:tc>
          <w:tcPr>
            <w:tcW w:w="1451" w:type="dxa"/>
          </w:tcPr>
          <w:p w14:paraId="15D84152"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 -</w:t>
            </w:r>
          </w:p>
        </w:tc>
        <w:tc>
          <w:tcPr>
            <w:tcW w:w="1548" w:type="dxa"/>
          </w:tcPr>
          <w:p w14:paraId="244EB458"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 -</w:t>
            </w:r>
          </w:p>
        </w:tc>
        <w:tc>
          <w:tcPr>
            <w:tcW w:w="1668" w:type="dxa"/>
          </w:tcPr>
          <w:p w14:paraId="7A69475E"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 -</w:t>
            </w:r>
          </w:p>
        </w:tc>
      </w:tr>
      <w:tr w:rsidR="000F6DF6" w14:paraId="45E2BD7A" w14:textId="77777777">
        <w:tc>
          <w:tcPr>
            <w:tcW w:w="1965" w:type="dxa"/>
          </w:tcPr>
          <w:p w14:paraId="46046591" w14:textId="77777777" w:rsidR="000F6DF6" w:rsidRDefault="000F0FFE">
            <w:pPr>
              <w:rPr>
                <w:rFonts w:ascii="Times New Roman" w:eastAsia="Times New Roman" w:hAnsi="Times New Roman" w:cs="Times New Roman"/>
              </w:rPr>
            </w:pPr>
            <w:r>
              <w:rPr>
                <w:rFonts w:ascii="Times New Roman" w:eastAsia="Times New Roman" w:hAnsi="Times New Roman" w:cs="Times New Roman"/>
              </w:rPr>
              <w:t>6. Підготовка звітності за результатами регулювання</w:t>
            </w:r>
          </w:p>
        </w:tc>
        <w:tc>
          <w:tcPr>
            <w:tcW w:w="1045" w:type="dxa"/>
          </w:tcPr>
          <w:p w14:paraId="31B9407F"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 -</w:t>
            </w:r>
          </w:p>
        </w:tc>
        <w:tc>
          <w:tcPr>
            <w:tcW w:w="1645" w:type="dxa"/>
          </w:tcPr>
          <w:p w14:paraId="2AEC134B"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 -</w:t>
            </w:r>
          </w:p>
        </w:tc>
        <w:tc>
          <w:tcPr>
            <w:tcW w:w="1451" w:type="dxa"/>
          </w:tcPr>
          <w:p w14:paraId="3DACDED7"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 -</w:t>
            </w:r>
          </w:p>
        </w:tc>
        <w:tc>
          <w:tcPr>
            <w:tcW w:w="1548" w:type="dxa"/>
          </w:tcPr>
          <w:p w14:paraId="2BEDB998"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 -</w:t>
            </w:r>
          </w:p>
        </w:tc>
        <w:tc>
          <w:tcPr>
            <w:tcW w:w="1668" w:type="dxa"/>
          </w:tcPr>
          <w:p w14:paraId="59F5CDBD"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 -</w:t>
            </w:r>
          </w:p>
        </w:tc>
      </w:tr>
      <w:tr w:rsidR="000F6DF6" w14:paraId="1ADAF92D" w14:textId="77777777">
        <w:tc>
          <w:tcPr>
            <w:tcW w:w="1965" w:type="dxa"/>
          </w:tcPr>
          <w:p w14:paraId="268BC7CA" w14:textId="77777777" w:rsidR="000F6DF6" w:rsidRDefault="000F0FFE">
            <w:pPr>
              <w:rPr>
                <w:rFonts w:ascii="Times New Roman" w:eastAsia="Times New Roman" w:hAnsi="Times New Roman" w:cs="Times New Roman"/>
              </w:rPr>
            </w:pPr>
            <w:r>
              <w:rPr>
                <w:rFonts w:ascii="Times New Roman" w:eastAsia="Times New Roman" w:hAnsi="Times New Roman" w:cs="Times New Roman"/>
              </w:rPr>
              <w:t>7. Інші адміністративні процедури (ознайомлення суб’єктів господарювання із вимогами регулювання)</w:t>
            </w:r>
          </w:p>
        </w:tc>
        <w:tc>
          <w:tcPr>
            <w:tcW w:w="1045" w:type="dxa"/>
          </w:tcPr>
          <w:p w14:paraId="5B7C5B62"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1</w:t>
            </w:r>
          </w:p>
        </w:tc>
        <w:tc>
          <w:tcPr>
            <w:tcW w:w="1645" w:type="dxa"/>
          </w:tcPr>
          <w:p w14:paraId="4CCAB7FC"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176, 15</w:t>
            </w:r>
          </w:p>
        </w:tc>
        <w:tc>
          <w:tcPr>
            <w:tcW w:w="1451" w:type="dxa"/>
          </w:tcPr>
          <w:p w14:paraId="18012247"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10, 675757</w:t>
            </w:r>
          </w:p>
          <w:p w14:paraId="7E8CCE90"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(1 спільна онлайн нарада + 1 публікація для всіх суб’єктів)</w:t>
            </w:r>
          </w:p>
        </w:tc>
        <w:tc>
          <w:tcPr>
            <w:tcW w:w="1548" w:type="dxa"/>
          </w:tcPr>
          <w:p w14:paraId="7ADD632B"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33</w:t>
            </w:r>
          </w:p>
        </w:tc>
        <w:tc>
          <w:tcPr>
            <w:tcW w:w="1668" w:type="dxa"/>
          </w:tcPr>
          <w:p w14:paraId="1A326860"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352,30</w:t>
            </w:r>
          </w:p>
        </w:tc>
      </w:tr>
      <w:tr w:rsidR="000F6DF6" w14:paraId="15B46D27" w14:textId="77777777">
        <w:tc>
          <w:tcPr>
            <w:tcW w:w="1965" w:type="dxa"/>
          </w:tcPr>
          <w:p w14:paraId="5D960611" w14:textId="77777777" w:rsidR="000F6DF6" w:rsidRDefault="000F0FFE">
            <w:pPr>
              <w:rPr>
                <w:rFonts w:ascii="Times New Roman" w:eastAsia="Times New Roman" w:hAnsi="Times New Roman" w:cs="Times New Roman"/>
              </w:rPr>
            </w:pPr>
            <w:r>
              <w:rPr>
                <w:rFonts w:ascii="Times New Roman" w:eastAsia="Times New Roman" w:hAnsi="Times New Roman" w:cs="Times New Roman"/>
              </w:rPr>
              <w:t>Разом за рік</w:t>
            </w:r>
          </w:p>
        </w:tc>
        <w:tc>
          <w:tcPr>
            <w:tcW w:w="1045" w:type="dxa"/>
          </w:tcPr>
          <w:p w14:paraId="5F73A865"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1</w:t>
            </w:r>
          </w:p>
        </w:tc>
        <w:tc>
          <w:tcPr>
            <w:tcW w:w="1645" w:type="dxa"/>
          </w:tcPr>
          <w:p w14:paraId="73100BF2"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176, 15</w:t>
            </w:r>
          </w:p>
        </w:tc>
        <w:tc>
          <w:tcPr>
            <w:tcW w:w="1451" w:type="dxa"/>
          </w:tcPr>
          <w:p w14:paraId="49A73A46"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10, 675757</w:t>
            </w:r>
          </w:p>
        </w:tc>
        <w:tc>
          <w:tcPr>
            <w:tcW w:w="1548" w:type="dxa"/>
          </w:tcPr>
          <w:p w14:paraId="2F7376E8"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33</w:t>
            </w:r>
          </w:p>
        </w:tc>
        <w:tc>
          <w:tcPr>
            <w:tcW w:w="1668" w:type="dxa"/>
          </w:tcPr>
          <w:p w14:paraId="7BA57633"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352,30</w:t>
            </w:r>
          </w:p>
        </w:tc>
      </w:tr>
      <w:tr w:rsidR="000F6DF6" w14:paraId="3008D233" w14:textId="77777777">
        <w:tc>
          <w:tcPr>
            <w:tcW w:w="1965" w:type="dxa"/>
          </w:tcPr>
          <w:p w14:paraId="45CC36ED" w14:textId="77777777" w:rsidR="000F6DF6" w:rsidRDefault="000F0FFE">
            <w:pPr>
              <w:rPr>
                <w:rFonts w:ascii="Times New Roman" w:eastAsia="Times New Roman" w:hAnsi="Times New Roman" w:cs="Times New Roman"/>
              </w:rPr>
            </w:pPr>
            <w:r>
              <w:rPr>
                <w:rFonts w:ascii="Times New Roman" w:eastAsia="Times New Roman" w:hAnsi="Times New Roman" w:cs="Times New Roman"/>
              </w:rPr>
              <w:t>Разом за 5 років</w:t>
            </w:r>
          </w:p>
        </w:tc>
        <w:tc>
          <w:tcPr>
            <w:tcW w:w="1045" w:type="dxa"/>
          </w:tcPr>
          <w:p w14:paraId="4664000F"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1</w:t>
            </w:r>
          </w:p>
        </w:tc>
        <w:tc>
          <w:tcPr>
            <w:tcW w:w="1645" w:type="dxa"/>
          </w:tcPr>
          <w:p w14:paraId="056310C0"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176, 15</w:t>
            </w:r>
          </w:p>
        </w:tc>
        <w:tc>
          <w:tcPr>
            <w:tcW w:w="1451" w:type="dxa"/>
          </w:tcPr>
          <w:p w14:paraId="44864C4C"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2</w:t>
            </w:r>
          </w:p>
        </w:tc>
        <w:tc>
          <w:tcPr>
            <w:tcW w:w="1548" w:type="dxa"/>
          </w:tcPr>
          <w:p w14:paraId="6F29E270"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33</w:t>
            </w:r>
          </w:p>
        </w:tc>
        <w:tc>
          <w:tcPr>
            <w:tcW w:w="1668" w:type="dxa"/>
          </w:tcPr>
          <w:p w14:paraId="34E0D2EE"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352,30</w:t>
            </w:r>
          </w:p>
        </w:tc>
      </w:tr>
    </w:tbl>
    <w:p w14:paraId="5D74AAEB" w14:textId="77777777" w:rsidR="000F6DF6" w:rsidRDefault="000F6DF6">
      <w:pPr>
        <w:jc w:val="both"/>
        <w:rPr>
          <w:rFonts w:ascii="Times New Roman" w:eastAsia="Times New Roman" w:hAnsi="Times New Roman" w:cs="Times New Roman"/>
          <w:sz w:val="28"/>
          <w:szCs w:val="28"/>
          <w:highlight w:val="yellow"/>
        </w:rPr>
      </w:pPr>
    </w:p>
    <w:p w14:paraId="5FCDE2A5" w14:textId="77777777" w:rsidR="000F6DF6" w:rsidRDefault="000F0FFE">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Розрахунок сумарних витрат суб’єктів малого підприємництва, що виникають на виконання вимог регулювання</w:t>
      </w:r>
    </w:p>
    <w:tbl>
      <w:tblPr>
        <w:tblStyle w:val="afff1"/>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
        <w:gridCol w:w="4236"/>
        <w:gridCol w:w="2309"/>
        <w:gridCol w:w="2208"/>
      </w:tblGrid>
      <w:tr w:rsidR="000F6DF6" w14:paraId="2B48669E" w14:textId="77777777">
        <w:tc>
          <w:tcPr>
            <w:tcW w:w="591" w:type="dxa"/>
            <w:tcBorders>
              <w:top w:val="single" w:sz="4" w:space="0" w:color="000000"/>
              <w:left w:val="single" w:sz="4" w:space="0" w:color="000000"/>
              <w:bottom w:val="single" w:sz="4" w:space="0" w:color="000000"/>
              <w:right w:val="single" w:sz="4" w:space="0" w:color="000000"/>
            </w:tcBorders>
          </w:tcPr>
          <w:p w14:paraId="787CB5A5"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 п/п</w:t>
            </w:r>
          </w:p>
        </w:tc>
        <w:tc>
          <w:tcPr>
            <w:tcW w:w="4236" w:type="dxa"/>
            <w:tcBorders>
              <w:top w:val="single" w:sz="4" w:space="0" w:color="000000"/>
              <w:left w:val="single" w:sz="4" w:space="0" w:color="000000"/>
              <w:bottom w:val="single" w:sz="4" w:space="0" w:color="000000"/>
              <w:right w:val="single" w:sz="4" w:space="0" w:color="000000"/>
            </w:tcBorders>
          </w:tcPr>
          <w:p w14:paraId="635175BF"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Показник</w:t>
            </w:r>
          </w:p>
        </w:tc>
        <w:tc>
          <w:tcPr>
            <w:tcW w:w="2309" w:type="dxa"/>
            <w:tcBorders>
              <w:top w:val="single" w:sz="4" w:space="0" w:color="000000"/>
              <w:left w:val="single" w:sz="4" w:space="0" w:color="000000"/>
              <w:bottom w:val="single" w:sz="4" w:space="0" w:color="000000"/>
              <w:right w:val="single" w:sz="4" w:space="0" w:color="000000"/>
            </w:tcBorders>
          </w:tcPr>
          <w:p w14:paraId="471F1580"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Перший рік регулювання (стартовий)</w:t>
            </w:r>
          </w:p>
        </w:tc>
        <w:tc>
          <w:tcPr>
            <w:tcW w:w="2208" w:type="dxa"/>
            <w:tcBorders>
              <w:top w:val="single" w:sz="4" w:space="0" w:color="000000"/>
              <w:left w:val="single" w:sz="4" w:space="0" w:color="000000"/>
              <w:bottom w:val="single" w:sz="4" w:space="0" w:color="000000"/>
              <w:right w:val="single" w:sz="4" w:space="0" w:color="000000"/>
            </w:tcBorders>
          </w:tcPr>
          <w:p w14:paraId="0E88A5AC"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За п’ять років</w:t>
            </w:r>
          </w:p>
        </w:tc>
      </w:tr>
      <w:tr w:rsidR="000F6DF6" w14:paraId="5FFC7A2C" w14:textId="77777777">
        <w:trPr>
          <w:trHeight w:val="1071"/>
        </w:trPr>
        <w:tc>
          <w:tcPr>
            <w:tcW w:w="591" w:type="dxa"/>
            <w:tcBorders>
              <w:top w:val="single" w:sz="4" w:space="0" w:color="000000"/>
              <w:left w:val="single" w:sz="4" w:space="0" w:color="000000"/>
              <w:bottom w:val="single" w:sz="4" w:space="0" w:color="000000"/>
              <w:right w:val="single" w:sz="4" w:space="0" w:color="000000"/>
            </w:tcBorders>
          </w:tcPr>
          <w:p w14:paraId="1395788B"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1</w:t>
            </w:r>
          </w:p>
        </w:tc>
        <w:tc>
          <w:tcPr>
            <w:tcW w:w="4236" w:type="dxa"/>
            <w:tcBorders>
              <w:top w:val="single" w:sz="4" w:space="0" w:color="000000"/>
              <w:left w:val="single" w:sz="4" w:space="0" w:color="000000"/>
              <w:bottom w:val="single" w:sz="4" w:space="0" w:color="000000"/>
              <w:right w:val="single" w:sz="4" w:space="0" w:color="000000"/>
            </w:tcBorders>
          </w:tcPr>
          <w:p w14:paraId="683E285D" w14:textId="77777777" w:rsidR="000F6DF6" w:rsidRDefault="000F0FFE">
            <w:pPr>
              <w:ind w:firstLine="405"/>
              <w:jc w:val="both"/>
              <w:rPr>
                <w:rFonts w:ascii="Times New Roman" w:eastAsia="Times New Roman" w:hAnsi="Times New Roman" w:cs="Times New Roman"/>
              </w:rPr>
            </w:pPr>
            <w:r>
              <w:rPr>
                <w:rFonts w:ascii="Times New Roman" w:eastAsia="Times New Roman" w:hAnsi="Times New Roman" w:cs="Times New Roman"/>
              </w:rPr>
              <w:t>Оцінка «прямих» витрат суб’єктів малого підприємництва на виконання регулювання</w:t>
            </w:r>
          </w:p>
        </w:tc>
        <w:tc>
          <w:tcPr>
            <w:tcW w:w="2309" w:type="dxa"/>
            <w:tcBorders>
              <w:top w:val="single" w:sz="4" w:space="0" w:color="000000"/>
              <w:left w:val="single" w:sz="4" w:space="0" w:color="000000"/>
              <w:bottom w:val="single" w:sz="4" w:space="0" w:color="000000"/>
              <w:right w:val="single" w:sz="4" w:space="0" w:color="000000"/>
            </w:tcBorders>
          </w:tcPr>
          <w:p w14:paraId="339F56A5"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w:t>
            </w:r>
          </w:p>
        </w:tc>
        <w:tc>
          <w:tcPr>
            <w:tcW w:w="2208" w:type="dxa"/>
            <w:tcBorders>
              <w:top w:val="single" w:sz="4" w:space="0" w:color="000000"/>
              <w:left w:val="single" w:sz="4" w:space="0" w:color="000000"/>
              <w:bottom w:val="single" w:sz="4" w:space="0" w:color="000000"/>
              <w:right w:val="single" w:sz="4" w:space="0" w:color="000000"/>
            </w:tcBorders>
          </w:tcPr>
          <w:p w14:paraId="02CBD023" w14:textId="77777777" w:rsidR="000F6DF6" w:rsidRDefault="000F0FFE">
            <w:pPr>
              <w:jc w:val="center"/>
              <w:rPr>
                <w:rFonts w:ascii="Calibri" w:eastAsia="Calibri" w:hAnsi="Calibri" w:cs="Calibri"/>
              </w:rPr>
            </w:pPr>
            <w:r>
              <w:rPr>
                <w:rFonts w:ascii="Calibri" w:eastAsia="Calibri" w:hAnsi="Calibri" w:cs="Calibri"/>
              </w:rPr>
              <w:t>-</w:t>
            </w:r>
          </w:p>
        </w:tc>
      </w:tr>
      <w:tr w:rsidR="000F6DF6" w14:paraId="38171985" w14:textId="77777777">
        <w:tc>
          <w:tcPr>
            <w:tcW w:w="591" w:type="dxa"/>
            <w:tcBorders>
              <w:top w:val="single" w:sz="4" w:space="0" w:color="000000"/>
              <w:left w:val="single" w:sz="4" w:space="0" w:color="000000"/>
              <w:bottom w:val="single" w:sz="4" w:space="0" w:color="000000"/>
              <w:right w:val="single" w:sz="4" w:space="0" w:color="000000"/>
            </w:tcBorders>
          </w:tcPr>
          <w:p w14:paraId="73E7D14F"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2</w:t>
            </w:r>
          </w:p>
        </w:tc>
        <w:tc>
          <w:tcPr>
            <w:tcW w:w="4236" w:type="dxa"/>
            <w:tcBorders>
              <w:top w:val="single" w:sz="4" w:space="0" w:color="000000"/>
              <w:left w:val="single" w:sz="4" w:space="0" w:color="000000"/>
              <w:bottom w:val="single" w:sz="4" w:space="0" w:color="000000"/>
              <w:right w:val="single" w:sz="4" w:space="0" w:color="000000"/>
            </w:tcBorders>
          </w:tcPr>
          <w:p w14:paraId="1F55C70D" w14:textId="77777777" w:rsidR="000F6DF6" w:rsidRDefault="000F0FFE">
            <w:pPr>
              <w:ind w:firstLine="405"/>
              <w:jc w:val="both"/>
              <w:rPr>
                <w:rFonts w:ascii="Times New Roman" w:eastAsia="Times New Roman" w:hAnsi="Times New Roman" w:cs="Times New Roman"/>
              </w:rPr>
            </w:pPr>
            <w:r>
              <w:rPr>
                <w:rFonts w:ascii="Times New Roman" w:eastAsia="Times New Roman" w:hAnsi="Times New Roman" w:cs="Times New Roman"/>
              </w:rPr>
              <w:t>Оцінка вартості адміністративних процедур для суб’єктів малого підприємництва щодо виконання регулювання та звітування</w:t>
            </w:r>
          </w:p>
        </w:tc>
        <w:tc>
          <w:tcPr>
            <w:tcW w:w="2309" w:type="dxa"/>
            <w:tcBorders>
              <w:top w:val="single" w:sz="4" w:space="0" w:color="000000"/>
              <w:left w:val="single" w:sz="4" w:space="0" w:color="000000"/>
              <w:bottom w:val="single" w:sz="4" w:space="0" w:color="000000"/>
              <w:right w:val="single" w:sz="4" w:space="0" w:color="000000"/>
            </w:tcBorders>
          </w:tcPr>
          <w:p w14:paraId="38C2013C" w14:textId="77777777" w:rsidR="000F6DF6" w:rsidRDefault="000F0FFE">
            <w:pPr>
              <w:jc w:val="center"/>
              <w:rPr>
                <w:rFonts w:ascii="Times New Roman" w:eastAsia="Times New Roman" w:hAnsi="Times New Roman" w:cs="Times New Roman"/>
                <w:highlight w:val="yellow"/>
              </w:rPr>
            </w:pPr>
            <w:r>
              <w:rPr>
                <w:rFonts w:ascii="Times New Roman" w:eastAsia="Times New Roman" w:hAnsi="Times New Roman" w:cs="Times New Roman"/>
              </w:rPr>
              <w:t>3 485, 79</w:t>
            </w:r>
          </w:p>
        </w:tc>
        <w:tc>
          <w:tcPr>
            <w:tcW w:w="2208" w:type="dxa"/>
            <w:tcBorders>
              <w:top w:val="single" w:sz="4" w:space="0" w:color="000000"/>
              <w:left w:val="single" w:sz="4" w:space="0" w:color="000000"/>
              <w:bottom w:val="single" w:sz="4" w:space="0" w:color="000000"/>
              <w:right w:val="single" w:sz="4" w:space="0" w:color="000000"/>
            </w:tcBorders>
          </w:tcPr>
          <w:p w14:paraId="05B62787" w14:textId="77777777" w:rsidR="000F6DF6" w:rsidRDefault="000F0FFE">
            <w:pPr>
              <w:jc w:val="center"/>
              <w:rPr>
                <w:rFonts w:ascii="Times New Roman" w:eastAsia="Times New Roman" w:hAnsi="Times New Roman" w:cs="Times New Roman"/>
                <w:highlight w:val="yellow"/>
              </w:rPr>
            </w:pPr>
            <w:r>
              <w:rPr>
                <w:rFonts w:ascii="Times New Roman" w:eastAsia="Times New Roman" w:hAnsi="Times New Roman" w:cs="Times New Roman"/>
              </w:rPr>
              <w:t xml:space="preserve">3 485, 79 </w:t>
            </w:r>
          </w:p>
        </w:tc>
      </w:tr>
      <w:tr w:rsidR="000F6DF6" w14:paraId="5EE24122" w14:textId="77777777">
        <w:tc>
          <w:tcPr>
            <w:tcW w:w="591" w:type="dxa"/>
            <w:tcBorders>
              <w:top w:val="single" w:sz="4" w:space="0" w:color="000000"/>
              <w:left w:val="single" w:sz="4" w:space="0" w:color="000000"/>
              <w:bottom w:val="single" w:sz="4" w:space="0" w:color="000000"/>
              <w:right w:val="single" w:sz="4" w:space="0" w:color="000000"/>
            </w:tcBorders>
          </w:tcPr>
          <w:p w14:paraId="693AD4FC"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3</w:t>
            </w:r>
          </w:p>
        </w:tc>
        <w:tc>
          <w:tcPr>
            <w:tcW w:w="4236" w:type="dxa"/>
            <w:tcBorders>
              <w:top w:val="single" w:sz="4" w:space="0" w:color="000000"/>
              <w:left w:val="single" w:sz="4" w:space="0" w:color="000000"/>
              <w:bottom w:val="single" w:sz="4" w:space="0" w:color="000000"/>
              <w:right w:val="single" w:sz="4" w:space="0" w:color="000000"/>
            </w:tcBorders>
          </w:tcPr>
          <w:p w14:paraId="1109C74E" w14:textId="77777777" w:rsidR="000F6DF6" w:rsidRDefault="000F0FFE">
            <w:pPr>
              <w:ind w:firstLine="405"/>
              <w:jc w:val="both"/>
              <w:rPr>
                <w:rFonts w:ascii="Times New Roman" w:eastAsia="Times New Roman" w:hAnsi="Times New Roman" w:cs="Times New Roman"/>
              </w:rPr>
            </w:pPr>
            <w:r>
              <w:rPr>
                <w:rFonts w:ascii="Times New Roman" w:eastAsia="Times New Roman" w:hAnsi="Times New Roman" w:cs="Times New Roman"/>
              </w:rPr>
              <w:t>Сумарні витрати малого підприємництва на виконання запланованого регулювання</w:t>
            </w:r>
          </w:p>
        </w:tc>
        <w:tc>
          <w:tcPr>
            <w:tcW w:w="2309" w:type="dxa"/>
            <w:tcBorders>
              <w:top w:val="single" w:sz="4" w:space="0" w:color="000000"/>
              <w:left w:val="single" w:sz="4" w:space="0" w:color="000000"/>
              <w:bottom w:val="single" w:sz="4" w:space="0" w:color="000000"/>
              <w:right w:val="single" w:sz="4" w:space="0" w:color="000000"/>
            </w:tcBorders>
          </w:tcPr>
          <w:p w14:paraId="3F2FA333" w14:textId="77777777" w:rsidR="000F6DF6" w:rsidRDefault="000F0FFE">
            <w:pPr>
              <w:jc w:val="center"/>
              <w:rPr>
                <w:rFonts w:ascii="Times New Roman" w:eastAsia="Times New Roman" w:hAnsi="Times New Roman" w:cs="Times New Roman"/>
                <w:highlight w:val="yellow"/>
              </w:rPr>
            </w:pPr>
            <w:r>
              <w:rPr>
                <w:rFonts w:ascii="Times New Roman" w:eastAsia="Times New Roman" w:hAnsi="Times New Roman" w:cs="Times New Roman"/>
              </w:rPr>
              <w:t>3 485, 79</w:t>
            </w:r>
          </w:p>
        </w:tc>
        <w:tc>
          <w:tcPr>
            <w:tcW w:w="2208" w:type="dxa"/>
            <w:tcBorders>
              <w:top w:val="single" w:sz="4" w:space="0" w:color="000000"/>
              <w:left w:val="single" w:sz="4" w:space="0" w:color="000000"/>
              <w:bottom w:val="single" w:sz="4" w:space="0" w:color="000000"/>
              <w:right w:val="single" w:sz="4" w:space="0" w:color="000000"/>
            </w:tcBorders>
          </w:tcPr>
          <w:p w14:paraId="2194A748" w14:textId="77777777" w:rsidR="000F6DF6" w:rsidRDefault="000F0FFE">
            <w:pPr>
              <w:jc w:val="center"/>
              <w:rPr>
                <w:rFonts w:ascii="Times New Roman" w:eastAsia="Times New Roman" w:hAnsi="Times New Roman" w:cs="Times New Roman"/>
                <w:highlight w:val="yellow"/>
              </w:rPr>
            </w:pPr>
            <w:r>
              <w:rPr>
                <w:rFonts w:ascii="Times New Roman" w:eastAsia="Times New Roman" w:hAnsi="Times New Roman" w:cs="Times New Roman"/>
              </w:rPr>
              <w:t>3 485, 79</w:t>
            </w:r>
          </w:p>
        </w:tc>
      </w:tr>
      <w:tr w:rsidR="000F6DF6" w14:paraId="054E0164" w14:textId="77777777">
        <w:tc>
          <w:tcPr>
            <w:tcW w:w="591" w:type="dxa"/>
            <w:tcBorders>
              <w:top w:val="single" w:sz="4" w:space="0" w:color="000000"/>
              <w:left w:val="single" w:sz="4" w:space="0" w:color="000000"/>
              <w:bottom w:val="single" w:sz="4" w:space="0" w:color="000000"/>
              <w:right w:val="single" w:sz="4" w:space="0" w:color="000000"/>
            </w:tcBorders>
          </w:tcPr>
          <w:p w14:paraId="28E9963C"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lastRenderedPageBreak/>
              <w:t>4</w:t>
            </w:r>
          </w:p>
        </w:tc>
        <w:tc>
          <w:tcPr>
            <w:tcW w:w="4236" w:type="dxa"/>
            <w:tcBorders>
              <w:top w:val="single" w:sz="4" w:space="0" w:color="000000"/>
              <w:left w:val="single" w:sz="4" w:space="0" w:color="000000"/>
              <w:bottom w:val="single" w:sz="4" w:space="0" w:color="000000"/>
              <w:right w:val="single" w:sz="4" w:space="0" w:color="000000"/>
            </w:tcBorders>
          </w:tcPr>
          <w:p w14:paraId="24355051" w14:textId="77777777" w:rsidR="000F6DF6" w:rsidRDefault="000F0FFE">
            <w:pPr>
              <w:ind w:firstLine="405"/>
              <w:jc w:val="both"/>
              <w:rPr>
                <w:rFonts w:ascii="Times New Roman" w:eastAsia="Times New Roman" w:hAnsi="Times New Roman" w:cs="Times New Roman"/>
              </w:rPr>
            </w:pPr>
            <w:r>
              <w:rPr>
                <w:rFonts w:ascii="Times New Roman" w:eastAsia="Times New Roman" w:hAnsi="Times New Roman" w:cs="Times New Roman"/>
              </w:rPr>
              <w:t>Бюджетні витрати на адміністрування регулювання суб’єктів малого підприємництва</w:t>
            </w:r>
          </w:p>
        </w:tc>
        <w:tc>
          <w:tcPr>
            <w:tcW w:w="2309" w:type="dxa"/>
            <w:tcBorders>
              <w:top w:val="single" w:sz="4" w:space="0" w:color="000000"/>
              <w:left w:val="single" w:sz="4" w:space="0" w:color="000000"/>
              <w:bottom w:val="single" w:sz="4" w:space="0" w:color="000000"/>
              <w:right w:val="single" w:sz="4" w:space="0" w:color="000000"/>
            </w:tcBorders>
          </w:tcPr>
          <w:p w14:paraId="2C570912"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352, 30</w:t>
            </w:r>
          </w:p>
        </w:tc>
        <w:tc>
          <w:tcPr>
            <w:tcW w:w="2208" w:type="dxa"/>
            <w:tcBorders>
              <w:top w:val="single" w:sz="4" w:space="0" w:color="000000"/>
              <w:left w:val="single" w:sz="4" w:space="0" w:color="000000"/>
              <w:bottom w:val="single" w:sz="4" w:space="0" w:color="000000"/>
              <w:right w:val="single" w:sz="4" w:space="0" w:color="000000"/>
            </w:tcBorders>
          </w:tcPr>
          <w:p w14:paraId="2203C29F"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352, 30</w:t>
            </w:r>
          </w:p>
        </w:tc>
      </w:tr>
      <w:tr w:rsidR="000F6DF6" w14:paraId="74BE6C4A" w14:textId="77777777">
        <w:tc>
          <w:tcPr>
            <w:tcW w:w="591" w:type="dxa"/>
            <w:tcBorders>
              <w:top w:val="single" w:sz="4" w:space="0" w:color="000000"/>
              <w:left w:val="single" w:sz="4" w:space="0" w:color="000000"/>
              <w:bottom w:val="single" w:sz="4" w:space="0" w:color="000000"/>
              <w:right w:val="single" w:sz="4" w:space="0" w:color="000000"/>
            </w:tcBorders>
          </w:tcPr>
          <w:p w14:paraId="1C981293"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5</w:t>
            </w:r>
          </w:p>
        </w:tc>
        <w:tc>
          <w:tcPr>
            <w:tcW w:w="4236" w:type="dxa"/>
            <w:tcBorders>
              <w:top w:val="single" w:sz="4" w:space="0" w:color="000000"/>
              <w:left w:val="single" w:sz="4" w:space="0" w:color="000000"/>
              <w:bottom w:val="single" w:sz="4" w:space="0" w:color="000000"/>
              <w:right w:val="single" w:sz="4" w:space="0" w:color="000000"/>
            </w:tcBorders>
          </w:tcPr>
          <w:p w14:paraId="110D628E" w14:textId="77777777" w:rsidR="000F6DF6" w:rsidRDefault="000F0FFE">
            <w:pPr>
              <w:ind w:firstLine="405"/>
              <w:jc w:val="both"/>
              <w:rPr>
                <w:rFonts w:ascii="Times New Roman" w:eastAsia="Times New Roman" w:hAnsi="Times New Roman" w:cs="Times New Roman"/>
              </w:rPr>
            </w:pPr>
            <w:r>
              <w:rPr>
                <w:rFonts w:ascii="Times New Roman" w:eastAsia="Times New Roman" w:hAnsi="Times New Roman" w:cs="Times New Roman"/>
              </w:rPr>
              <w:t>Сумарні витрати на виконання запланованого регулювання</w:t>
            </w:r>
          </w:p>
        </w:tc>
        <w:tc>
          <w:tcPr>
            <w:tcW w:w="2309" w:type="dxa"/>
            <w:tcBorders>
              <w:top w:val="single" w:sz="4" w:space="0" w:color="000000"/>
              <w:left w:val="single" w:sz="4" w:space="0" w:color="000000"/>
              <w:bottom w:val="single" w:sz="4" w:space="0" w:color="000000"/>
              <w:right w:val="single" w:sz="4" w:space="0" w:color="000000"/>
            </w:tcBorders>
            <w:vAlign w:val="bottom"/>
          </w:tcPr>
          <w:p w14:paraId="498A8A32"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3 838, 09</w:t>
            </w:r>
          </w:p>
        </w:tc>
        <w:tc>
          <w:tcPr>
            <w:tcW w:w="2208" w:type="dxa"/>
            <w:tcBorders>
              <w:top w:val="single" w:sz="4" w:space="0" w:color="000000"/>
              <w:left w:val="single" w:sz="4" w:space="0" w:color="000000"/>
              <w:bottom w:val="single" w:sz="4" w:space="0" w:color="000000"/>
              <w:right w:val="single" w:sz="4" w:space="0" w:color="000000"/>
            </w:tcBorders>
            <w:vAlign w:val="bottom"/>
          </w:tcPr>
          <w:p w14:paraId="62E48B3C" w14:textId="77777777" w:rsidR="000F6DF6" w:rsidRDefault="000F0FFE">
            <w:pPr>
              <w:jc w:val="center"/>
              <w:rPr>
                <w:rFonts w:ascii="Times New Roman" w:eastAsia="Times New Roman" w:hAnsi="Times New Roman" w:cs="Times New Roman"/>
              </w:rPr>
            </w:pPr>
            <w:r>
              <w:rPr>
                <w:rFonts w:ascii="Times New Roman" w:eastAsia="Times New Roman" w:hAnsi="Times New Roman" w:cs="Times New Roman"/>
              </w:rPr>
              <w:t>3 838, 09</w:t>
            </w:r>
          </w:p>
        </w:tc>
      </w:tr>
    </w:tbl>
    <w:p w14:paraId="484D3783" w14:textId="77777777" w:rsidR="000F6DF6" w:rsidRDefault="000F6DF6">
      <w:pPr>
        <w:jc w:val="both"/>
        <w:rPr>
          <w:rFonts w:ascii="Times New Roman" w:eastAsia="Times New Roman" w:hAnsi="Times New Roman" w:cs="Times New Roman"/>
          <w:b/>
          <w:bCs/>
          <w:sz w:val="28"/>
          <w:szCs w:val="28"/>
        </w:rPr>
      </w:pPr>
    </w:p>
    <w:p w14:paraId="55577454" w14:textId="77777777" w:rsidR="000F6DF6" w:rsidRDefault="000F6DF6">
      <w:pPr>
        <w:pBdr>
          <w:top w:val="nil"/>
          <w:left w:val="nil"/>
          <w:bottom w:val="nil"/>
          <w:right w:val="nil"/>
          <w:between w:val="nil"/>
        </w:pBdr>
        <w:tabs>
          <w:tab w:val="left" w:pos="567"/>
        </w:tabs>
        <w:spacing w:after="140" w:line="276" w:lineRule="auto"/>
        <w:jc w:val="both"/>
        <w:rPr>
          <w:rFonts w:ascii="Times New Roman" w:eastAsia="Times New Roman" w:hAnsi="Times New Roman" w:cs="Times New Roman"/>
          <w:color w:val="000000"/>
          <w:sz w:val="28"/>
          <w:szCs w:val="28"/>
        </w:rPr>
      </w:pPr>
    </w:p>
    <w:sectPr w:rsidR="000F6DF6">
      <w:pgSz w:w="11906" w:h="16838"/>
      <w:pgMar w:top="850" w:right="850" w:bottom="850"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charset w:val="00"/>
    <w:family w:val="swiss"/>
    <w:pitch w:val="variable"/>
    <w:sig w:usb0="20000287" w:usb1="00000003" w:usb2="00000000" w:usb3="00000000" w:csb0="0000019F" w:csb1="00000000"/>
    <w:embedRegular r:id="rId1" w:fontKey="{610A03DB-ABB4-4E5C-9B3B-26B535614FFA}"/>
    <w:embedBold r:id="rId2" w:fontKey="{8CC2C5FA-AF1B-4709-BA4A-F6FD4400A742}"/>
    <w:embedItalic r:id="rId3" w:fontKey="{0511B46B-A41D-49F2-A9A1-B287B12DACAF}"/>
  </w:font>
  <w:font w:name="Play">
    <w:charset w:val="00"/>
    <w:family w:val="auto"/>
    <w:pitch w:val="default"/>
    <w:embedRegular r:id="rId4" w:fontKey="{E93F687F-A206-49F3-9F03-93F33A851082}"/>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4DB17D92-6595-4950-A6B0-C50A4FD75B61}"/>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embedBold r:id="rId6" w:fontKey="{14B7BBAF-5DDA-43FF-BAC3-84D82F0AD411}"/>
  </w:font>
  <w:font w:name="Calibri">
    <w:panose1 w:val="020F0502020204030204"/>
    <w:charset w:val="CC"/>
    <w:family w:val="swiss"/>
    <w:pitch w:val="variable"/>
    <w:sig w:usb0="E4002EFF" w:usb1="C000247B" w:usb2="00000009" w:usb3="00000000" w:csb0="000001FF" w:csb1="00000000"/>
    <w:embedRegular r:id="rId7" w:fontKey="{64CE7982-0658-48CB-87B9-B2BD1692C93C}"/>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B112F"/>
    <w:multiLevelType w:val="multilevel"/>
    <w:tmpl w:val="507C399A"/>
    <w:lvl w:ilvl="0">
      <w:start w:val="1"/>
      <w:numFmt w:val="decimal"/>
      <w:lvlText w:val="%1)"/>
      <w:lvlJc w:val="left"/>
      <w:pPr>
        <w:ind w:left="92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 w15:restartNumberingAfterBreak="0">
    <w:nsid w:val="22974255"/>
    <w:multiLevelType w:val="multilevel"/>
    <w:tmpl w:val="1160F82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DF6"/>
    <w:rsid w:val="000339E7"/>
    <w:rsid w:val="000F0FFE"/>
    <w:rsid w:val="000F6DF6"/>
    <w:rsid w:val="00226481"/>
    <w:rsid w:val="0088738A"/>
    <w:rsid w:val="009C00AB"/>
    <w:rsid w:val="00AA730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AB22C"/>
  <w15:docId w15:val="{4F1814CE-E2A7-4C42-9644-782F676B0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uk" w:eastAsia="uk-UA"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iCs/>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0"/>
    <w:uiPriority w:val="9"/>
    <w:semiHidden/>
    <w:unhideWhenUsed/>
    <w:qFormat/>
    <w:rsid w:val="00172187"/>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72187"/>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7218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72187"/>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uiPriority w:val="9"/>
    <w:semiHidden/>
    <w:rsid w:val="00172187"/>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uiPriority w:val="9"/>
    <w:semiHidden/>
    <w:rsid w:val="00172187"/>
    <w:rPr>
      <w:rFonts w:eastAsiaTheme="majorEastAsia" w:cstheme="majorBidi"/>
      <w:color w:val="0F4761" w:themeColor="accent1" w:themeShade="BF"/>
      <w:sz w:val="28"/>
      <w:szCs w:val="28"/>
    </w:rPr>
  </w:style>
  <w:style w:type="character" w:customStyle="1" w:styleId="40">
    <w:name w:val="Заголовок 4 Знак"/>
    <w:basedOn w:val="a0"/>
    <w:uiPriority w:val="9"/>
    <w:semiHidden/>
    <w:rsid w:val="00172187"/>
    <w:rPr>
      <w:rFonts w:eastAsiaTheme="majorEastAsia" w:cstheme="majorBidi"/>
      <w:i/>
      <w:iCs/>
      <w:color w:val="0F4761" w:themeColor="accent1" w:themeShade="BF"/>
    </w:rPr>
  </w:style>
  <w:style w:type="character" w:customStyle="1" w:styleId="50">
    <w:name w:val="Заголовок 5 Знак"/>
    <w:basedOn w:val="a0"/>
    <w:uiPriority w:val="9"/>
    <w:semiHidden/>
    <w:rsid w:val="00172187"/>
    <w:rPr>
      <w:rFonts w:eastAsiaTheme="majorEastAsia" w:cstheme="majorBidi"/>
      <w:color w:val="0F4761" w:themeColor="accent1" w:themeShade="BF"/>
    </w:rPr>
  </w:style>
  <w:style w:type="character" w:customStyle="1" w:styleId="60">
    <w:name w:val="Заголовок 6 Знак"/>
    <w:basedOn w:val="a0"/>
    <w:uiPriority w:val="9"/>
    <w:semiHidden/>
    <w:rsid w:val="0017218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72187"/>
    <w:rPr>
      <w:rFonts w:eastAsiaTheme="majorEastAsia" w:cstheme="majorBidi"/>
      <w:color w:val="595959" w:themeColor="text1" w:themeTint="A6"/>
    </w:rPr>
  </w:style>
  <w:style w:type="character" w:customStyle="1" w:styleId="80">
    <w:name w:val="Заголовок 8 Знак"/>
    <w:basedOn w:val="a0"/>
    <w:link w:val="8"/>
    <w:uiPriority w:val="9"/>
    <w:semiHidden/>
    <w:rsid w:val="0017218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72187"/>
    <w:rPr>
      <w:rFonts w:eastAsiaTheme="majorEastAsia" w:cstheme="majorBidi"/>
      <w:color w:val="272727" w:themeColor="text1" w:themeTint="D8"/>
    </w:rPr>
  </w:style>
  <w:style w:type="character" w:customStyle="1" w:styleId="a4">
    <w:name w:val="Назва Знак"/>
    <w:basedOn w:val="a0"/>
    <w:uiPriority w:val="10"/>
    <w:rsid w:val="00172187"/>
    <w:rPr>
      <w:rFonts w:asciiTheme="majorHAnsi" w:eastAsiaTheme="majorEastAsia" w:hAnsiTheme="majorHAnsi" w:cstheme="majorBidi"/>
      <w:spacing w:val="-10"/>
      <w:kern w:val="28"/>
      <w:sz w:val="56"/>
      <w:szCs w:val="56"/>
    </w:rPr>
  </w:style>
  <w:style w:type="character" w:customStyle="1" w:styleId="a5">
    <w:name w:val="Підзаголовок Знак"/>
    <w:basedOn w:val="a0"/>
    <w:uiPriority w:val="11"/>
    <w:rsid w:val="00172187"/>
    <w:rPr>
      <w:rFonts w:eastAsiaTheme="majorEastAsia" w:cstheme="majorBidi"/>
      <w:color w:val="595959" w:themeColor="text1" w:themeTint="A6"/>
      <w:spacing w:val="15"/>
      <w:sz w:val="28"/>
      <w:szCs w:val="28"/>
    </w:rPr>
  </w:style>
  <w:style w:type="paragraph" w:styleId="a6">
    <w:name w:val="Quote"/>
    <w:link w:val="a7"/>
    <w:uiPriority w:val="29"/>
    <w:qFormat/>
    <w:rsid w:val="00172187"/>
    <w:pPr>
      <w:spacing w:before="160"/>
      <w:jc w:val="center"/>
    </w:pPr>
    <w:rPr>
      <w:i/>
      <w:iCs/>
      <w:color w:val="404040" w:themeColor="text1" w:themeTint="BF"/>
    </w:rPr>
  </w:style>
  <w:style w:type="character" w:customStyle="1" w:styleId="a7">
    <w:name w:val="Цитата Знак"/>
    <w:basedOn w:val="a0"/>
    <w:link w:val="a6"/>
    <w:uiPriority w:val="29"/>
    <w:rsid w:val="00172187"/>
    <w:rPr>
      <w:i/>
      <w:iCs/>
      <w:color w:val="404040" w:themeColor="text1" w:themeTint="BF"/>
    </w:rPr>
  </w:style>
  <w:style w:type="paragraph" w:styleId="a8">
    <w:name w:val="List Paragraph"/>
    <w:link w:val="a9"/>
    <w:uiPriority w:val="34"/>
    <w:qFormat/>
    <w:rsid w:val="00172187"/>
    <w:pPr>
      <w:ind w:left="720"/>
      <w:contextualSpacing/>
    </w:pPr>
  </w:style>
  <w:style w:type="character" w:styleId="aa">
    <w:name w:val="Intense Emphasis"/>
    <w:basedOn w:val="a0"/>
    <w:uiPriority w:val="21"/>
    <w:qFormat/>
    <w:rsid w:val="00172187"/>
    <w:rPr>
      <w:i/>
      <w:iCs/>
      <w:color w:val="0F4761" w:themeColor="accent1" w:themeShade="BF"/>
    </w:rPr>
  </w:style>
  <w:style w:type="paragraph" w:styleId="ab">
    <w:name w:val="Intense Quote"/>
    <w:link w:val="ac"/>
    <w:uiPriority w:val="30"/>
    <w:qFormat/>
    <w:rsid w:val="001721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172187"/>
    <w:rPr>
      <w:i/>
      <w:iCs/>
      <w:color w:val="0F4761" w:themeColor="accent1" w:themeShade="BF"/>
    </w:rPr>
  </w:style>
  <w:style w:type="character" w:styleId="ad">
    <w:name w:val="Intense Reference"/>
    <w:basedOn w:val="a0"/>
    <w:uiPriority w:val="32"/>
    <w:qFormat/>
    <w:rsid w:val="00172187"/>
    <w:rPr>
      <w:b/>
      <w:bCs/>
      <w:smallCaps/>
      <w:color w:val="0F4761" w:themeColor="accent1" w:themeShade="BF"/>
      <w:spacing w:val="5"/>
    </w:rPr>
  </w:style>
  <w:style w:type="paragraph" w:customStyle="1" w:styleId="Textbody">
    <w:name w:val="Text body"/>
    <w:rsid w:val="00B412FE"/>
    <w:pPr>
      <w:suppressAutoHyphens/>
      <w:autoSpaceDN w:val="0"/>
      <w:spacing w:after="140" w:line="288" w:lineRule="auto"/>
      <w:textAlignment w:val="baseline"/>
    </w:pPr>
    <w:rPr>
      <w:rFonts w:ascii="Arial" w:eastAsia="Arial" w:hAnsi="Arial" w:cs="Arial"/>
      <w:color w:val="000000"/>
      <w:kern w:val="3"/>
      <w:sz w:val="22"/>
      <w:szCs w:val="22"/>
      <w:lang w:val="en-US" w:eastAsia="zh-CN" w:bidi="hi-IN"/>
    </w:rPr>
  </w:style>
  <w:style w:type="paragraph" w:customStyle="1" w:styleId="11">
    <w:name w:val="1"/>
    <w:rsid w:val="00F35BCA"/>
    <w:pPr>
      <w:spacing w:before="100" w:beforeAutospacing="1" w:after="100" w:afterAutospacing="1" w:line="240" w:lineRule="auto"/>
    </w:pPr>
    <w:rPr>
      <w:rFonts w:ascii="Times New Roman" w:eastAsia="Times New Roman" w:hAnsi="Times New Roman" w:cs="Times New Roman"/>
      <w:lang w:val="ru-RU" w:eastAsia="ru-RU"/>
    </w:rPr>
  </w:style>
  <w:style w:type="paragraph" w:customStyle="1" w:styleId="Standard">
    <w:name w:val="Standard"/>
    <w:rsid w:val="00A050E5"/>
    <w:pPr>
      <w:suppressAutoHyphens/>
      <w:autoSpaceDN w:val="0"/>
      <w:spacing w:after="0" w:line="276" w:lineRule="auto"/>
      <w:textAlignment w:val="baseline"/>
    </w:pPr>
    <w:rPr>
      <w:rFonts w:ascii="Arial" w:eastAsia="Arial" w:hAnsi="Arial" w:cs="Arial"/>
      <w:color w:val="000000"/>
      <w:kern w:val="3"/>
      <w:sz w:val="22"/>
      <w:szCs w:val="22"/>
      <w:lang w:val="en-US" w:eastAsia="zh-CN" w:bidi="hi-IN"/>
    </w:rPr>
  </w:style>
  <w:style w:type="paragraph" w:customStyle="1" w:styleId="TableContents">
    <w:name w:val="Table Contents"/>
    <w:basedOn w:val="Standard"/>
    <w:rsid w:val="00A050E5"/>
  </w:style>
  <w:style w:type="paragraph" w:styleId="HTML">
    <w:name w:val="HTML Preformatted"/>
    <w:link w:val="HTML0"/>
    <w:uiPriority w:val="99"/>
    <w:unhideWhenUsed/>
    <w:rsid w:val="00CE7A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ий HTML Знак"/>
    <w:basedOn w:val="a0"/>
    <w:link w:val="HTML"/>
    <w:uiPriority w:val="99"/>
    <w:rsid w:val="00CE7ACD"/>
    <w:rPr>
      <w:rFonts w:ascii="Courier New" w:eastAsia="Times New Roman" w:hAnsi="Courier New" w:cs="Courier New"/>
      <w:kern w:val="0"/>
      <w:sz w:val="20"/>
      <w:szCs w:val="20"/>
      <w:lang w:eastAsia="uk-UA"/>
    </w:rPr>
  </w:style>
  <w:style w:type="character" w:customStyle="1" w:styleId="rvts0">
    <w:name w:val="rvts0"/>
    <w:rsid w:val="00CE7ACD"/>
  </w:style>
  <w:style w:type="character" w:customStyle="1" w:styleId="a9">
    <w:name w:val="Абзац списку Знак"/>
    <w:link w:val="a8"/>
    <w:uiPriority w:val="34"/>
    <w:rsid w:val="00CE7ACD"/>
  </w:style>
  <w:style w:type="table" w:styleId="ae">
    <w:name w:val="Table Grid"/>
    <w:basedOn w:val="a1"/>
    <w:uiPriority w:val="39"/>
    <w:rsid w:val="00581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CA3EE1"/>
    <w:rPr>
      <w:color w:val="467886" w:themeColor="hyperlink"/>
      <w:u w:val="single"/>
    </w:rPr>
  </w:style>
  <w:style w:type="character" w:customStyle="1" w:styleId="UnresolvedMention">
    <w:name w:val="Unresolved Mention"/>
    <w:basedOn w:val="a0"/>
    <w:uiPriority w:val="99"/>
    <w:semiHidden/>
    <w:unhideWhenUsed/>
    <w:rsid w:val="00CA3EE1"/>
    <w:rPr>
      <w:color w:val="605E5C"/>
      <w:shd w:val="clear" w:color="auto" w:fill="E1DFDD"/>
    </w:rPr>
  </w:style>
  <w:style w:type="character" w:styleId="af0">
    <w:name w:val="annotation reference"/>
    <w:basedOn w:val="a0"/>
    <w:uiPriority w:val="99"/>
    <w:semiHidden/>
    <w:unhideWhenUsed/>
    <w:rsid w:val="00101ADD"/>
    <w:rPr>
      <w:sz w:val="16"/>
      <w:szCs w:val="16"/>
    </w:rPr>
  </w:style>
  <w:style w:type="paragraph" w:styleId="af1">
    <w:name w:val="annotation text"/>
    <w:link w:val="af2"/>
    <w:uiPriority w:val="99"/>
    <w:unhideWhenUsed/>
    <w:rsid w:val="00101ADD"/>
    <w:pPr>
      <w:spacing w:line="240" w:lineRule="auto"/>
    </w:pPr>
    <w:rPr>
      <w:sz w:val="20"/>
      <w:szCs w:val="20"/>
    </w:rPr>
  </w:style>
  <w:style w:type="character" w:customStyle="1" w:styleId="af2">
    <w:name w:val="Текст примітки Знак"/>
    <w:basedOn w:val="a0"/>
    <w:link w:val="af1"/>
    <w:uiPriority w:val="99"/>
    <w:rsid w:val="00101ADD"/>
    <w:rPr>
      <w:sz w:val="20"/>
      <w:szCs w:val="20"/>
    </w:rPr>
  </w:style>
  <w:style w:type="paragraph" w:styleId="af3">
    <w:name w:val="annotation subject"/>
    <w:basedOn w:val="af1"/>
    <w:next w:val="af1"/>
    <w:link w:val="af4"/>
    <w:uiPriority w:val="99"/>
    <w:semiHidden/>
    <w:unhideWhenUsed/>
    <w:rsid w:val="00101ADD"/>
    <w:rPr>
      <w:b/>
      <w:bCs/>
    </w:rPr>
  </w:style>
  <w:style w:type="character" w:customStyle="1" w:styleId="af4">
    <w:name w:val="Тема примітки Знак"/>
    <w:basedOn w:val="af2"/>
    <w:link w:val="af3"/>
    <w:uiPriority w:val="99"/>
    <w:semiHidden/>
    <w:rsid w:val="00101ADD"/>
    <w:rPr>
      <w:b/>
      <w:bCs/>
      <w:sz w:val="20"/>
      <w:szCs w:val="20"/>
    </w:rPr>
  </w:style>
  <w:style w:type="table" w:customStyle="1" w:styleId="af5">
    <w:basedOn w:val="TableNormal0"/>
    <w:tblPr>
      <w:tblStyleRowBandSize w:val="1"/>
      <w:tblStyleColBandSize w:val="1"/>
      <w:tblCellMar>
        <w:top w:w="15" w:type="dxa"/>
        <w:left w:w="15" w:type="dxa"/>
        <w:bottom w:w="15" w:type="dxa"/>
        <w:right w:w="15" w:type="dxa"/>
      </w:tblCellMar>
    </w:tblPr>
  </w:style>
  <w:style w:type="table" w:customStyle="1" w:styleId="af6">
    <w:basedOn w:val="TableNormal0"/>
    <w:tblPr>
      <w:tblStyleRowBandSize w:val="1"/>
      <w:tblStyleColBandSize w:val="1"/>
      <w:tblCellMar>
        <w:top w:w="0" w:type="dxa"/>
        <w:left w:w="10" w:type="dxa"/>
        <w:bottom w:w="0" w:type="dxa"/>
        <w:right w:w="10" w:type="dxa"/>
      </w:tblCellMar>
    </w:tblPr>
  </w:style>
  <w:style w:type="table" w:customStyle="1" w:styleId="af7">
    <w:basedOn w:val="TableNormal0"/>
    <w:tblPr>
      <w:tblStyleRowBandSize w:val="1"/>
      <w:tblStyleColBandSize w:val="1"/>
      <w:tblCellMar>
        <w:top w:w="0" w:type="dxa"/>
        <w:left w:w="10" w:type="dxa"/>
        <w:bottom w:w="0" w:type="dxa"/>
        <w:right w:w="10" w:type="dxa"/>
      </w:tblCellMar>
    </w:tblPr>
  </w:style>
  <w:style w:type="table" w:customStyle="1" w:styleId="af8">
    <w:basedOn w:val="TableNormal0"/>
    <w:tblPr>
      <w:tblStyleRowBandSize w:val="1"/>
      <w:tblStyleColBandSize w:val="1"/>
      <w:tblCellMar>
        <w:top w:w="0" w:type="dxa"/>
        <w:left w:w="10" w:type="dxa"/>
        <w:bottom w:w="0" w:type="dxa"/>
        <w:right w:w="10"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paragraph" w:styleId="aff3">
    <w:name w:val="Subtitle"/>
    <w:basedOn w:val="a"/>
    <w:next w:val="a"/>
    <w:uiPriority w:val="11"/>
    <w:qFormat/>
    <w:rPr>
      <w:color w:val="595959"/>
      <w:sz w:val="28"/>
      <w:szCs w:val="28"/>
    </w:rPr>
  </w:style>
  <w:style w:type="table" w:customStyle="1" w:styleId="aff4">
    <w:basedOn w:val="TableNormal0"/>
    <w:tblPr>
      <w:tblStyleRowBandSize w:val="1"/>
      <w:tblStyleColBandSize w:val="1"/>
      <w:tblCellMar>
        <w:top w:w="15" w:type="dxa"/>
        <w:left w:w="15" w:type="dxa"/>
        <w:bottom w:w="15" w:type="dxa"/>
        <w:right w:w="15" w:type="dxa"/>
      </w:tblCellMar>
    </w:tblPr>
  </w:style>
  <w:style w:type="table" w:customStyle="1" w:styleId="aff5">
    <w:basedOn w:val="TableNormal0"/>
    <w:tblPr>
      <w:tblStyleRowBandSize w:val="1"/>
      <w:tblStyleColBandSize w:val="1"/>
      <w:tblCellMar>
        <w:top w:w="0" w:type="dxa"/>
        <w:left w:w="10" w:type="dxa"/>
        <w:bottom w:w="0" w:type="dxa"/>
        <w:right w:w="10" w:type="dxa"/>
      </w:tblCellMar>
    </w:tblPr>
  </w:style>
  <w:style w:type="table" w:customStyle="1" w:styleId="aff6">
    <w:basedOn w:val="TableNormal0"/>
    <w:tblPr>
      <w:tblStyleRowBandSize w:val="1"/>
      <w:tblStyleColBandSize w:val="1"/>
      <w:tblCellMar>
        <w:top w:w="0" w:type="dxa"/>
        <w:left w:w="10" w:type="dxa"/>
        <w:bottom w:w="0" w:type="dxa"/>
        <w:right w:w="10" w:type="dxa"/>
      </w:tblCellMar>
    </w:tblPr>
  </w:style>
  <w:style w:type="table" w:customStyle="1" w:styleId="aff7">
    <w:basedOn w:val="TableNormal0"/>
    <w:tblPr>
      <w:tblStyleRowBandSize w:val="1"/>
      <w:tblStyleColBandSize w:val="1"/>
      <w:tblCellMar>
        <w:top w:w="0" w:type="dxa"/>
        <w:left w:w="10" w:type="dxa"/>
        <w:bottom w:w="0" w:type="dxa"/>
        <w:right w:w="10"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top w:w="15" w:type="dxa"/>
        <w:left w:w="15" w:type="dxa"/>
        <w:bottom w:w="15" w:type="dxa"/>
        <w:right w:w="15" w:type="dxa"/>
      </w:tblCellMar>
    </w:tblPr>
  </w:style>
  <w:style w:type="table" w:customStyle="1" w:styleId="af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zakon.rada.gov.ua/laws/show/z1649-22"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e5XYaAz/qXZLStkcSvUK9nJ1Dw==">CgMxLjAyD2lkLjNzaWkwMTN3bG9xNjIOaWQuYWtsb3hqOXM2dWsyD2lkLmFrd3lwZHdpNG1mMjIPaWQubmhoOHVxeTU4NmE5Mg9pZC5weXNuOG9ydmI4OXoyD2lkLmw5MmphbGNjbzkzdzIPaWQucWpieWM3eW8wNHVyMg9pZC5yZzFlODg2b2k4M2IyD2lkLjVxeGswNDdlajZtdDIPaWQubm5pYmlmeWJ1ejVhMg9pZC4zeXlkN3MydDRmZ2Q4AHIhMTVudXFHWEdIRzJPRG1wZC1WcmhoZmxKS1lJYldxWVR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16606</Words>
  <Characters>9466</Characters>
  <Application>Microsoft Office Word</Application>
  <DocSecurity>0</DocSecurity>
  <Lines>78</Lines>
  <Paragraphs>52</Paragraphs>
  <ScaleCrop>false</ScaleCrop>
  <Company/>
  <LinksUpToDate>false</LinksUpToDate>
  <CharactersWithSpaces>26020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Iryna Kanya</dc:creator>
  <cp:lastModifiedBy>Garmash L.M.</cp:lastModifiedBy>
  <cp:revision>5</cp:revision>
  <dcterms:created xsi:type="dcterms:W3CDTF">2026-04-09T18:34:00Z</dcterms:created>
  <dcterms:modified xsi:type="dcterms:W3CDTF">2026-04-10T07:46:00Z</dcterms:modified>
</cp:coreProperties>
</file>