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63A" w:rsidRPr="000B20DB" w:rsidRDefault="00D8763A" w:rsidP="00D8763A">
      <w:pPr>
        <w:jc w:val="right"/>
        <w:rPr>
          <w:rFonts w:ascii="Times New Roman" w:eastAsia="Times New Roman" w:hAnsi="Times New Roman" w:cs="Times New Roman"/>
          <w:sz w:val="28"/>
          <w:szCs w:val="28"/>
        </w:rPr>
      </w:pPr>
      <w:bookmarkStart w:id="0" w:name="_heading=h.tba7wglucmt2" w:colFirst="0" w:colLast="0"/>
      <w:bookmarkStart w:id="1" w:name="_heading=h.auxkaohx7p17" w:colFirst="0" w:colLast="0"/>
      <w:bookmarkEnd w:id="0"/>
      <w:bookmarkEnd w:id="1"/>
      <w:r w:rsidRPr="000B20DB">
        <w:rPr>
          <w:rFonts w:ascii="Times New Roman" w:eastAsia="Times New Roman" w:hAnsi="Times New Roman" w:cs="Times New Roman"/>
          <w:sz w:val="28"/>
          <w:szCs w:val="28"/>
        </w:rPr>
        <w:t>ПРОЕКТ</w:t>
      </w:r>
    </w:p>
    <w:p w:rsidR="00D8763A" w:rsidRPr="000B20DB" w:rsidRDefault="00D8763A" w:rsidP="00D8763A"/>
    <w:p w:rsidR="00D8763A" w:rsidRPr="000B20DB" w:rsidRDefault="00D8763A" w:rsidP="00D87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rPr>
      </w:pPr>
      <w:r w:rsidRPr="000B20DB">
        <w:rPr>
          <w:rFonts w:ascii="Times New Roman" w:eastAsia="Times New Roman" w:hAnsi="Times New Roman" w:cs="Times New Roman"/>
          <w:noProof/>
          <w:sz w:val="28"/>
          <w:szCs w:val="28"/>
          <w:lang w:val="ru-RU"/>
        </w:rPr>
        <w:drawing>
          <wp:inline distT="0" distB="0" distL="0" distR="0" wp14:anchorId="0EE5A182" wp14:editId="1A71BC1D">
            <wp:extent cx="571500" cy="762000"/>
            <wp:effectExtent l="0" t="0" r="0" b="0"/>
            <wp:docPr id="5" name="image1.png" descr="http://zakonst.rada.gov.ua/images/gerb.gif"/>
            <wp:cNvGraphicFramePr/>
            <a:graphic xmlns:a="http://schemas.openxmlformats.org/drawingml/2006/main">
              <a:graphicData uri="http://schemas.openxmlformats.org/drawingml/2006/picture">
                <pic:pic xmlns:pic="http://schemas.openxmlformats.org/drawingml/2006/picture">
                  <pic:nvPicPr>
                    <pic:cNvPr id="0" name="image1.png" descr="http://zakonst.rada.gov.ua/images/gerb.gif"/>
                    <pic:cNvPicPr preferRelativeResize="0"/>
                  </pic:nvPicPr>
                  <pic:blipFill>
                    <a:blip r:embed="rId7"/>
                    <a:srcRect/>
                    <a:stretch>
                      <a:fillRect/>
                    </a:stretch>
                  </pic:blipFill>
                  <pic:spPr>
                    <a:xfrm>
                      <a:off x="0" y="0"/>
                      <a:ext cx="571500" cy="762000"/>
                    </a:xfrm>
                    <a:prstGeom prst="rect">
                      <a:avLst/>
                    </a:prstGeom>
                    <a:ln/>
                  </pic:spPr>
                </pic:pic>
              </a:graphicData>
            </a:graphic>
          </wp:inline>
        </w:drawing>
      </w:r>
      <w:bookmarkStart w:id="2" w:name="bookmark=id.c97tq4b4m2xg" w:colFirst="0" w:colLast="0"/>
      <w:bookmarkEnd w:id="2"/>
    </w:p>
    <w:p w:rsidR="00D8763A" w:rsidRPr="000B20DB" w:rsidRDefault="00D8763A" w:rsidP="00D87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0B20DB">
        <w:rPr>
          <w:rFonts w:ascii="Times New Roman" w:eastAsia="Times New Roman" w:hAnsi="Times New Roman" w:cs="Times New Roman"/>
          <w:b/>
          <w:bCs/>
          <w:sz w:val="28"/>
          <w:szCs w:val="28"/>
        </w:rPr>
        <w:br/>
        <w:t>КАБІНЕТ МІНІСТРІВ УКРАЇНИ</w:t>
      </w:r>
    </w:p>
    <w:p w:rsidR="00D8763A" w:rsidRPr="000B20DB" w:rsidRDefault="00D8763A" w:rsidP="00D8763A">
      <w:pPr>
        <w:spacing w:line="240" w:lineRule="auto"/>
        <w:jc w:val="center"/>
        <w:rPr>
          <w:rFonts w:ascii="Times New Roman" w:eastAsia="Times New Roman" w:hAnsi="Times New Roman" w:cs="Times New Roman"/>
          <w:b/>
          <w:bCs/>
          <w:sz w:val="28"/>
          <w:szCs w:val="28"/>
        </w:rPr>
      </w:pPr>
      <w:r w:rsidRPr="000B20DB">
        <w:rPr>
          <w:rFonts w:ascii="Times New Roman" w:eastAsia="Times New Roman" w:hAnsi="Times New Roman" w:cs="Times New Roman"/>
          <w:b/>
          <w:bCs/>
          <w:sz w:val="28"/>
          <w:szCs w:val="28"/>
        </w:rPr>
        <w:t>П О С Т А Н О В А</w:t>
      </w:r>
    </w:p>
    <w:p w:rsidR="00D8763A" w:rsidRPr="000B20DB" w:rsidRDefault="00D8763A" w:rsidP="00D8763A">
      <w:pPr>
        <w:spacing w:line="240" w:lineRule="auto"/>
        <w:jc w:val="center"/>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від «____»________ 2026 р.   №____</w:t>
      </w:r>
    </w:p>
    <w:p w:rsidR="00D8763A" w:rsidRPr="000B20DB" w:rsidRDefault="00D8763A" w:rsidP="00D8763A">
      <w:pPr>
        <w:spacing w:line="240" w:lineRule="auto"/>
        <w:jc w:val="center"/>
        <w:rPr>
          <w:b/>
          <w:bCs/>
        </w:rPr>
      </w:pPr>
      <w:r w:rsidRPr="000B20DB">
        <w:rPr>
          <w:rFonts w:ascii="Times New Roman" w:eastAsia="Times New Roman" w:hAnsi="Times New Roman" w:cs="Times New Roman"/>
          <w:sz w:val="28"/>
          <w:szCs w:val="28"/>
        </w:rPr>
        <w:t>Київ</w:t>
      </w:r>
    </w:p>
    <w:p w:rsidR="00D8763A" w:rsidRPr="000B20DB" w:rsidRDefault="00D8763A" w:rsidP="00D8763A">
      <w:pPr>
        <w:jc w:val="center"/>
      </w:pPr>
    </w:p>
    <w:p w:rsidR="00D8763A" w:rsidRPr="000B20DB" w:rsidRDefault="00D8763A" w:rsidP="00D8763A">
      <w:pPr>
        <w:jc w:val="center"/>
        <w:rPr>
          <w:b/>
          <w:bCs/>
        </w:rPr>
      </w:pPr>
      <w:r w:rsidRPr="000B20DB">
        <w:rPr>
          <w:rFonts w:ascii="Times New Roman" w:eastAsia="Times New Roman" w:hAnsi="Times New Roman" w:cs="Times New Roman"/>
          <w:b/>
          <w:bCs/>
          <w:sz w:val="28"/>
          <w:szCs w:val="28"/>
        </w:rPr>
        <w:t xml:space="preserve">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Pr="000B20DB"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Кабінет Міністрів України постановляє:</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 xml:space="preserve">1. Погодитися з пропозицією Міністерства освіти і науки </w:t>
      </w:r>
      <w:r w:rsidRPr="00E11D52">
        <w:rPr>
          <w:rFonts w:ascii="Times New Roman" w:eastAsia="Times New Roman" w:hAnsi="Times New Roman" w:cs="Times New Roman"/>
          <w:sz w:val="28"/>
          <w:szCs w:val="28"/>
          <w:lang w:val="uk-UA"/>
        </w:rPr>
        <w:t xml:space="preserve">стосовно </w:t>
      </w:r>
      <w:r w:rsidRPr="00E11D52">
        <w:rPr>
          <w:rFonts w:ascii="Times New Roman" w:eastAsia="Times New Roman" w:hAnsi="Times New Roman" w:cs="Times New Roman"/>
          <w:sz w:val="28"/>
          <w:szCs w:val="28"/>
        </w:rPr>
        <w:t>реалізації протягом двох років експериментального проекту</w:t>
      </w:r>
      <w:r w:rsidRPr="000B20DB">
        <w:rPr>
          <w:rFonts w:ascii="Times New Roman" w:eastAsia="Times New Roman" w:hAnsi="Times New Roman" w:cs="Times New Roman"/>
          <w:sz w:val="28"/>
          <w:szCs w:val="28"/>
        </w:rPr>
        <w:t xml:space="preserve">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(далі - експериментальний проект).</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2. Затвердити Порядок реалізації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що додається.</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32378C">
        <w:rPr>
          <w:rFonts w:ascii="Times New Roman" w:eastAsia="Times New Roman" w:hAnsi="Times New Roman" w:cs="Times New Roman"/>
          <w:sz w:val="28"/>
          <w:szCs w:val="28"/>
        </w:rPr>
        <w:t>3. Міністерству освіти і науки:</w:t>
      </w:r>
    </w:p>
    <w:p w:rsidR="00D8763A" w:rsidRPr="0032378C" w:rsidRDefault="00D8763A" w:rsidP="00D8763A">
      <w:pPr>
        <w:ind w:firstLine="720"/>
        <w:jc w:val="both"/>
        <w:rPr>
          <w:rFonts w:ascii="Times New Roman" w:eastAsia="Times New Roman" w:hAnsi="Times New Roman" w:cs="Times New Roman"/>
          <w:sz w:val="28"/>
          <w:szCs w:val="28"/>
        </w:rPr>
      </w:pPr>
    </w:p>
    <w:p w:rsidR="00D8763A" w:rsidRPr="0032378C" w:rsidRDefault="00D8763A" w:rsidP="00D8763A">
      <w:pPr>
        <w:ind w:firstLine="720"/>
        <w:jc w:val="both"/>
        <w:rPr>
          <w:rFonts w:ascii="Times New Roman" w:eastAsia="Times New Roman" w:hAnsi="Times New Roman" w:cs="Times New Roman"/>
          <w:sz w:val="28"/>
          <w:szCs w:val="28"/>
        </w:rPr>
      </w:pPr>
      <w:r w:rsidRPr="0032378C">
        <w:rPr>
          <w:rFonts w:ascii="Times New Roman" w:eastAsia="Times New Roman" w:hAnsi="Times New Roman" w:cs="Times New Roman"/>
          <w:sz w:val="28"/>
          <w:szCs w:val="28"/>
        </w:rPr>
        <w:t xml:space="preserve">протягом трьох місяців з дня набрання чинності цією постановою вжити заходів щодо утворення в структурі державної наукової установи </w:t>
      </w:r>
      <w:r w:rsidRPr="0032378C">
        <w:rPr>
          <w:rFonts w:ascii="Times New Roman" w:eastAsia="Times New Roman" w:hAnsi="Times New Roman" w:cs="Times New Roman"/>
          <w:sz w:val="28"/>
          <w:szCs w:val="28"/>
        </w:rPr>
        <w:lastRenderedPageBreak/>
        <w:t>«Український інститут науково-технічної експертизи та інформації» окремого структурного підрозділу для реалізації завдань, пов’язаних із налагодженням взаємодії між наукою та реальним сектором економіки, для якого передбачено визначення граничних розмірів посадових окладів працівників із застосуванням додаткового коефіцієнту підвищення посадових окладів у граничному розмірі 2,5;</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провести конкурсний відбір спільних прикладних наукових досліджень і науково-технічних (експериментальних) розробок на замовлення бізнесу;</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протягом місяця після завершення конкурсного відбору оприлюднити  інформацію про перелік спільних прикладних наукових досліджень і науково-технічних (експериментальних) розробок на замовлення бізнесу, які визначені переможцями за результатами конкурсного відбору;</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 xml:space="preserve">після завершення реалізації експериментального проекту оприлюднити інформацію про результати його реалізації на своєму офіційному </w:t>
      </w:r>
      <w:proofErr w:type="spellStart"/>
      <w:r w:rsidRPr="000B20DB">
        <w:rPr>
          <w:rFonts w:ascii="Times New Roman" w:eastAsia="Times New Roman" w:hAnsi="Times New Roman" w:cs="Times New Roman"/>
          <w:sz w:val="28"/>
          <w:szCs w:val="28"/>
        </w:rPr>
        <w:t>вебсайті</w:t>
      </w:r>
      <w:proofErr w:type="spellEnd"/>
      <w:r w:rsidRPr="000B20DB">
        <w:rPr>
          <w:rFonts w:ascii="Times New Roman" w:eastAsia="Times New Roman" w:hAnsi="Times New Roman" w:cs="Times New Roman"/>
          <w:sz w:val="28"/>
          <w:szCs w:val="28"/>
        </w:rPr>
        <w:t>;</w:t>
      </w:r>
    </w:p>
    <w:p w:rsidR="00D8763A" w:rsidRPr="000B20DB" w:rsidRDefault="00D8763A" w:rsidP="00D8763A">
      <w:pPr>
        <w:ind w:firstLine="720"/>
        <w:jc w:val="both"/>
        <w:rPr>
          <w:rFonts w:ascii="Times New Roman" w:eastAsia="Times New Roman" w:hAnsi="Times New Roman" w:cs="Times New Roman"/>
          <w:sz w:val="28"/>
          <w:szCs w:val="28"/>
        </w:rPr>
      </w:pPr>
    </w:p>
    <w:p w:rsidR="00D8763A" w:rsidRPr="000B20DB" w:rsidRDefault="00D8763A" w:rsidP="00D8763A">
      <w:pPr>
        <w:ind w:firstLine="720"/>
        <w:jc w:val="both"/>
        <w:rPr>
          <w:rFonts w:ascii="Times New Roman" w:eastAsia="Times New Roman" w:hAnsi="Times New Roman" w:cs="Times New Roman"/>
          <w:sz w:val="28"/>
          <w:szCs w:val="28"/>
        </w:rPr>
      </w:pPr>
      <w:r w:rsidRPr="000B20DB">
        <w:rPr>
          <w:rFonts w:ascii="Times New Roman" w:eastAsia="Times New Roman" w:hAnsi="Times New Roman" w:cs="Times New Roman"/>
          <w:sz w:val="28"/>
          <w:szCs w:val="28"/>
        </w:rPr>
        <w:t>протягом двох місяців після завершення експериментального проекту подати Кабінетові Міністрів України звіт про результати його реалізації, а також у разі потреби пропозиції щодо внесення відповідних змін до законодавчих та інших нормативно-правових актів за результатами реалізації експериментального проекту.</w:t>
      </w:r>
    </w:p>
    <w:p w:rsidR="00D8763A" w:rsidRPr="000B20DB" w:rsidRDefault="00D8763A" w:rsidP="00D8763A">
      <w:pPr>
        <w:ind w:firstLine="720"/>
        <w:jc w:val="both"/>
        <w:rPr>
          <w:rFonts w:ascii="Times New Roman" w:eastAsia="Times New Roman" w:hAnsi="Times New Roman" w:cs="Times New Roman"/>
          <w:sz w:val="28"/>
          <w:szCs w:val="28"/>
        </w:rPr>
      </w:pPr>
    </w:p>
    <w:tbl>
      <w:tblPr>
        <w:tblW w:w="9014" w:type="dxa"/>
        <w:tblLayout w:type="fixed"/>
        <w:tblLook w:val="0400" w:firstRow="0" w:lastRow="0" w:firstColumn="0" w:lastColumn="0" w:noHBand="0" w:noVBand="1"/>
      </w:tblPr>
      <w:tblGrid>
        <w:gridCol w:w="2704"/>
        <w:gridCol w:w="6310"/>
      </w:tblGrid>
      <w:tr w:rsidR="00D8763A" w:rsidRPr="000B20DB" w:rsidTr="004519CE">
        <w:tc>
          <w:tcPr>
            <w:tcW w:w="2704" w:type="dxa"/>
          </w:tcPr>
          <w:p w:rsidR="00D8763A" w:rsidRPr="000B20DB" w:rsidRDefault="00D8763A" w:rsidP="004519CE">
            <w:pPr>
              <w:spacing w:before="300" w:after="150"/>
              <w:jc w:val="center"/>
              <w:rPr>
                <w:rFonts w:ascii="Times New Roman" w:eastAsia="Times New Roman" w:hAnsi="Times New Roman" w:cs="Times New Roman"/>
                <w:sz w:val="28"/>
                <w:szCs w:val="28"/>
              </w:rPr>
            </w:pPr>
            <w:bookmarkStart w:id="3" w:name="bookmark=id.y0uypko2q7td" w:colFirst="0" w:colLast="0"/>
            <w:bookmarkEnd w:id="3"/>
            <w:r w:rsidRPr="000B20DB">
              <w:rPr>
                <w:rFonts w:ascii="Times New Roman" w:eastAsia="Times New Roman" w:hAnsi="Times New Roman" w:cs="Times New Roman"/>
                <w:b/>
                <w:bCs/>
                <w:sz w:val="28"/>
                <w:szCs w:val="28"/>
              </w:rPr>
              <w:t>Прем'єр-міністр України</w:t>
            </w:r>
          </w:p>
        </w:tc>
        <w:tc>
          <w:tcPr>
            <w:tcW w:w="6310" w:type="dxa"/>
          </w:tcPr>
          <w:p w:rsidR="00D8763A" w:rsidRPr="000B20DB" w:rsidRDefault="00D8763A" w:rsidP="004519CE">
            <w:pPr>
              <w:spacing w:before="300"/>
              <w:jc w:val="right"/>
              <w:rPr>
                <w:rFonts w:ascii="Times New Roman" w:eastAsia="Times New Roman" w:hAnsi="Times New Roman" w:cs="Times New Roman"/>
                <w:sz w:val="28"/>
                <w:szCs w:val="28"/>
              </w:rPr>
            </w:pPr>
          </w:p>
          <w:p w:rsidR="00D8763A" w:rsidRPr="000B20DB" w:rsidRDefault="00D8763A" w:rsidP="004519CE">
            <w:pPr>
              <w:jc w:val="center"/>
              <w:rPr>
                <w:rFonts w:ascii="Times New Roman" w:eastAsia="Times New Roman" w:hAnsi="Times New Roman" w:cs="Times New Roman"/>
                <w:b/>
                <w:bCs/>
                <w:sz w:val="28"/>
                <w:szCs w:val="28"/>
              </w:rPr>
            </w:pPr>
            <w:r w:rsidRPr="000B20DB">
              <w:rPr>
                <w:rFonts w:ascii="Times New Roman" w:eastAsia="Times New Roman" w:hAnsi="Times New Roman" w:cs="Times New Roman"/>
                <w:sz w:val="28"/>
                <w:szCs w:val="28"/>
              </w:rPr>
              <w:t xml:space="preserve">                                              </w:t>
            </w:r>
            <w:r w:rsidRPr="000B20DB">
              <w:rPr>
                <w:rFonts w:ascii="Times New Roman" w:eastAsia="Times New Roman" w:hAnsi="Times New Roman" w:cs="Times New Roman"/>
                <w:b/>
                <w:bCs/>
                <w:sz w:val="28"/>
                <w:szCs w:val="28"/>
              </w:rPr>
              <w:t>Ю.СВИРИДЕНКО</w:t>
            </w:r>
          </w:p>
        </w:tc>
      </w:tr>
    </w:tbl>
    <w:p w:rsidR="00D8763A" w:rsidRPr="000B20DB" w:rsidRDefault="00D8763A" w:rsidP="00D8763A">
      <w:pPr>
        <w:rPr>
          <w:rFonts w:ascii="Times New Roman" w:eastAsia="Times New Roman" w:hAnsi="Times New Roman" w:cs="Times New Roman"/>
          <w:sz w:val="28"/>
          <w:szCs w:val="28"/>
        </w:rPr>
      </w:pPr>
    </w:p>
    <w:p w:rsidR="00D8763A" w:rsidRPr="000B20DB" w:rsidRDefault="00D8763A" w:rsidP="00D8763A">
      <w:pPr>
        <w:jc w:val="both"/>
        <w:rPr>
          <w:rFonts w:ascii="Times New Roman" w:eastAsia="Times New Roman" w:hAnsi="Times New Roman" w:cs="Times New Roman"/>
          <w:sz w:val="28"/>
          <w:szCs w:val="28"/>
        </w:rPr>
      </w:pPr>
    </w:p>
    <w:p w:rsidR="00BA4773" w:rsidRDefault="00BA4773">
      <w:pPr>
        <w:widowControl w:val="0"/>
        <w:pBdr>
          <w:top w:val="nil"/>
          <w:left w:val="nil"/>
          <w:bottom w:val="nil"/>
          <w:right w:val="nil"/>
          <w:between w:val="nil"/>
        </w:pBdr>
        <w:spacing w:after="0" w:line="276" w:lineRule="auto"/>
        <w:rPr>
          <w:rFonts w:ascii="Arial" w:eastAsia="Arial" w:hAnsi="Arial" w:cs="Arial"/>
          <w:color w:val="000000"/>
        </w:rPr>
      </w:pPr>
      <w:bookmarkStart w:id="4" w:name="_GoBack"/>
      <w:bookmarkEnd w:id="4"/>
    </w:p>
    <w:tbl>
      <w:tblPr>
        <w:tblStyle w:val="a8"/>
        <w:tblW w:w="5245" w:type="dxa"/>
        <w:tblInd w:w="4111" w:type="dxa"/>
        <w:tblLayout w:type="fixed"/>
        <w:tblLook w:val="0400" w:firstRow="0" w:lastRow="0" w:firstColumn="0" w:lastColumn="0" w:noHBand="0" w:noVBand="1"/>
      </w:tblPr>
      <w:tblGrid>
        <w:gridCol w:w="5245"/>
      </w:tblGrid>
      <w:tr w:rsidR="00BA4773">
        <w:tc>
          <w:tcPr>
            <w:tcW w:w="5245" w:type="dxa"/>
          </w:tcPr>
          <w:p w:rsidR="00BA4773" w:rsidRDefault="00AE67F8">
            <w:pPr>
              <w:spacing w:before="150" w:after="15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ЗАТВЕРДЖЕНО </w:t>
            </w:r>
            <w:r>
              <w:rPr>
                <w:rFonts w:ascii="Times New Roman" w:eastAsia="Times New Roman" w:hAnsi="Times New Roman" w:cs="Times New Roman"/>
                <w:sz w:val="28"/>
                <w:szCs w:val="28"/>
              </w:rPr>
              <w:br/>
              <w:t>постановою Кабінету Міністрів України </w:t>
            </w:r>
            <w:r>
              <w:rPr>
                <w:rFonts w:ascii="Times New Roman" w:eastAsia="Times New Roman" w:hAnsi="Times New Roman" w:cs="Times New Roman"/>
                <w:sz w:val="28"/>
                <w:szCs w:val="28"/>
              </w:rPr>
              <w:br/>
              <w:t>від ___ ______ 2026 року № ___</w:t>
            </w:r>
          </w:p>
        </w:tc>
      </w:tr>
    </w:tbl>
    <w:p w:rsidR="00BA4773" w:rsidRDefault="00BA4773">
      <w:pPr>
        <w:keepLines/>
        <w:spacing w:before="300" w:after="0" w:line="240" w:lineRule="auto"/>
        <w:ind w:left="448" w:right="448"/>
        <w:jc w:val="center"/>
        <w:rPr>
          <w:rFonts w:ascii="Times New Roman" w:eastAsia="Times New Roman" w:hAnsi="Times New Roman" w:cs="Times New Roman"/>
          <w:b/>
          <w:bCs/>
          <w:sz w:val="28"/>
          <w:szCs w:val="28"/>
        </w:rPr>
      </w:pPr>
    </w:p>
    <w:p w:rsidR="00BA4773" w:rsidRDefault="00AE67F8">
      <w:pPr>
        <w:keepLines/>
        <w:spacing w:after="0" w:line="240" w:lineRule="auto"/>
        <w:ind w:left="448" w:right="44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bookmarkStart w:id="5" w:name="bookmark=id.55ez66edtbb1" w:colFirst="0" w:colLast="0"/>
      <w:bookmarkEnd w:id="5"/>
      <w:r>
        <w:rPr>
          <w:rFonts w:ascii="Times New Roman" w:eastAsia="Times New Roman" w:hAnsi="Times New Roman" w:cs="Times New Roman"/>
          <w:b/>
          <w:bCs/>
          <w:sz w:val="28"/>
          <w:szCs w:val="28"/>
        </w:rPr>
        <w:t>ПОРЯДОК </w:t>
      </w:r>
    </w:p>
    <w:p w:rsidR="00BA4773" w:rsidRDefault="00AE67F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реалізації експериментального </w:t>
      </w:r>
      <w:r w:rsidR="00455E64">
        <w:rPr>
          <w:rFonts w:ascii="Times New Roman" w:eastAsia="Times New Roman" w:hAnsi="Times New Roman" w:cs="Times New Roman"/>
          <w:b/>
          <w:bCs/>
          <w:sz w:val="28"/>
          <w:szCs w:val="28"/>
        </w:rPr>
        <w:t>проект</w:t>
      </w:r>
      <w:r>
        <w:rPr>
          <w:rFonts w:ascii="Times New Roman" w:eastAsia="Times New Roman" w:hAnsi="Times New Roman" w:cs="Times New Roman"/>
          <w:b/>
          <w:bCs/>
          <w:sz w:val="28"/>
          <w:szCs w:val="28"/>
        </w:rPr>
        <w:t>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BA4773" w:rsidRDefault="00BA4773">
      <w:pPr>
        <w:spacing w:after="0" w:line="276" w:lineRule="auto"/>
        <w:jc w:val="center"/>
        <w:rPr>
          <w:rFonts w:ascii="Times New Roman" w:eastAsia="Times New Roman" w:hAnsi="Times New Roman" w:cs="Times New Roman"/>
          <w:b/>
          <w:bCs/>
          <w:sz w:val="28"/>
          <w:szCs w:val="28"/>
        </w:rPr>
      </w:pPr>
    </w:p>
    <w:p w:rsidR="00BA4773" w:rsidRDefault="00AE67F8">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положення</w:t>
      </w:r>
    </w:p>
    <w:p w:rsidR="00BA4773" w:rsidRDefault="00BA4773">
      <w:pPr>
        <w:spacing w:after="0" w:line="276" w:lineRule="auto"/>
        <w:jc w:val="center"/>
        <w:rPr>
          <w:rFonts w:ascii="Times New Roman" w:eastAsia="Times New Roman" w:hAnsi="Times New Roman" w:cs="Times New Roman"/>
          <w:b/>
          <w:bCs/>
          <w:color w:val="333333"/>
          <w:sz w:val="24"/>
          <w:szCs w:val="24"/>
        </w:rPr>
      </w:pPr>
    </w:p>
    <w:p w:rsidR="00BA4773" w:rsidRDefault="00AE67F8">
      <w:pPr>
        <w:spacing w:after="0" w:line="276" w:lineRule="auto"/>
        <w:ind w:firstLine="720"/>
        <w:jc w:val="both"/>
        <w:rPr>
          <w:rFonts w:ascii="Times New Roman" w:eastAsia="Times New Roman" w:hAnsi="Times New Roman" w:cs="Times New Roman"/>
          <w:sz w:val="28"/>
          <w:szCs w:val="28"/>
        </w:rPr>
      </w:pPr>
      <w:bookmarkStart w:id="6" w:name="_heading=h.e4c155a9o3ue" w:colFirst="0" w:colLast="0"/>
      <w:bookmarkEnd w:id="6"/>
      <w:r>
        <w:rPr>
          <w:rFonts w:ascii="Times New Roman" w:eastAsia="Times New Roman" w:hAnsi="Times New Roman" w:cs="Times New Roman"/>
          <w:sz w:val="28"/>
          <w:szCs w:val="28"/>
        </w:rPr>
        <w:t xml:space="preserve">1. Цей Порядок визначає процедуру реалізації експериментального </w:t>
      </w:r>
      <w:r w:rsidR="00455E64">
        <w:rPr>
          <w:rFonts w:ascii="Times New Roman" w:eastAsia="Times New Roman" w:hAnsi="Times New Roman" w:cs="Times New Roman"/>
          <w:sz w:val="28"/>
          <w:szCs w:val="28"/>
        </w:rPr>
        <w:t>проект</w:t>
      </w:r>
      <w:r>
        <w:rPr>
          <w:rFonts w:ascii="Times New Roman" w:eastAsia="Times New Roman" w:hAnsi="Times New Roman" w:cs="Times New Roman"/>
          <w:sz w:val="28"/>
          <w:szCs w:val="28"/>
        </w:rPr>
        <w:t>у щодо конкурсного відбору</w:t>
      </w:r>
      <w:r>
        <w:rPr>
          <w:rFonts w:ascii="Times New Roman" w:eastAsia="Times New Roman" w:hAnsi="Times New Roman" w:cs="Times New Roman"/>
          <w:sz w:val="30"/>
          <w:szCs w:val="30"/>
        </w:rPr>
        <w:t xml:space="preserve"> </w:t>
      </w:r>
      <w:r>
        <w:rPr>
          <w:rFonts w:ascii="Times New Roman" w:eastAsia="Times New Roman" w:hAnsi="Times New Roman" w:cs="Times New Roman"/>
          <w:sz w:val="28"/>
          <w:szCs w:val="28"/>
        </w:rPr>
        <w:t xml:space="preserve">спільних прикладних наукових досліджень і науково-технічних (експериментальних) розробок закладів вищої освіти, наукових установ та підприємств, організацій реального сектору економіки (далі - конкурс), які отримують фінансову підтримку на умовах співфінансування з метою створення партнерських зв'язків між наукою, бізнесом та державою, інтеграції нових технологій у виробничі процеси підприємств, що підвищить їх конкурентоспроможність на внутрішньому та міжнародному ринках. </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Координатором експериментального </w:t>
      </w:r>
      <w:r w:rsidR="00455E64">
        <w:rPr>
          <w:rFonts w:ascii="Times New Roman" w:eastAsia="Times New Roman" w:hAnsi="Times New Roman" w:cs="Times New Roman"/>
          <w:sz w:val="28"/>
          <w:szCs w:val="28"/>
        </w:rPr>
        <w:t>проект</w:t>
      </w:r>
      <w:r>
        <w:rPr>
          <w:rFonts w:ascii="Times New Roman" w:eastAsia="Times New Roman" w:hAnsi="Times New Roman" w:cs="Times New Roman"/>
          <w:sz w:val="28"/>
          <w:szCs w:val="28"/>
        </w:rPr>
        <w:t>у є МОН.</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Учасниками експериментального </w:t>
      </w:r>
      <w:r w:rsidR="00455E64">
        <w:rPr>
          <w:rFonts w:ascii="Times New Roman" w:eastAsia="Times New Roman" w:hAnsi="Times New Roman" w:cs="Times New Roman"/>
          <w:sz w:val="28"/>
          <w:szCs w:val="28"/>
        </w:rPr>
        <w:t>проект</w:t>
      </w:r>
      <w:r>
        <w:rPr>
          <w:rFonts w:ascii="Times New Roman" w:eastAsia="Times New Roman" w:hAnsi="Times New Roman" w:cs="Times New Roman"/>
          <w:sz w:val="28"/>
          <w:szCs w:val="28"/>
        </w:rPr>
        <w:t>у 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наукові установи та суб'єкти підприємства - учасники конкурсу спільних прикладних наукових досліджень і науково-технічних (експериментальних) розробок.</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цьому Порядку терміни вживаються в такому значенні:</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виконавець - заклад вищої освіти або наукова установа, який (яка) подав документи для участі у конкурсі та проводитиме прикладні наукові дослідження і науково-технічні (експериментальні) розробки на користь ініціатора;</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заявка на участь у конкурсі (далі - заявка) - документ, оформлений учасником конкурсу за встановленою організатором конкурсу формою; </w:t>
      </w:r>
      <w:r>
        <w:rPr>
          <w:rFonts w:ascii="Times New Roman" w:eastAsia="Times New Roman" w:hAnsi="Times New Roman" w:cs="Times New Roman"/>
          <w:sz w:val="28"/>
          <w:szCs w:val="28"/>
        </w:rPr>
        <w:lastRenderedPageBreak/>
        <w:t>видами заявки відповідно до цього Порядку є: самостійна заявка виконавця; спільна заявка виконавця та ініціатора;</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ініціатор - суб’єкт малого, середнього або великого підприємництва, який бере участь у формуванні технічного завдання, тематики спільних прикладних наукових досліджень і науково-технічних (експериментальних) розробок та/або у їх виконанні спільно з виконавцем, а також бере участь у їх </w:t>
      </w:r>
      <w:proofErr w:type="spellStart"/>
      <w:r>
        <w:rPr>
          <w:rFonts w:ascii="Times New Roman" w:eastAsia="Times New Roman" w:hAnsi="Times New Roman" w:cs="Times New Roman"/>
          <w:sz w:val="28"/>
          <w:szCs w:val="28"/>
        </w:rPr>
        <w:t>співфінансуванні</w:t>
      </w:r>
      <w:proofErr w:type="spellEnd"/>
      <w:r>
        <w:rPr>
          <w:rFonts w:ascii="Times New Roman" w:eastAsia="Times New Roman" w:hAnsi="Times New Roman" w:cs="Times New Roman"/>
          <w:sz w:val="28"/>
          <w:szCs w:val="28"/>
        </w:rPr>
        <w:t xml:space="preserve"> на умовах, визначених у цьому Порядку;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 МОН;</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співвиконавець – юридична особа, незалежно від організаційно-правової форми (у тому числі ініціатор), яка на договірних засадах зазначена у заявці як співвиконавець основних завдань у рамках проведення спільних прикладних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спільні прикладні наукові дослідження і науково-технічні (експериментальні) розробки - дослідження та розробки, які проводяться виконавцем (співвиконавцями) самостійно та/або спільно з ініціатором на користь ініціатора за попередньо визначеною ним тематикою та технічним завданням відповідно до цього Порядку;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конкурсу - виконавець (співвиконавці) та/або ініціатор, які подали заявку на участь у конкурсі.</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Терміни “суб’єкт малого підприємництва”, “суб’єкт середнього підприємництва” та “суб’єкт великого підприємництва” вживається у значенні, наведеному в Законі України “Про особливості регулювання діяльності юридичних осіб окремих організаційно-правових форм у перехідний період та об’єднань юридичних осіб”.</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терміни вживаються у значенні, наведеному в Цивільному кодексі України, Законах України “Про наукову і науково-технічну діяльність”, “Про вищу освіту”, “Про освіту”.</w:t>
      </w:r>
    </w:p>
    <w:p w:rsidR="00BA4773" w:rsidRDefault="00BA4773">
      <w:pPr>
        <w:spacing w:after="0" w:line="276" w:lineRule="auto"/>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Конкурс проводиться відповідно до цього Порядку з метою надання фінансової підтримки на проведення спільних прикладних наукових досліджень і науково-технічних (експериментальних) розробок на замовлення бізнесу на умовах співфінансування.</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Фінансова підтримка надається відповідно до Закону України “Про державну допомогу суб’єктам господарювання” з урахуванням критеріїв </w:t>
      </w:r>
      <w:r>
        <w:rPr>
          <w:rFonts w:ascii="Times New Roman" w:eastAsia="Times New Roman" w:hAnsi="Times New Roman" w:cs="Times New Roman"/>
          <w:sz w:val="28"/>
          <w:szCs w:val="28"/>
        </w:rPr>
        <w:lastRenderedPageBreak/>
        <w:t>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w:t>
      </w:r>
      <w:r w:rsidR="00634FE3">
        <w:rPr>
          <w:rFonts w:ascii="Times New Roman" w:eastAsia="Times New Roman" w:hAnsi="Times New Roman" w:cs="Times New Roman"/>
          <w:sz w:val="28"/>
          <w:szCs w:val="28"/>
        </w:rPr>
        <w:t>бінету Міністрів України від</w:t>
      </w:r>
      <w:r w:rsidR="00634FE3">
        <w:rPr>
          <w:rFonts w:ascii="Times New Roman" w:eastAsia="Times New Roman" w:hAnsi="Times New Roman" w:cs="Times New Roman"/>
          <w:sz w:val="28"/>
          <w:szCs w:val="28"/>
          <w:lang w:val="uk-UA"/>
        </w:rPr>
        <w:t> </w:t>
      </w:r>
      <w:r w:rsidR="00634FE3">
        <w:rPr>
          <w:rFonts w:ascii="Times New Roman" w:eastAsia="Times New Roman" w:hAnsi="Times New Roman" w:cs="Times New Roman"/>
          <w:sz w:val="28"/>
          <w:szCs w:val="28"/>
        </w:rPr>
        <w:t>18</w:t>
      </w:r>
      <w:r w:rsidR="00634FE3">
        <w:rPr>
          <w:rFonts w:ascii="Times New Roman" w:eastAsia="Times New Roman" w:hAnsi="Times New Roman" w:cs="Times New Roman"/>
          <w:sz w:val="28"/>
          <w:szCs w:val="28"/>
          <w:lang w:val="uk-UA"/>
        </w:rPr>
        <w:t> </w:t>
      </w:r>
      <w:r w:rsidR="00634FE3">
        <w:rPr>
          <w:rFonts w:ascii="Times New Roman" w:eastAsia="Times New Roman" w:hAnsi="Times New Roman" w:cs="Times New Roman"/>
          <w:sz w:val="28"/>
          <w:szCs w:val="28"/>
        </w:rPr>
        <w:t>лютого 2026 р. №</w:t>
      </w:r>
      <w:r w:rsidR="00634F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216.</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Максимальний розмір державної допомоги для: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спільних прикладних наукових досліджень не повинен перевищувати: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відсотків сукупного розміру допустимих витрат - для суб’єктів великого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відсотків сукупного розміру допустимих витрат - для суб’єктів середнього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 відсотків сукупного розміру допустимих витрат - для суб’єктів малого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спільних науково-технічних (експериментальних) розробок не повинен перевищувати: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відсотків сукупного розміру допустимих витрат - для суб’єктів великого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відсотків сукупного розміру допустимих витрат - для суб’єктів середнього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відсотків сукупного розміру допустимих витрат - для суб’єктів малого підприємництва, які подали заявку на участь у конкурсі спільно з закладом вищої освіти або науковою установою.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Решта витрат покривається за рахунок ініціатора.</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Фінансова підтримка надається за рахунок коштів державного бюджету на строк, визначений організатором конкурсу, але не більше, ніж на два роки. </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Конкурс проводиться з дотриманням принципів законності, рівності умов для учасників конкурсу, прозорості, відкритості, об’єктивності, уникнення конфлікту інтересів.</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Проведення конкурсу здійснюється за такими етапами: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Радою МОН з розвитку інновацій (далі - Рада) відбору технічних завдань ініціаторів з урахуванням пріоритетних напрямів конкурсу, потреб ініціатора та потенціалу до комерціалізації та/або практичного впровадження результатів наукових досліджень і науково-технічних (експериментальних) розробок;</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оголошення про проведення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приймання (одержання) документів та реєстрація заявок, поданих учасниками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попередній розгляд поданих учасниками конкурсу заявок та доданих до них документів на відповідність вимогам, встановленим умовами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наукової і науково-технічної експертизи заявок;</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Радою з урахуванням результатів наукової і науково-технічної експертизи заявок пропозицій щодо переліку спільних прикладних наукових досліджень і науково-технічних (експериментальних) розробок, на проведення яких планується надання фінансової підтримки, - переможців конкурсу;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організатором конкурсу рішення про затвердження результатів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результатів конкурсу з переліком переможців конкурсу та визначеним організатором конкурсу обсягом фінансової підтримки для кожного з переможців конкурсу на відповідний рік.</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Учасники конкурсу та умови участі </w:t>
      </w:r>
    </w:p>
    <w:p w:rsidR="00BA4773" w:rsidRDefault="00BA4773">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Учасниками конкурсу на отримання фінансової підтримки на умовах співфінансування може бути заклад вищої освіти, наукова установа, які пройшли державну атестацію у визначеному законодавством порядку, та суб’єкт малого, середнього або великого підприємництва, у тому числі науковий парк, які подали заявку для участі у конкурсі.</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Учасниками конкурсу не можуть бути: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юридичні особи, утворені відповідно до законодавства держави, що визнана відповідно до закону державою-агресором або державою-окупантом, або громадянин такої держави, який постійно на законних </w:t>
      </w:r>
      <w:r>
        <w:rPr>
          <w:rFonts w:ascii="Times New Roman" w:eastAsia="Times New Roman" w:hAnsi="Times New Roman" w:cs="Times New Roman"/>
          <w:sz w:val="28"/>
          <w:szCs w:val="28"/>
        </w:rPr>
        <w:lastRenderedPageBreak/>
        <w:t>підставах проживає на території України, є учасником (акціонером) юридичної особи, частка якого в статутному капіталі з урахуванням відносин контролю становить 10 або більше відсотків, або членом, або кінцевим бенефіціарним власником;</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юридичні особи, віднесені до юридичних осіб, до яких застосовуються спеціальні економічні та інші обмежувальні заходи (санкції) відповідними рішеннями Ради національної безпеки і оборони України, введеними в дію указами Президента України щодо застосування персональних (спеціальних) економічних та інших обмежувальних заходів (санкцій) відповідно до Закону України “Про санкції”;</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юридичні особи, щодо яких порушено справи про банкрутство та/або яких визнано банкрутами, та/або які перебувають на стадії ліквідації;</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юридичні особи, які мають заборгованості за </w:t>
      </w:r>
      <w:proofErr w:type="spellStart"/>
      <w:r>
        <w:rPr>
          <w:rFonts w:ascii="Times New Roman" w:eastAsia="Times New Roman" w:hAnsi="Times New Roman" w:cs="Times New Roman"/>
          <w:sz w:val="28"/>
          <w:szCs w:val="28"/>
        </w:rPr>
        <w:t>платежами</w:t>
      </w:r>
      <w:proofErr w:type="spellEnd"/>
      <w:r>
        <w:rPr>
          <w:rFonts w:ascii="Times New Roman" w:eastAsia="Times New Roman" w:hAnsi="Times New Roman" w:cs="Times New Roman"/>
          <w:sz w:val="28"/>
          <w:szCs w:val="28"/>
        </w:rPr>
        <w:t>, здійснення контролю за справлянням яких покладено на контролюючі органи.</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Обов’язковими умовами для участі у конкурсі є:</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учасниками конкурсу тематики спільних прикладних наукових досліджень і науково-технічних (експериментальних) розробок та технічного завдання відповідно до пріоритетних напрямів конкурсу, потреб ініціатора та потенціалу до комерціалізації та/або практичного впровадження;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спільного подання заявки закладом вищої освіти або науковою установою та суб’єктом малого, середнього або великого підприємництва засвідчення їхньої попередньої домовленості договором;</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співфінансування з боку ініціатора, що підтверджується довідкою у встановленій організатором конкурсу формі;</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передбачення у кошторисі витрат, спрямованих на впровадження результатів наукових досліджень і науково-технічних (експериментальних) розробок в Україні;</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вимогам та обмеженням, встановленим законодавством України щодо надання державної допомоги;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у заявці та доданих до неї документах відомостей, які становлять державну таємницю.</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тематики конкурсу </w:t>
      </w:r>
    </w:p>
    <w:p w:rsidR="00BA4773" w:rsidRDefault="00BA4773">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 Конкурс проводиться організатором конкурсу за одним або кількома з таких пріоритетних напрямів (далі – пріоритетний напрям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технологічне оновлення та розвиток сфер національної безпеки і оборони;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транспортування енергії, впровадження енергоефективних, ресурсозберігаючих технологій, освоєння альтернативних джерел енергії;</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високотехнологічного розвитку транспортної системи, ракетно-космічної галузі, авіа- і суднобудування, озброєння та військової техніки;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виробництва матеріалів, їх оброблення і з’єднання, створення індустрії наноматеріалів та нанотехнологій;</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технологічне оновлення та розвиток агропромислового комплексу;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нових технологій та обладнання для якісного медичного обслуговування, лікування, фармацевтики;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широке застосування технологій більш чистого виробництва та охорони навколишнього природного середовища;</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сучасних інформаційних, комунікаційних технологій, робототехніки;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напрями, не заборонені законодавством.</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Тематика спільних прикладних наукових досліджень і науково-технічних (експериментальних) розробок, за якою учасники подаються на конкурс, формується двома способами.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Здійснення Радою відбору технічних завдань ініціаторів на основі їхнього запиту (формування тематики за запитом ініціатора).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формуванні тематики на основі запитів ініціаторів організатор конкурсу оголошує збір пропозицій щодо технічних завдань від суб'єктів малого, середнього та великого підприємництва.</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від ініціаторів подаються у формі запитів, що обов'язково містять опис технологічного виклику, технічні вимоги до кінцевого результату наукових досліджень та науково-технічних (експериментальних) розробок, обґрунтування потреби, а також засвідчення готовності співфінансування.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Відбір технічних завдань ініціаторів здійснюється Радою за такими критеріями: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пріоритетним напрямам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орієнтація на пріоритетні потреби ініціатора;</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спрямованість на створення інноваційної та конкурентоспроможної продукції;</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подальшої комерціалізації та/або практичного впровадження.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Рада на своєму засіданні затверджує перелік технічних завдань та тематик, які будуть винесені на конкурс для відбору виконавців.</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Здійснення формування тематики виконавцем (співвиконавцями) та ініціатором самостійно.</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Виконавець та ініціатор можуть подати спільну заявку для участі в конкурсі за самостійно визначеною ними тематикою, яка повинна відповідати критеріям, визначеним організатором конкурсу.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формуванням тематики учасники конкурсу (виконавець або ініціатор) можуть звернутися до організатора конкурсу з метою отримання консультаційної підтримки щодо пошуку партнера для подання спільної заявки, формування тематики спільних прикладних наукових досліджень і науково-технічних (експериментальних) розробок та/або попереднього технічного завдання.</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до проведення конкурсу</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Рішення про проведення конкурсу приймається організатором конкурсу з урахуванням розміру бюджетних призначень, передбачених у державному бюджеті на відповідний рік.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Організатор конкурсу визначає вимоги до організації та проведення конкурсу, строки подання та розгляду заявок, загальний обсяг фінансування конкурсу, обсяги фінансування спільних прикладних наукових досліджень і науково-технічних (експериментальних) розробок.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затверджує: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оголошення про проведення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 заявки, яка подається учасниками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 довідки про підтвердження наявності співфінансування з боку ініціатора;</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примірну форму договору про надання фінансової підтримки;</w:t>
      </w:r>
    </w:p>
    <w:p w:rsidR="00BA4773" w:rsidRDefault="00AE67F8">
      <w:pPr>
        <w:spacing w:after="0" w:line="276" w:lineRule="auto"/>
        <w:ind w:firstLine="720"/>
        <w:jc w:val="both"/>
      </w:pPr>
      <w:r>
        <w:rPr>
          <w:rFonts w:ascii="Times New Roman" w:eastAsia="Times New Roman" w:hAnsi="Times New Roman" w:cs="Times New Roman"/>
          <w:sz w:val="28"/>
          <w:szCs w:val="28"/>
        </w:rPr>
        <w:t>інші документи, необхідні для проведення конкурсу.</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Організатор конкурсу визначає структурний підрозділ, уповноважений здійснювати організаційне забезпечення проведення конкурсу, який виконує такі функції:</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підготовки та проведення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заявок та документів на їх відповідність вимогам, встановленим цим Порядком, забезпечення подання їх на розгляд секцій;</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реєстрації експертних висновків, складених за результатами наукової і науково-технічної експертизи заявок;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моніторингу виконання спільних прикладних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Інформаційно-аналітичне забезпечення проведення конкурсу здійснює державна наукова установа “Український інститут науково-технічної експертизи та інформації”, на яку покладено завдання, пов’язані із налагодженням взаємодії між наукою та реальним сектором економіки, з метою забезпечення підтримки інноваційної діяльності закладів вищої освіти та наукових установ, забезпечення трансферу (передачі) технологій, розроблення та впровадження інструментів комерціалізації результатів наукових досліджень і науково-технічних (експериментальних) розробок та розвитку партнерства науки, бізнесу та держави у сфері наукової та науково-технічної діяльності з урахуванням національного та світового досвіду (далі -Установа).</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Установа виконує зокрема такі функції:</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потреб бізнесу щодо впровадження нових технологічних рішень і забезпечення ефективної комунікації між вченими та представниками підприємницького середовища;</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потреб ініціаторів, підготовка та збір технічних завдань від ініціаторів;</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заходів щодо налагодження партнерств між наукою та представниками реального сектору економіки з метою забезпечення подання ними спільної заявки для участі у конкурсі;</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консультаційної підтримки потенційним учасникам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визначення потенціалу до комерціалізації та/або практичного впровадження результатів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розроблення та реалізація стратегій з комерціалізації результатів наукових досліджень і науково-технічних (експериментальних) розробок, а також сприяння трансферу технологій та підтримка діяльності підрозділів з трансферу технологій та інноваційного розвитку закладів вищої освіти та наукових установ, забезпечення їх координації з метою підвищення ефективності їх роботи;</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моніторингу та аналізу ефективності впровадження результатів наукових досліджень і науково-технічних (експериментальних) розробок у практичну діяльність підприємств;</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вжиття інших заходів щодо налагодження взаємозв'язку між наукою та реальним сектором економіки, що сприятимуть проведенню спільних прикладних наукових досліджень і науково-технічних (експериментальних) розробок, ефективній комерціалізації таких результатів та трансферу технологій тощо.</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Науково-експертне забезпечення конкурсу здійснюють Рада та секції Ради за пріоритетними напрямами конкурсу (далі - Секції).</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Ради входять по два представники МОН та Мінекономіки, голови Секцій, по одній кандидатурі провідних вчених, яких делеговано до складу Ради Національною академією наук, Радою проректорів з наукової роботи закладів вищої освіти, Науковим комітетом Національної ради України з питань розвитку науки і технологій та представники підприємств, організацій реального сектору економіки.</w:t>
      </w:r>
    </w:p>
    <w:p w:rsidR="007A7898" w:rsidRPr="007A7898" w:rsidRDefault="007A7898">
      <w:pPr>
        <w:spacing w:after="0" w:line="276"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Положення про Раду та її персональний склад затверджуються наказом МОН.</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членів Ради не перевищує шістнадцять осіб.</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Ради беруть участь у роботі Ради на громадських засадах.</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Ради та Секцій не можуть бути учасниками конкурсу.</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конкурсу</w:t>
      </w:r>
    </w:p>
    <w:p w:rsidR="00BA4773" w:rsidRDefault="00BA4773">
      <w:pPr>
        <w:spacing w:after="0" w:line="276" w:lineRule="auto"/>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Конкурс оголошується шляхом розміщення оголошення про проведення конкурсу на офіційних вебресурсах МОН.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оголошенні про проведення конкурсу обов’язково зазначаються: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пріоритетні напрями конкурсу, за якими формується тематика спільних прикладних наукових досліджень і науково-технічних (експериментальних) розробок, за якою учасники подаються на конкурс;</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конкурсного відбору, місце його проведення;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учасників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документів, необхідних для подання;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за якими здійснюється конкурсний відбір;</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кінцевий строк подання заявок на участь у конкурсі, строки розгляду заявок і підбиття підсумків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заявок на участь у конкурсі;</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відомості щодо порядку проведення спільних прикладних наукових досліджень і науково-технічних (експериментальних) розробок та умов співфінансування;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істотні умови договору, який буде укладено за результатами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фінансової підтримки, що буде надаватися за результатами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оголошення додається зразки форм заявок та рекомендації щодо їх заповнення, примірна форма договору про надання фінансової підтримки, зразок заяви щодо відповідності учасника конкурсу вимогам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18 лютого 2026 р. № 216, а також інші документи, зазначені в умовах конкурсу.</w:t>
      </w:r>
    </w:p>
    <w:p w:rsidR="00BA4773" w:rsidRDefault="00AE67F8">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Датою початку конкурсу є дата оприлюднення оголошення про проведення конкурсу.</w:t>
      </w:r>
    </w:p>
    <w:p w:rsidR="00BA4773" w:rsidRDefault="00BA4773">
      <w:pPr>
        <w:spacing w:after="0" w:line="276" w:lineRule="auto"/>
        <w:ind w:firstLine="708"/>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У випадку формування тематики за запитом ініціаторів заявку до МОН подає виконавець, до якої додає: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спроможності виконання спільних прикладних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підтвердження факту того, що науковий керівник спільних прикладних наукових досліджень і науково-технічних (експериментальних) </w:t>
      </w:r>
      <w:r>
        <w:rPr>
          <w:rFonts w:ascii="Times New Roman" w:eastAsia="Times New Roman" w:hAnsi="Times New Roman" w:cs="Times New Roman"/>
          <w:sz w:val="28"/>
          <w:szCs w:val="28"/>
        </w:rPr>
        <w:lastRenderedPageBreak/>
        <w:t>розробок є співробітником установи-учасника конкурсу за основним місцем роботи (із зазначенням його посади);</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з метою встановлення відсутності підстав для відхилення заявки учасника конкурсу відповідно до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w:t>
      </w:r>
      <w:r w:rsidR="00634FE3">
        <w:rPr>
          <w:rFonts w:ascii="Times New Roman" w:eastAsia="Times New Roman" w:hAnsi="Times New Roman" w:cs="Times New Roman"/>
          <w:sz w:val="28"/>
          <w:szCs w:val="28"/>
        </w:rPr>
        <w:t>ів України від</w:t>
      </w:r>
      <w:r w:rsidR="00634FE3">
        <w:rPr>
          <w:rFonts w:ascii="Times New Roman" w:eastAsia="Times New Roman" w:hAnsi="Times New Roman" w:cs="Times New Roman"/>
          <w:sz w:val="28"/>
          <w:szCs w:val="28"/>
          <w:lang w:val="uk-UA"/>
        </w:rPr>
        <w:t> </w:t>
      </w:r>
      <w:r w:rsidR="00634FE3">
        <w:rPr>
          <w:rFonts w:ascii="Times New Roman" w:eastAsia="Times New Roman" w:hAnsi="Times New Roman" w:cs="Times New Roman"/>
          <w:sz w:val="28"/>
          <w:szCs w:val="28"/>
        </w:rPr>
        <w:t>18</w:t>
      </w:r>
      <w:r w:rsidR="00634FE3">
        <w:rPr>
          <w:rFonts w:ascii="Times New Roman" w:eastAsia="Times New Roman" w:hAnsi="Times New Roman" w:cs="Times New Roman"/>
          <w:sz w:val="28"/>
          <w:szCs w:val="28"/>
          <w:lang w:val="uk-UA"/>
        </w:rPr>
        <w:t> </w:t>
      </w:r>
      <w:r w:rsidR="00634FE3">
        <w:rPr>
          <w:rFonts w:ascii="Times New Roman" w:eastAsia="Times New Roman" w:hAnsi="Times New Roman" w:cs="Times New Roman"/>
          <w:sz w:val="28"/>
          <w:szCs w:val="28"/>
        </w:rPr>
        <w:t>лютого 2026 р. №</w:t>
      </w:r>
      <w:r w:rsidR="00634FE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216.</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У випадку формування тематики виконавцем (співвиконавцями) та ініціатором самостійно заявку до МОН подають виконавець та ініціатор спільно, до якої додають:</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обґрунтування спільного формування тематики прикладних наукових досліджень і науково-технічних (експериментальних) розробок з урахуванням потреб ініціатора та потенціалу до комерціалізації та/або практичного впровадження;</w:t>
      </w:r>
    </w:p>
    <w:p w:rsidR="00BA4773" w:rsidRDefault="00455E64">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договір про співробітництво</w:t>
      </w:r>
      <w:r w:rsidR="00AE67F8">
        <w:rPr>
          <w:rFonts w:ascii="Times New Roman" w:eastAsia="Times New Roman" w:hAnsi="Times New Roman" w:cs="Times New Roman"/>
          <w:sz w:val="28"/>
          <w:szCs w:val="28"/>
        </w:rPr>
        <w:t>, підписаний виконавцем та ініціатором;</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готовності ініціатора до співфінансування та подальшої комерціалізації та/або впровадження результатів наукових досліджень і науково-технічних (експериментальних)розробок;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факту, що прикладне наукове дослідження і науково-технічна (експериментальна) розробка не подані на інший конкурс з метою отримання фінансування за рахунок коштів державного бюджету, або ж не фінансуються чи не фінансувалися раніше за рахунок бюджетних коштів за результатами іншого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підтвердження з метою встановлення відсутності підстав для відхилення заявки учасника конкурсу відповідно до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w:t>
      </w:r>
      <w:r w:rsidR="00982980">
        <w:rPr>
          <w:rFonts w:ascii="Times New Roman" w:eastAsia="Times New Roman" w:hAnsi="Times New Roman" w:cs="Times New Roman"/>
          <w:sz w:val="28"/>
          <w:szCs w:val="28"/>
        </w:rPr>
        <w:t>Міністрів України від</w:t>
      </w:r>
      <w:r w:rsidR="00982980">
        <w:rPr>
          <w:rFonts w:ascii="Times New Roman" w:eastAsia="Times New Roman" w:hAnsi="Times New Roman" w:cs="Times New Roman"/>
          <w:sz w:val="28"/>
          <w:szCs w:val="28"/>
          <w:lang w:val="uk-UA"/>
        </w:rPr>
        <w:t> </w:t>
      </w:r>
      <w:r w:rsidR="00982980">
        <w:rPr>
          <w:rFonts w:ascii="Times New Roman" w:eastAsia="Times New Roman" w:hAnsi="Times New Roman" w:cs="Times New Roman"/>
          <w:sz w:val="28"/>
          <w:szCs w:val="28"/>
        </w:rPr>
        <w:t>18</w:t>
      </w:r>
      <w:r w:rsidR="00982980">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лютого 2026 р. № 216.</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Усі заявки подаються в електронній формі через Національну електронну науково-інформаційну систему (далі - система) з накладеним кваліфікованим електронним підписом або удосконаленим електронним підписом, що базується на кваліфікованому сертифікаті електронного </w:t>
      </w:r>
      <w:r>
        <w:rPr>
          <w:rFonts w:ascii="Times New Roman" w:eastAsia="Times New Roman" w:hAnsi="Times New Roman" w:cs="Times New Roman"/>
          <w:sz w:val="28"/>
          <w:szCs w:val="28"/>
        </w:rPr>
        <w:lastRenderedPageBreak/>
        <w:t xml:space="preserve">підпису, з використанням можливостей системи відповідно до положень Порядку роботи Національної електронної науково-інформаційної системи, затвердженого наказом МОН від 8 січня 2024 р. № 10, зареєстрованого в Мін’юсті 5 березня 2024 р. за № 323/41668, та відповідно до процедури, визначеної організатором в оголошенні про проведення конкурсу.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подання двох або більше заявок на участь у конкурсі, де науковим керівником є одна й та сама особа, до розгляду приймається лише одна заявка, яка була подана першою.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або внесення уточнень до поданих для участі у конкурсі документів після закінчення строку подання заявок не допускається.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Документи учасника конкурсу, що надійшли після зазначеного в оголошенні про проведення конкурсу кінцевого строку подання заявок, не розглядаються.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Кінцевий строк подання заявок визначається в оголошенні та не може становити менше, ніж тридцять календарних днів з дати оприлюднення такого оголошення.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рішенням організатора конкурсу строк подання заявок може бути продовжено.</w:t>
      </w:r>
    </w:p>
    <w:p w:rsidR="00BA4773" w:rsidRDefault="00BA4773">
      <w:pPr>
        <w:spacing w:after="0" w:line="276" w:lineRule="auto"/>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Попередній розгляд поданих учасниками конкурсу заявок та доданих до них документів на відповідність вимогам, встановленим умовами конкурсу, здійснює організатор конкурсу відповідно до пункту 12 цього Порядку.</w:t>
      </w:r>
    </w:p>
    <w:sdt>
      <w:sdtPr>
        <w:tag w:val="goog_rdk_0"/>
        <w:id w:val="1142628534"/>
      </w:sdtPr>
      <w:sdtEndPr/>
      <w:sdtContent>
        <w:p w:rsidR="00BA4773" w:rsidRPr="00455E64"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попередньому розгляді поданих заявок організатор конкурсу обов'язково перевіряє відомості з Єдиного реєстру підприємств, щодо яких порушено провадження у справі про банкрутство та відомості про відсутність заборгованості за </w:t>
          </w:r>
          <w:proofErr w:type="spellStart"/>
          <w:r>
            <w:rPr>
              <w:rFonts w:ascii="Times New Roman" w:eastAsia="Times New Roman" w:hAnsi="Times New Roman" w:cs="Times New Roman"/>
              <w:sz w:val="28"/>
              <w:szCs w:val="28"/>
            </w:rPr>
            <w:t>платежами</w:t>
          </w:r>
          <w:proofErr w:type="spellEnd"/>
          <w:r>
            <w:rPr>
              <w:rFonts w:ascii="Times New Roman" w:eastAsia="Times New Roman" w:hAnsi="Times New Roman" w:cs="Times New Roman"/>
              <w:sz w:val="28"/>
              <w:szCs w:val="28"/>
            </w:rPr>
            <w:t>, здійснення контролю за справлянням яких покладено на контролюючі органи, дійсну станом на момент подання заявки.</w:t>
          </w:r>
        </w:p>
      </w:sdtContent>
    </w:sdt>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Підставами для відхилення заявки 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невідповідність форми, поданої учасником конкурсу, формі заявки, визначеної організатором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учасником конкурсу документів не в повному обсязі або таких, що не відповідають вимогам, встановленим організатором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недостовірних відомостей у поданих учасником конкурсу документах.</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Заявки, оформлення яких не відповідає встановленій МОН формі та формальним вимогам конкурсу, після попереднього розгляду повертаються на доопрацювання, відхиляються або блокуються в системі відповідно до Порядку роботи Національної електронної науково-інформаційної системи, затвердженого наказом МОН від 8 січня 2024 р. № 10, зареєстрованого в Мін’юсті 5 березня 2024 р. за № 323/41668, із зазначенням причини та переліку зауважень, які потребують доопрацювання.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Підставами для повернення на доопрацювання заявки за результатами попереднього розгляду за формальними ознаками 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учасником Конкурсу документів, що не у повній мірі відповідають встановленим цим Оголошенням вимогам;</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помилок та інформації, яка не має однозначного трактування та/або потребує уточнення.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Підставами для відхилення заявки за результатами розгляду 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невідповідність форми, поданої учасником конкурсу, формі заявки, визначеної організатором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учасником конкурсу документів не в повному обсязі або таких, що не відповідають вимогам, встановленим організатором конкурсу;</w:t>
      </w:r>
    </w:p>
    <w:p w:rsidR="00BA4773" w:rsidRPr="00455E64"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недостовірних відомостей у поданих учасником конкурсу документах.</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конкурсу може повторно протягом семи календарних днів з дати повернення заявки подати доопрацьовані документи, але не пізніше закінчення строку подання заявок на участь у конкурсі.</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закінчення строку подання заявок на участь у конкурсі, заміна та перегляд поданих для участі в конкурсі документів не допускаються.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Заявки, відхилені за результатами попереднього розгляду, до проведення наукової і науково-технічної експертизи не передаються.</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відхилення заявок організатор конкурсу повідомляє учасників в електронній формі протягом трьох робочих днів після закінчення строку попереднього розгляду усіх заявок.</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Прийняті до розгляду заявки проходять наукову і науково-технічну експертизу відповідно до Закону України “Про наукову та науково-технічну експертизу”</w:t>
      </w:r>
      <w:r>
        <w:rPr>
          <w:rFonts w:ascii="Arial" w:eastAsia="Arial" w:hAnsi="Arial" w:cs="Arial"/>
        </w:rPr>
        <w:t xml:space="preserve"> </w:t>
      </w:r>
      <w:r>
        <w:rPr>
          <w:rFonts w:ascii="Times New Roman" w:eastAsia="Times New Roman" w:hAnsi="Times New Roman" w:cs="Times New Roman"/>
          <w:sz w:val="28"/>
          <w:szCs w:val="28"/>
        </w:rPr>
        <w:t>з урахуванням та дотриманням принципів наукової етики та запобігання конфлікту інтересів.</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Формування та затвердження переліку можливих експертів здійснюється Радою протягом десяти робочих днів з дати завершення попереднього розгляду заявок з урахуванням тематики прикладних наукових досліджень і науково-технічних (експериментальних) розробок.</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bookmarkStart w:id="7" w:name="_heading=h.pazeny9kv0hd" w:colFirst="0" w:colLast="0"/>
      <w:bookmarkEnd w:id="7"/>
      <w:r>
        <w:rPr>
          <w:rFonts w:ascii="Times New Roman" w:eastAsia="Times New Roman" w:hAnsi="Times New Roman" w:cs="Times New Roman"/>
          <w:sz w:val="28"/>
          <w:szCs w:val="28"/>
        </w:rPr>
        <w:t>Строк проведення наукової і науково-технічної експертизи не може бути більшим, ніж дев'яносто календарних днів з дня завершення строку подання заявок.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і науково-технічна експертиза заявок проводиться анонімно, інформація про розподіл заявок між експертами є конфіденційною.</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Замовником експертизи виступає організатор конкурсу.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Експертизу кожної заявки здійснюють не менше, ніж три експерти, які надають окремі експертні висновки.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 провадять свою діяльність на громадських засадах.</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 не можуть проводити експертизу заявок, поданих учасником конкурсу, в яких вони та/або їх родичі працюють/працювали (за основним місцем роботи або сумісництвом), або у разі, коли вони мають спільні наукові публікації з керівником, основним виконавцем або виконавцями заявки, або у разі іншого конфлікту інтересів протягом останніх п’яти років.</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документів для експертизи, формування та подання експертного висновку відбувається в електронній формі з використанням можливостей системи відповідно до положень Порядку роботи Національної електронної науково-інформаційної системи, затвердженого наказом МОН від 8 січня 2024 р. № 10, зареєстрованого в Мін’юсті 5 березня 2024 р. за № 323/41668.</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Експертна оцінка заявок визначається під час заповнення експертом форми експертного висновку з урахуванням критеріїв оцінювання заявок на участь у конкурсі спільних прикладних наукових досліджень та науково-технічних (експериментальних) розробок, які затверджуються організатором конкурсу.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Експертну оцінку обчислюють в балах як суму зважених оцінок для всіх показників.</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балів заявки визначається як середнє арифметичне значення експертних оцінок, виставлених експертами.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експертна оцінка одного з трьох експертів відрізняється більш як на 30 відсотків від експертних оцінок двох інших, така експертна оцінка </w:t>
      </w:r>
      <w:r>
        <w:rPr>
          <w:rFonts w:ascii="Times New Roman" w:eastAsia="Times New Roman" w:hAnsi="Times New Roman" w:cs="Times New Roman"/>
          <w:sz w:val="28"/>
          <w:szCs w:val="28"/>
        </w:rPr>
        <w:lastRenderedPageBreak/>
        <w:t>не береться до уваги. Про цей факт повідомляється експерту  і він має право викласти в письмовій формі окрему думку, яку Рада зобов’язана розглянути.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суттєвої розбіжності оцінок експертів призначається повторна експертиза, до якої залучаються інші експерти.</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Критеріями, за якими здійснюється конкурсний відбір заявок, є:</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пріоритетним напрямам конкурсу;</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спроможність виконання спільних прикладних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унікальність прогнозованого результату спільних прикладних наукових досліджень і науково-технічних (експериментальних) розробок, його переваги та комерційна придатність; </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комерціалізації та/або практичного впровадження результатів спільних прикладних наукових досліджень і науково-технічних (експериментальних) розробок;</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прогнозований соціально-економічний вплив для України.</w:t>
      </w: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може визначати також і інші критерії здійснення конкурсного відбору, про що зазначає в оголошенні про проведення конкурсу.</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Прийняття рішення за результатами конкурсу </w:t>
      </w:r>
    </w:p>
    <w:p w:rsidR="00BA4773" w:rsidRDefault="00BA4773">
      <w:pPr>
        <w:pBdr>
          <w:top w:val="nil"/>
          <w:left w:val="nil"/>
          <w:bottom w:val="nil"/>
          <w:right w:val="nil"/>
          <w:between w:val="nil"/>
        </w:pBdr>
        <w:spacing w:after="0" w:line="276" w:lineRule="auto"/>
        <w:ind w:firstLine="720"/>
        <w:jc w:val="center"/>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Розгляд заявок з урахуванням результатів їх наукової і науково-технічної експертизи здійснюється на засіданнях Секцій Ради за кожним пріоритетним напрямом конкурсу окремо.</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розгляду складається протокол з пропозиціями щодо переліку спільних прикладних наукових досліджень та науково-технічних (експериментальних) розробок, рекомендованих Секцією для фінансування, та орієнтовного обсягу фінансування кожного дослідження і розробки.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переліку спільних прикладних наукових досліджень та науково-технічних (експериментальних) розробок, на проведення яких планується надання фінансової підтримки (переліку переможців конкурсу) із зазначенням орієнтовного обсягу фінансування кожного дослідження і розробки в розрізі років виконання здійснюється на засіданні Ради. Перелік </w:t>
      </w:r>
      <w:r>
        <w:rPr>
          <w:rFonts w:ascii="Times New Roman" w:eastAsia="Times New Roman" w:hAnsi="Times New Roman" w:cs="Times New Roman"/>
          <w:sz w:val="28"/>
          <w:szCs w:val="28"/>
        </w:rPr>
        <w:lastRenderedPageBreak/>
        <w:t>переможців конкурсу, визначений на засіданні Ради, затверджується організатором конкурсу.</w:t>
      </w:r>
    </w:p>
    <w:p w:rsidR="00BA4773" w:rsidRDefault="00BA4773">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Результати конкурсу публікуються на офіційному вебсайті МОН протягом десяти календарних днів з дати затвердження переліку переможців конкурсу, визначеного на засіданні Ради, наказом МОН.</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Надання фінансової підтримки здійснюється за результатами проведення конкурсу шляхом укладення тристороннього договору.</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істотних умов договору, у договорі обов’язково визначаються умови співфінансування та розподіл прав інтелектуальної власності. </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Майнові права інтелектуальної власності, створеної під час проведення спільних прикладних наукових досліджень і науково-технічних (експериментальних) розробок, розподіляються на підставі укладеного тристороннього договору між організатором конкурсу, виконавцем та ініціатором.</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Майнові права інтелектуальної власності можуть бути повністю або частково передані ініціатору в першочерговому порядку на підставі договору щодо розпоряджання майновими правами інтелектуальної власності.</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Невід’ємною частиною тристороннього договору є технічне завдання, календарний план та кошторис.</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укладення договору організатор конкурсу має право витребувати в переможців конкурсу оригінали необхідних документів, а також довідку у встановленій організатором конкурсу формі, що підтверджує факт наявності на рахунку ініціатора суми, необхідної для співфінансування.</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підтримка використовується виключно на цілі, передбачені умовами конкурсу та тристороннім договором.</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перераховує кошти на рахунок виконавця поетапно, визначеними в договорі частинами.</w:t>
      </w:r>
    </w:p>
    <w:p w:rsidR="00BA4773" w:rsidRDefault="00AE67F8">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здійснює моніторинг виконання умов договору відповідно до порядку, визначеного в такому договорі.</w:t>
      </w:r>
    </w:p>
    <w:p w:rsidR="00BA4773" w:rsidRDefault="00BA4773">
      <w:pPr>
        <w:pBdr>
          <w:top w:val="nil"/>
          <w:left w:val="nil"/>
          <w:bottom w:val="nil"/>
          <w:right w:val="nil"/>
          <w:between w:val="nil"/>
        </w:pBd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Прийняття результатів спільних прикладних наукових досліджень і науково-технічних (експериментальних) розробок здійснюється організатором конкурсу на підставі звітності виконавця, що подається </w:t>
      </w:r>
      <w:r>
        <w:rPr>
          <w:rFonts w:ascii="Times New Roman" w:eastAsia="Times New Roman" w:hAnsi="Times New Roman" w:cs="Times New Roman"/>
          <w:sz w:val="28"/>
          <w:szCs w:val="28"/>
        </w:rPr>
        <w:lastRenderedPageBreak/>
        <w:t>відповідно до умов тристороннього договору, та підтверджує цільове використання коштів і досягнення визначених у ньому результатів.</w:t>
      </w:r>
    </w:p>
    <w:p w:rsidR="00BA4773" w:rsidRDefault="00BA4773">
      <w:pPr>
        <w:spacing w:after="0" w:line="276" w:lineRule="auto"/>
        <w:ind w:firstLine="720"/>
        <w:jc w:val="both"/>
        <w:rPr>
          <w:rFonts w:ascii="Times New Roman" w:eastAsia="Times New Roman" w:hAnsi="Times New Roman" w:cs="Times New Roman"/>
          <w:sz w:val="28"/>
          <w:szCs w:val="28"/>
        </w:rPr>
      </w:pPr>
    </w:p>
    <w:p w:rsidR="00BA4773" w:rsidRDefault="00AE67F8">
      <w:pPr>
        <w:spacing w:after="0" w:line="276" w:lineRule="auto"/>
        <w:ind w:firstLine="720"/>
        <w:jc w:val="center"/>
        <w:rPr>
          <w:rFonts w:ascii="Arial" w:eastAsia="Arial" w:hAnsi="Arial" w:cs="Arial"/>
        </w:rPr>
      </w:pPr>
      <w:r>
        <w:rPr>
          <w:rFonts w:ascii="Arial" w:eastAsia="Arial" w:hAnsi="Arial" w:cs="Arial"/>
        </w:rPr>
        <w:t>________________________________________________</w:t>
      </w:r>
    </w:p>
    <w:p w:rsidR="00BA4773" w:rsidRDefault="00BA4773">
      <w:pPr>
        <w:spacing w:after="0" w:line="276" w:lineRule="auto"/>
        <w:jc w:val="both"/>
        <w:rPr>
          <w:rFonts w:ascii="Arial" w:eastAsia="Arial" w:hAnsi="Arial" w:cs="Arial"/>
        </w:rPr>
      </w:pPr>
    </w:p>
    <w:p w:rsidR="00BA4773" w:rsidRDefault="00BA4773">
      <w:pPr>
        <w:spacing w:after="0" w:line="276" w:lineRule="auto"/>
        <w:rPr>
          <w:rFonts w:ascii="Arial" w:eastAsia="Arial" w:hAnsi="Arial" w:cs="Arial"/>
        </w:rPr>
      </w:pPr>
    </w:p>
    <w:p w:rsidR="00BA4773" w:rsidRDefault="00BA4773"/>
    <w:sectPr w:rsidR="00BA4773">
      <w:headerReference w:type="default" r:id="rId8"/>
      <w:pgSz w:w="11909" w:h="16834"/>
      <w:pgMar w:top="851" w:right="1440" w:bottom="1701"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9FB" w:rsidRDefault="008579FB">
      <w:pPr>
        <w:spacing w:after="0" w:line="240" w:lineRule="auto"/>
      </w:pPr>
      <w:r>
        <w:separator/>
      </w:r>
    </w:p>
  </w:endnote>
  <w:endnote w:type="continuationSeparator" w:id="0">
    <w:p w:rsidR="008579FB" w:rsidRDefault="0085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E0E00F63-EECF-4211-AC1E-49DF419AF2D9}"/>
    <w:embedBold r:id="rId2" w:fontKey="{527ECB59-D486-4DE1-8E4A-1017748ACF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EEE2D10C-2772-406A-8989-DD3A5BDCFA78}"/>
  </w:font>
  <w:font w:name="Segoe UI">
    <w:panose1 w:val="020B0502040204020203"/>
    <w:charset w:val="CC"/>
    <w:family w:val="swiss"/>
    <w:pitch w:val="variable"/>
    <w:sig w:usb0="E4002EFF" w:usb1="C000E47F" w:usb2="00000009" w:usb3="00000000" w:csb0="000001FF" w:csb1="00000000"/>
    <w:embedRegular r:id="rId4" w:fontKey="{59B8FC66-A587-4C18-9633-B12BC07C87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D2609154-9DF2-4FD0-9BF6-02E3A97CFE5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9FB" w:rsidRDefault="008579FB">
      <w:pPr>
        <w:spacing w:after="0" w:line="240" w:lineRule="auto"/>
      </w:pPr>
      <w:r>
        <w:separator/>
      </w:r>
    </w:p>
  </w:footnote>
  <w:footnote w:type="continuationSeparator" w:id="0">
    <w:p w:rsidR="008579FB" w:rsidRDefault="0085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773" w:rsidRDefault="00AE67F8">
    <w:pPr>
      <w:pBdr>
        <w:top w:val="nil"/>
        <w:left w:val="nil"/>
        <w:bottom w:val="nil"/>
        <w:right w:val="nil"/>
        <w:between w:val="nil"/>
      </w:pBdr>
      <w:tabs>
        <w:tab w:val="center" w:pos="4819"/>
        <w:tab w:val="right" w:pos="9639"/>
      </w:tabs>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8763A">
      <w:rPr>
        <w:rFonts w:ascii="Times New Roman" w:eastAsia="Times New Roman" w:hAnsi="Times New Roman" w:cs="Times New Roman"/>
        <w:noProof/>
        <w:color w:val="000000"/>
        <w:sz w:val="28"/>
        <w:szCs w:val="28"/>
      </w:rPr>
      <w:t>19</w:t>
    </w:r>
    <w:r>
      <w:rPr>
        <w:rFonts w:ascii="Times New Roman" w:eastAsia="Times New Roman" w:hAnsi="Times New Roman" w:cs="Times New Roman"/>
        <w:color w:val="000000"/>
        <w:sz w:val="28"/>
        <w:szCs w:val="28"/>
      </w:rPr>
      <w:fldChar w:fldCharType="end"/>
    </w:r>
  </w:p>
  <w:p w:rsidR="00BA4773" w:rsidRDefault="00BA4773">
    <w:pPr>
      <w:pBdr>
        <w:top w:val="nil"/>
        <w:left w:val="nil"/>
        <w:bottom w:val="nil"/>
        <w:right w:val="nil"/>
        <w:between w:val="nil"/>
      </w:pBdr>
      <w:tabs>
        <w:tab w:val="center" w:pos="4819"/>
        <w:tab w:val="right" w:pos="9639"/>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773"/>
    <w:rsid w:val="000A1F04"/>
    <w:rsid w:val="001120B1"/>
    <w:rsid w:val="003B3140"/>
    <w:rsid w:val="00455E64"/>
    <w:rsid w:val="00634FE3"/>
    <w:rsid w:val="00664D35"/>
    <w:rsid w:val="007A7898"/>
    <w:rsid w:val="008579FB"/>
    <w:rsid w:val="008C3B4E"/>
    <w:rsid w:val="008D2F3F"/>
    <w:rsid w:val="00982980"/>
    <w:rsid w:val="00AE67F8"/>
    <w:rsid w:val="00BA4773"/>
    <w:rsid w:val="00D87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F2689"/>
  <w15:docId w15:val="{57667FFA-0D9F-4C08-BA8D-BA8AF3DB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paragraph" w:styleId="a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8">
    <w:basedOn w:val="TableNormal1"/>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455E6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55E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zYabiyy8OH64kCMkCLTS8HIiA==">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4916</Words>
  <Characters>28024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2026-04-06T14:53:00Z</dcterms:created>
  <dcterms:modified xsi:type="dcterms:W3CDTF">2026-04-06T14:53:00Z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95d167d7-0748-4a6f-a9da-bdc7b027e7c7</vt:lpwstr>
  </property>
</Properties>
</file>