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B346" w14:textId="77777777" w:rsidR="002E3995" w:rsidRPr="00194338" w:rsidRDefault="002E3995" w:rsidP="0095483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4338">
        <w:rPr>
          <w:rFonts w:ascii="Times New Roman" w:hAnsi="Times New Roman"/>
          <w:b/>
          <w:bCs/>
          <w:sz w:val="28"/>
          <w:szCs w:val="28"/>
        </w:rPr>
        <w:t>ПОЯСНЮВАЛЬНА ЗАПИСКА</w:t>
      </w:r>
    </w:p>
    <w:p w14:paraId="746276EB" w14:textId="77777777" w:rsidR="002E3995" w:rsidRPr="00194338" w:rsidRDefault="002E3995" w:rsidP="00954837">
      <w:pPr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194338">
        <w:rPr>
          <w:rFonts w:ascii="Times New Roman" w:hAnsi="Times New Roman"/>
          <w:b/>
          <w:bCs/>
          <w:sz w:val="28"/>
          <w:szCs w:val="28"/>
        </w:rPr>
        <w:t xml:space="preserve">до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наказу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Міністерства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освіти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і науки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81D231D" w14:textId="4405BE3A" w:rsidR="002E3995" w:rsidRPr="00194338" w:rsidRDefault="002E3995" w:rsidP="00954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94338">
        <w:rPr>
          <w:rFonts w:ascii="Times New Roman" w:hAnsi="Times New Roman"/>
          <w:b/>
          <w:bCs/>
          <w:sz w:val="28"/>
          <w:szCs w:val="28"/>
        </w:rPr>
        <w:t xml:space="preserve">«Про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до Порядку конкурсного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відбору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підручників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крім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електронних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) та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посібників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для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здобувачів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повної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загальної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середньої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освіти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педагогічних</w:t>
      </w:r>
      <w:proofErr w:type="spellEnd"/>
      <w:r w:rsidRPr="001943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b/>
          <w:bCs/>
          <w:sz w:val="28"/>
          <w:szCs w:val="28"/>
        </w:rPr>
        <w:t>працівників</w:t>
      </w:r>
      <w:proofErr w:type="spellEnd"/>
      <w:r w:rsidR="00DC3205" w:rsidRPr="00194338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5F8317FE" w14:textId="77777777" w:rsidR="00AE392D" w:rsidRPr="00194338" w:rsidRDefault="00AE392D" w:rsidP="008B43B3">
      <w:pPr>
        <w:spacing w:after="45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6699D51" w14:textId="77777777" w:rsidR="00D57787" w:rsidRPr="00194338" w:rsidRDefault="00D57787" w:rsidP="008B43B3">
      <w:pPr>
        <w:spacing w:after="45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3C4543" w14:textId="77777777" w:rsidR="00AE392D" w:rsidRPr="00194338" w:rsidRDefault="00D830D5" w:rsidP="00684573">
      <w:pPr>
        <w:numPr>
          <w:ilvl w:val="0"/>
          <w:numId w:val="1"/>
        </w:numPr>
        <w:spacing w:after="45"/>
        <w:ind w:left="426"/>
        <w:rPr>
          <w:rFonts w:ascii="Times New Roman" w:hAnsi="Times New Roman"/>
          <w:b/>
          <w:sz w:val="28"/>
          <w:szCs w:val="28"/>
          <w:lang w:val="uk-UA"/>
        </w:rPr>
      </w:pPr>
      <w:r w:rsidRPr="00194338">
        <w:rPr>
          <w:rFonts w:ascii="Times New Roman" w:hAnsi="Times New Roman"/>
          <w:b/>
          <w:sz w:val="28"/>
          <w:lang w:val="uk-UA"/>
        </w:rPr>
        <w:t>Мета</w:t>
      </w:r>
    </w:p>
    <w:p w14:paraId="2613944D" w14:textId="77777777" w:rsidR="00E85FDE" w:rsidRPr="00194338" w:rsidRDefault="00E85FDE" w:rsidP="008B4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0E57C9" w14:textId="1B3414E3" w:rsidR="00797F49" w:rsidRPr="00194338" w:rsidRDefault="00976754" w:rsidP="00A261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Проект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розроблено з метою уніфікації процедур конкурсного відбору підручників та посібників для різних категорій здобувачів освіти, зокрема для осіб з особливими освітніми потребами, здобувачів професійної та фахової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освіти, а також педагогічних працівників, шляхом запровадження єдиної процедури, що передбачає здійснення вибору підручників педагогічними працівниками закладів освіти з використанням інформаційно-комунікаційного ресурсу, зокрема програмно-апаратного комплексу «Автоматизований інформаційний комплекс освітнього менеджменту».</w:t>
      </w:r>
    </w:p>
    <w:p w14:paraId="18A48818" w14:textId="5E3F9EF2" w:rsidR="00EC77DD" w:rsidRPr="00EC77DD" w:rsidRDefault="00EC77DD" w:rsidP="00A261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  <w:lang w:val="uk-UA"/>
        </w:rPr>
        <w:t xml:space="preserve">Крім того, проєкт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спрямований на більш повне врахування результатів вибору підручників і посібників, здійсненого педагогічними працівниками, шляхом зменшення мінімального порогу такого вибору для включення відповідних видань до переліку тих, що можуть друкуватися за кошти державного бюджету.</w:t>
      </w:r>
    </w:p>
    <w:p w14:paraId="607B9F64" w14:textId="77777777" w:rsidR="00976754" w:rsidRPr="00976754" w:rsidRDefault="00976754" w:rsidP="008B4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5D0D6D" w14:textId="22D19346" w:rsidR="00AE392D" w:rsidRDefault="00D830D5" w:rsidP="00684573">
      <w:pPr>
        <w:numPr>
          <w:ilvl w:val="0"/>
          <w:numId w:val="1"/>
        </w:numPr>
        <w:spacing w:after="45" w:line="360" w:lineRule="auto"/>
        <w:ind w:left="426"/>
        <w:contextualSpacing/>
        <w:rPr>
          <w:rFonts w:ascii="Times New Roman" w:hAnsi="Times New Roman"/>
          <w:b/>
          <w:sz w:val="28"/>
          <w:lang w:val="uk-UA"/>
        </w:rPr>
      </w:pPr>
      <w:r w:rsidRPr="004B198C">
        <w:rPr>
          <w:rFonts w:ascii="Times New Roman" w:hAnsi="Times New Roman"/>
          <w:b/>
          <w:sz w:val="28"/>
          <w:lang w:val="uk-UA"/>
        </w:rPr>
        <w:t xml:space="preserve">Обґрунтування необхідності прийняття </w:t>
      </w:r>
      <w:proofErr w:type="spellStart"/>
      <w:r w:rsidRPr="004B198C">
        <w:rPr>
          <w:rFonts w:ascii="Times New Roman" w:hAnsi="Times New Roman"/>
          <w:b/>
          <w:sz w:val="28"/>
          <w:lang w:val="uk-UA"/>
        </w:rPr>
        <w:t>акта</w:t>
      </w:r>
      <w:proofErr w:type="spellEnd"/>
    </w:p>
    <w:p w14:paraId="79BF3D54" w14:textId="77777777" w:rsidR="00A26159" w:rsidRDefault="00A26159" w:rsidP="00A26159">
      <w:pPr>
        <w:spacing w:after="45" w:line="240" w:lineRule="auto"/>
        <w:contextualSpacing/>
        <w:rPr>
          <w:rFonts w:ascii="Times New Roman" w:hAnsi="Times New Roman"/>
          <w:b/>
          <w:sz w:val="28"/>
          <w:lang w:val="uk-UA"/>
        </w:rPr>
      </w:pPr>
    </w:p>
    <w:p w14:paraId="09B129FA" w14:textId="7AD3BE28" w:rsidR="00A26159" w:rsidRPr="00194338" w:rsidRDefault="00D4758F" w:rsidP="00516A8B">
      <w:pPr>
        <w:spacing w:after="45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F1B3F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proofErr w:type="spellStart"/>
      <w:r w:rsidRPr="009F1B3F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9F1B3F">
        <w:rPr>
          <w:rFonts w:ascii="Times New Roman" w:hAnsi="Times New Roman"/>
          <w:sz w:val="28"/>
          <w:szCs w:val="28"/>
          <w:lang w:val="uk-UA"/>
        </w:rPr>
        <w:t xml:space="preserve"> розроблено Міністерством освіти і науки України відповідно до </w:t>
      </w:r>
      <w:r w:rsidR="00376743" w:rsidRPr="009F1B3F">
        <w:rPr>
          <w:rFonts w:ascii="Times New Roman" w:hAnsi="Times New Roman"/>
          <w:sz w:val="28"/>
          <w:szCs w:val="28"/>
          <w:lang w:val="uk-UA"/>
        </w:rPr>
        <w:t xml:space="preserve">абзацу четвертого частини першої статті 64, пункту 4 частини першої та абзацу сьомого частини четвертої статті 75 Закону України «Про освіту», абзацу дев’ятого частини другої статті 54 Закону України «Про повну загальну середню освіту» </w:t>
      </w:r>
      <w:r w:rsidR="009835EC" w:rsidRPr="009F1B3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516A8B" w:rsidRPr="009F1B3F">
        <w:rPr>
          <w:rFonts w:ascii="Times New Roman" w:hAnsi="Times New Roman"/>
          <w:sz w:val="28"/>
          <w:szCs w:val="28"/>
          <w:lang w:val="uk-UA"/>
        </w:rPr>
        <w:t>забезпеч</w:t>
      </w:r>
      <w:r w:rsidR="009835EC" w:rsidRPr="009F1B3F">
        <w:rPr>
          <w:rFonts w:ascii="Times New Roman" w:hAnsi="Times New Roman"/>
          <w:sz w:val="28"/>
          <w:szCs w:val="28"/>
          <w:lang w:val="uk-UA"/>
        </w:rPr>
        <w:t>ення</w:t>
      </w:r>
      <w:r w:rsidR="00516A8B" w:rsidRPr="009F1B3F">
        <w:rPr>
          <w:rFonts w:ascii="Times New Roman" w:hAnsi="Times New Roman"/>
          <w:sz w:val="28"/>
          <w:szCs w:val="28"/>
          <w:lang w:val="uk-UA"/>
        </w:rPr>
        <w:t xml:space="preserve"> рівн</w:t>
      </w:r>
      <w:r w:rsidR="009835EC" w:rsidRPr="009F1B3F">
        <w:rPr>
          <w:rFonts w:ascii="Times New Roman" w:hAnsi="Times New Roman"/>
          <w:sz w:val="28"/>
          <w:szCs w:val="28"/>
          <w:lang w:val="uk-UA"/>
        </w:rPr>
        <w:t>их</w:t>
      </w:r>
      <w:r w:rsidR="00516A8B" w:rsidRPr="009F1B3F">
        <w:rPr>
          <w:rFonts w:ascii="Times New Roman" w:hAnsi="Times New Roman"/>
          <w:sz w:val="28"/>
          <w:szCs w:val="28"/>
          <w:lang w:val="uk-UA"/>
        </w:rPr>
        <w:t xml:space="preserve"> умов вибору навчальної літератури педагогічними працівниками закладів освіти для різних категорій учнів, зокрема для осіб з особливими освітніми потребами, здобувачів професійної та фахової </w:t>
      </w:r>
      <w:proofErr w:type="spellStart"/>
      <w:r w:rsidR="00516A8B" w:rsidRPr="009F1B3F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="00516A8B" w:rsidRPr="009F1B3F">
        <w:rPr>
          <w:rFonts w:ascii="Times New Roman" w:hAnsi="Times New Roman"/>
          <w:sz w:val="28"/>
          <w:szCs w:val="28"/>
          <w:lang w:val="uk-UA"/>
        </w:rPr>
        <w:t xml:space="preserve"> освіти за спільними для всіх учасників освітнього процесу процедурами. Застосування такого підходу сприятиме забезпеченню відповідності навчальної літератури потребам і запитам учасників освітнього процесу, удосконаленню її змісту та підвищенню якості.</w:t>
      </w:r>
    </w:p>
    <w:p w14:paraId="481E6016" w14:textId="6880A61A" w:rsidR="00D4758F" w:rsidRPr="00D4758F" w:rsidRDefault="00D4758F" w:rsidP="00516A8B">
      <w:pPr>
        <w:spacing w:after="45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  <w:lang w:val="uk-UA"/>
        </w:rPr>
        <w:t xml:space="preserve">Додатковим обґрунтуванням прийняття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є потреба усунення бар’єрів для видання за кошти державного бюджету або на умовах співфінансування підручників і посібників нових авторських колективів, що виникають унаслідок зменшення контингенту учнів та неповного врахування результатів вибору підручників і посібників педагогічними працівниками за результатами конкурсного відбору. Реалізація такого підходу сприятиме розширенню </w:t>
      </w:r>
      <w:r w:rsidRPr="00194338">
        <w:rPr>
          <w:rFonts w:ascii="Times New Roman" w:hAnsi="Times New Roman"/>
          <w:sz w:val="28"/>
          <w:szCs w:val="28"/>
          <w:lang w:val="uk-UA"/>
        </w:rPr>
        <w:lastRenderedPageBreak/>
        <w:t>варіативності навчальної літератури, що відповідає засадам реформи «Нова українська школа», посиленню конкуренції між авторськими колективами та підвищенню якості навчальної літератури</w:t>
      </w:r>
      <w:r w:rsidR="008A56C4" w:rsidRPr="00194338">
        <w:rPr>
          <w:rFonts w:ascii="Times New Roman" w:hAnsi="Times New Roman"/>
          <w:sz w:val="28"/>
          <w:szCs w:val="28"/>
          <w:lang w:val="uk-UA"/>
        </w:rPr>
        <w:t>.</w:t>
      </w:r>
    </w:p>
    <w:p w14:paraId="0BB4DE73" w14:textId="77777777" w:rsidR="00DC3F24" w:rsidRDefault="00DC3F24" w:rsidP="006845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BBF4FC" w14:textId="037DDCF3" w:rsidR="00AE392D" w:rsidRPr="00055602" w:rsidRDefault="00D830D5" w:rsidP="00684573">
      <w:pPr>
        <w:numPr>
          <w:ilvl w:val="0"/>
          <w:numId w:val="1"/>
        </w:numPr>
        <w:ind w:left="426"/>
        <w:rPr>
          <w:rFonts w:ascii="Times New Roman" w:hAnsi="Times New Roman"/>
          <w:b/>
          <w:sz w:val="28"/>
          <w:szCs w:val="28"/>
          <w:lang w:val="uk-UA"/>
        </w:rPr>
      </w:pPr>
      <w:r w:rsidRPr="004B198C">
        <w:rPr>
          <w:rFonts w:ascii="Times New Roman" w:hAnsi="Times New Roman"/>
          <w:b/>
          <w:sz w:val="28"/>
          <w:lang w:val="uk-UA"/>
        </w:rPr>
        <w:t xml:space="preserve">Основні положення проєкту </w:t>
      </w:r>
      <w:proofErr w:type="spellStart"/>
      <w:r w:rsidRPr="004B198C">
        <w:rPr>
          <w:rFonts w:ascii="Times New Roman" w:hAnsi="Times New Roman"/>
          <w:b/>
          <w:sz w:val="28"/>
          <w:lang w:val="uk-UA"/>
        </w:rPr>
        <w:t>акта</w:t>
      </w:r>
      <w:proofErr w:type="spellEnd"/>
    </w:p>
    <w:p w14:paraId="16C843F2" w14:textId="69D1BC5A" w:rsidR="00055602" w:rsidRPr="00194338" w:rsidRDefault="00055602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  <w:lang w:val="uk-UA"/>
        </w:rPr>
        <w:t xml:space="preserve">Проєктом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пропонується поширити норми Порядку конкурсного відбору підручників (крім електронних) та посібників для здобувачів повної загальної середньої освіти та педагогічних працівників, затвердженого наказом Міністерства освіти і науки України від 21 вересня 2021 року № 1001 (у редакції наказу Міністерства освіти і науки України від 06 лютого 2025 року № 155), зареєстрованого в Міністерстві юстиції України 11 листопада 2021 року за № 1483/37105, на відбір підручників та посібників для осіб з особливими освітніми потребами, здобувачів професійної та фахової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освіти, а також посібників для здобувачів повної загальної середньої освіти та педагогічних працівників. Одночасно пропонується визнати таким, що втратив чинність, Порядок конкурсного відбору підручників та посібників для осіб з особливими освітніми потребами, здобувачів професійної (професійно-технічної) освіти і посібників для здобувачів повної загальної середньої освіти та педагогічних працівників, затверджений наказом Міністерства освіти і науки України від 17 липня 2019 року № 1004, зареєстрований у Міністерстві юстиції України 08 серпня 2019 року за № 884/33855</w:t>
      </w:r>
      <w:r w:rsidR="00B47150" w:rsidRPr="00194338">
        <w:rPr>
          <w:rFonts w:ascii="Times New Roman" w:hAnsi="Times New Roman"/>
          <w:sz w:val="28"/>
          <w:szCs w:val="28"/>
          <w:lang w:val="uk-UA"/>
        </w:rPr>
        <w:t>.</w:t>
      </w:r>
    </w:p>
    <w:p w14:paraId="13CBAFF0" w14:textId="45077D21" w:rsidR="00B47150" w:rsidRPr="00194338" w:rsidRDefault="00B47150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  <w:lang w:val="uk-UA"/>
        </w:rPr>
        <w:t xml:space="preserve">Реалізація цієї норми забезпечить запровадження єдиного підходу до конкурсного відбору підручників і посібників для всіх категорій здобувачів освіти, зокрема учнів з особливими освітніми потребами, шляхом надання педагогічним працівникам права самостійного вибору навчальної літератури для використання в освітньому процесі. Наразі педагогічні працівники не здійснюють безпосереднього вибору підручників і посібників, за якими навчаються особи з особливими освітніми потребами, здобувачі професійної та фахової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освіти, а також не обирають навчально-методичні посібники для власного використання. Розгляд та оцінювання навчальної літератури здійснюють конкурсні комісії у складі не менше семи фахівців, які формують пропозиції до переліку видань, рекомендованих до друку за кошти державного бюджету. Остаточне рішення щодо друку ухвалює колегія Міністерства освіти і науки України, до складу якої не входять фахівці відповідного профілю, здатні забезпечити фахову оцінку якості навчальної літератури.</w:t>
      </w:r>
    </w:p>
    <w:p w14:paraId="1381E896" w14:textId="227459B4" w:rsidR="00B47150" w:rsidRPr="00194338" w:rsidRDefault="004D3CD9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  <w:lang w:val="uk-UA"/>
        </w:rPr>
        <w:t xml:space="preserve">У період з 11 по 22 вересня 2025 року Український інститут розвитку освіти за підтримки Міністерства освіти і науки України провів опитування вчителів спеціальних закладів загальної середньої освіти, а також вчителів спеціальних класів закладів загальної середньої освіти, з метою дослідження проблемних аспектів забезпечення учнів з особливими освітніми потребами навчальними матеріалами. Менше третини опитаних учителів (31 %) вважають, що наявні навчальні матеріали відповідають потребам їхніх учнів, 64 % – що частково </w:t>
      </w:r>
      <w:r w:rsidRPr="00194338">
        <w:rPr>
          <w:rFonts w:ascii="Times New Roman" w:hAnsi="Times New Roman"/>
          <w:sz w:val="28"/>
          <w:szCs w:val="28"/>
          <w:lang w:val="uk-UA"/>
        </w:rPr>
        <w:lastRenderedPageBreak/>
        <w:t>відповідають, 5 % – що не відповідають. Як наслідок, 71 % учителів у спеціальних закладах та 63 % учителів у закладах загальної середньої освіти (у спеціальних класах) постійно адаптують наявні навчальні матеріали відповідно до потреб своїх учнів. Однією з причин такої ситуації є обмежений вплив педагогічних працівників на вибір навчальних матеріалів, якими вони та їхні учні можуть користуватися.</w:t>
      </w:r>
    </w:p>
    <w:p w14:paraId="3B337084" w14:textId="4135EE33" w:rsidR="004D3CD9" w:rsidRDefault="008814D7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  <w:lang w:val="uk-UA"/>
        </w:rPr>
        <w:t xml:space="preserve">Уніфікація процедур конкурсного відбору підручників передбачає проведення відбору підручників та посібників для осіб з особливими освітніми потребами, здобувачі професійної та фахової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освіти, а також посібників для здобувачів повної загальної середньої освіти та педагогічних працівників з використанням цифрового інформаційно-комунікаційного ресурсу, зокрема програмно-апаратного комплексу «Автоматизований інформаційний комплекс освітнього менеджменту» (далі – ПАК «АІКОМ»). З огляду на те, що всі заклади освіти, зокрема спеціальні, мають власні кабінети в ПАК «АІКОМ», адміністрування конкурсного відбору не потребуватиме додаткових видатків з державного бюджету.</w:t>
      </w:r>
    </w:p>
    <w:p w14:paraId="4173997D" w14:textId="1208355C" w:rsidR="00CC2B94" w:rsidRPr="00194338" w:rsidRDefault="00CC2B94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  <w:lang w:val="uk-UA"/>
        </w:rPr>
        <w:t xml:space="preserve">Також проєктом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пропонується зменшити пороговий показник узагальненого результату вибору підручників / посібників, що можуть видаватися за кошти державного бюджету, з 40 тис. до 20 тис. примірників, а також відповідно зменшити </w:t>
      </w:r>
      <w:r w:rsidR="007C2302" w:rsidRPr="00194338">
        <w:rPr>
          <w:rFonts w:ascii="Times New Roman" w:hAnsi="Times New Roman"/>
          <w:sz w:val="28"/>
          <w:szCs w:val="28"/>
          <w:lang w:val="uk-UA"/>
        </w:rPr>
        <w:t xml:space="preserve">нижню межу, за якої допускається включення підручників / посібників до переліку за умови співфінансування видавництвом, з 10 до 5 тис. </w:t>
      </w:r>
      <w:r w:rsidR="00EC070E" w:rsidRPr="00194338">
        <w:rPr>
          <w:rFonts w:ascii="Times New Roman" w:hAnsi="Times New Roman"/>
          <w:sz w:val="28"/>
          <w:szCs w:val="28"/>
          <w:lang w:val="uk-UA"/>
        </w:rPr>
        <w:t>п</w:t>
      </w:r>
      <w:r w:rsidR="007C2302" w:rsidRPr="00194338">
        <w:rPr>
          <w:rFonts w:ascii="Times New Roman" w:hAnsi="Times New Roman"/>
          <w:sz w:val="28"/>
          <w:szCs w:val="28"/>
          <w:lang w:val="uk-UA"/>
        </w:rPr>
        <w:t>римірників.</w:t>
      </w:r>
    </w:p>
    <w:p w14:paraId="1C222F7F" w14:textId="7BF14168" w:rsidR="007C2302" w:rsidRDefault="00D27D45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  <w:lang w:val="uk-UA"/>
        </w:rPr>
        <w:t xml:space="preserve">Таке рішення зумовлене зменшенням контингенту учнів у закладах загальної середньої освіти, а також потребою врахувати вибір педагогічних працівників, здійснений під час конкурсного відбору підручників. </w:t>
      </w:r>
      <w:r w:rsidRPr="00194338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194338">
        <w:rPr>
          <w:rFonts w:ascii="Times New Roman" w:hAnsi="Times New Roman"/>
          <w:sz w:val="28"/>
          <w:szCs w:val="28"/>
        </w:rPr>
        <w:t>чинної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моделі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у 2025 </w:t>
      </w:r>
      <w:proofErr w:type="spellStart"/>
      <w:r w:rsidRPr="00194338">
        <w:rPr>
          <w:rFonts w:ascii="Times New Roman" w:hAnsi="Times New Roman"/>
          <w:sz w:val="28"/>
          <w:szCs w:val="28"/>
        </w:rPr>
        <w:t>році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за результатами конкурсного </w:t>
      </w:r>
      <w:proofErr w:type="spellStart"/>
      <w:r w:rsidRPr="00194338">
        <w:rPr>
          <w:rFonts w:ascii="Times New Roman" w:hAnsi="Times New Roman"/>
          <w:sz w:val="28"/>
          <w:szCs w:val="28"/>
        </w:rPr>
        <w:t>відбору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підручників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для 8 </w:t>
      </w:r>
      <w:proofErr w:type="spellStart"/>
      <w:r w:rsidRPr="00194338">
        <w:rPr>
          <w:rFonts w:ascii="Times New Roman" w:hAnsi="Times New Roman"/>
          <w:sz w:val="28"/>
          <w:szCs w:val="28"/>
        </w:rPr>
        <w:t>класу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94338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194338">
        <w:rPr>
          <w:rFonts w:ascii="Times New Roman" w:hAnsi="Times New Roman"/>
          <w:sz w:val="28"/>
          <w:szCs w:val="28"/>
        </w:rPr>
        <w:t>друку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194338">
        <w:rPr>
          <w:rFonts w:ascii="Times New Roman" w:hAnsi="Times New Roman"/>
          <w:sz w:val="28"/>
          <w:szCs w:val="28"/>
        </w:rPr>
        <w:t>кошти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державного бюджету </w:t>
      </w:r>
      <w:proofErr w:type="spellStart"/>
      <w:r w:rsidRPr="00194338">
        <w:rPr>
          <w:rFonts w:ascii="Times New Roman" w:hAnsi="Times New Roman"/>
          <w:sz w:val="28"/>
          <w:szCs w:val="28"/>
        </w:rPr>
        <w:t>або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94338">
        <w:rPr>
          <w:rFonts w:ascii="Times New Roman" w:hAnsi="Times New Roman"/>
          <w:sz w:val="28"/>
          <w:szCs w:val="28"/>
        </w:rPr>
        <w:t>умовах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співфінансування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із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109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підручників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194338">
        <w:rPr>
          <w:rFonts w:ascii="Times New Roman" w:hAnsi="Times New Roman"/>
          <w:sz w:val="28"/>
          <w:szCs w:val="28"/>
        </w:rPr>
        <w:t>було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включено 21, попри те, </w:t>
      </w:r>
      <w:proofErr w:type="spellStart"/>
      <w:r w:rsidRPr="00194338">
        <w:rPr>
          <w:rFonts w:ascii="Times New Roman" w:hAnsi="Times New Roman"/>
          <w:sz w:val="28"/>
          <w:szCs w:val="28"/>
        </w:rPr>
        <w:t>що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їх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обрали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2608 </w:t>
      </w:r>
      <w:proofErr w:type="spellStart"/>
      <w:r w:rsidRPr="00194338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освіти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94338">
        <w:rPr>
          <w:rFonts w:ascii="Times New Roman" w:hAnsi="Times New Roman"/>
          <w:sz w:val="28"/>
          <w:szCs w:val="28"/>
        </w:rPr>
        <w:t>Переважно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це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підручники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нових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колективів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>.</w:t>
      </w:r>
    </w:p>
    <w:p w14:paraId="10037DF7" w14:textId="0AEF99AB" w:rsidR="00585F7F" w:rsidRPr="00194338" w:rsidRDefault="00585F7F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5F7F">
        <w:rPr>
          <w:rFonts w:ascii="Times New Roman" w:hAnsi="Times New Roman"/>
          <w:sz w:val="28"/>
          <w:szCs w:val="28"/>
          <w:lang w:val="uk-UA"/>
        </w:rPr>
        <w:t xml:space="preserve">Зменшення порогового показника дасть змогу забезпечити друк більшої </w:t>
      </w:r>
      <w:r w:rsidRPr="00194338">
        <w:rPr>
          <w:rFonts w:ascii="Times New Roman" w:hAnsi="Times New Roman"/>
          <w:sz w:val="28"/>
          <w:szCs w:val="28"/>
          <w:lang w:val="uk-UA"/>
        </w:rPr>
        <w:t xml:space="preserve">кількості підручників авторів, які не мають високого рівня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впізнаваності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, однак  досягли результату вибору більше 20 (для друку за кошти державного бюджету) чи 5 тисяч примірників (для друку на умовах співфінансування). </w:t>
      </w:r>
      <w:proofErr w:type="spellStart"/>
      <w:r w:rsidRPr="00194338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запропонованої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моделі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94338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конкурсного </w:t>
      </w:r>
      <w:proofErr w:type="spellStart"/>
      <w:r w:rsidRPr="00194338">
        <w:rPr>
          <w:rFonts w:ascii="Times New Roman" w:hAnsi="Times New Roman"/>
          <w:sz w:val="28"/>
          <w:szCs w:val="28"/>
        </w:rPr>
        <w:t>відбору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підручників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2025 року дала б </w:t>
      </w:r>
      <w:proofErr w:type="spellStart"/>
      <w:r w:rsidRPr="00194338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ще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підручникам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194338">
        <w:rPr>
          <w:rFonts w:ascii="Times New Roman" w:hAnsi="Times New Roman"/>
          <w:sz w:val="28"/>
          <w:szCs w:val="28"/>
        </w:rPr>
        <w:t>надрукованими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94338">
        <w:rPr>
          <w:rFonts w:ascii="Times New Roman" w:hAnsi="Times New Roman"/>
          <w:sz w:val="28"/>
          <w:szCs w:val="28"/>
        </w:rPr>
        <w:t>умовах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співфінансування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видавництвом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>.</w:t>
      </w:r>
    </w:p>
    <w:p w14:paraId="596DD988" w14:textId="3DDB1DFD" w:rsidR="001B15E7" w:rsidRPr="00194338" w:rsidRDefault="001B15E7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  <w:lang w:val="uk-UA"/>
        </w:rPr>
        <w:t xml:space="preserve">Проєктом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також пропонується зменшити пороговий показник для формування переліку підручників і посібників, що можуть видаватися за кошти державного бюджету, з п’яти до двох тисяч, зокрема для профільної середньої освіти.</w:t>
      </w:r>
    </w:p>
    <w:p w14:paraId="7FF63CC9" w14:textId="56086201" w:rsidR="001B15E7" w:rsidRPr="00194338" w:rsidRDefault="002045BC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4338">
        <w:rPr>
          <w:rFonts w:ascii="Times New Roman" w:hAnsi="Times New Roman"/>
          <w:sz w:val="28"/>
          <w:szCs w:val="28"/>
        </w:rPr>
        <w:t>Додатково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нова модель </w:t>
      </w:r>
      <w:proofErr w:type="spellStart"/>
      <w:r w:rsidRPr="00194338">
        <w:rPr>
          <w:rFonts w:ascii="Times New Roman" w:hAnsi="Times New Roman"/>
          <w:sz w:val="28"/>
          <w:szCs w:val="28"/>
        </w:rPr>
        <w:t>сприятиме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підвищенню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конкуренції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серед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колективів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94338">
        <w:rPr>
          <w:rFonts w:ascii="Times New Roman" w:hAnsi="Times New Roman"/>
          <w:sz w:val="28"/>
          <w:szCs w:val="28"/>
        </w:rPr>
        <w:t>видавництв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 w:rsidRPr="00194338">
        <w:rPr>
          <w:rFonts w:ascii="Times New Roman" w:hAnsi="Times New Roman"/>
          <w:sz w:val="28"/>
          <w:szCs w:val="28"/>
        </w:rPr>
        <w:t>розширенню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доступу </w:t>
      </w:r>
      <w:proofErr w:type="spellStart"/>
      <w:r w:rsidRPr="00194338">
        <w:rPr>
          <w:rFonts w:ascii="Times New Roman" w:hAnsi="Times New Roman"/>
          <w:sz w:val="28"/>
          <w:szCs w:val="28"/>
        </w:rPr>
        <w:t>педагогів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94338">
        <w:rPr>
          <w:rFonts w:ascii="Times New Roman" w:hAnsi="Times New Roman"/>
          <w:sz w:val="28"/>
          <w:szCs w:val="28"/>
        </w:rPr>
        <w:t>різних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194338">
        <w:rPr>
          <w:rFonts w:ascii="Times New Roman" w:hAnsi="Times New Roman"/>
          <w:sz w:val="28"/>
          <w:szCs w:val="28"/>
        </w:rPr>
        <w:t>методичними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підходами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видань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94338">
        <w:rPr>
          <w:rFonts w:ascii="Times New Roman" w:hAnsi="Times New Roman"/>
          <w:sz w:val="28"/>
          <w:szCs w:val="28"/>
        </w:rPr>
        <w:t>що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позитивно </w:t>
      </w:r>
      <w:proofErr w:type="spellStart"/>
      <w:r w:rsidRPr="00194338">
        <w:rPr>
          <w:rFonts w:ascii="Times New Roman" w:hAnsi="Times New Roman"/>
          <w:sz w:val="28"/>
          <w:szCs w:val="28"/>
        </w:rPr>
        <w:t>вплине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94338">
        <w:rPr>
          <w:rFonts w:ascii="Times New Roman" w:hAnsi="Times New Roman"/>
          <w:sz w:val="28"/>
          <w:szCs w:val="28"/>
        </w:rPr>
        <w:lastRenderedPageBreak/>
        <w:t>якість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процесу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194338">
        <w:rPr>
          <w:rFonts w:ascii="Times New Roman" w:hAnsi="Times New Roman"/>
          <w:sz w:val="28"/>
          <w:szCs w:val="28"/>
        </w:rPr>
        <w:t>цьому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збільшення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94338">
        <w:rPr>
          <w:rFonts w:ascii="Times New Roman" w:hAnsi="Times New Roman"/>
          <w:sz w:val="28"/>
          <w:szCs w:val="28"/>
        </w:rPr>
        <w:t>друк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підручників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194338">
        <w:rPr>
          <w:rFonts w:ascii="Times New Roman" w:hAnsi="Times New Roman"/>
          <w:sz w:val="28"/>
          <w:szCs w:val="28"/>
        </w:rPr>
        <w:t>передбачається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94338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вартість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примірника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194338">
        <w:rPr>
          <w:rFonts w:ascii="Times New Roman" w:hAnsi="Times New Roman"/>
          <w:sz w:val="28"/>
          <w:szCs w:val="28"/>
        </w:rPr>
        <w:t>чинної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бюджетної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>.</w:t>
      </w:r>
    </w:p>
    <w:p w14:paraId="688D75C5" w14:textId="1CBC8EE3" w:rsidR="00DE2CA1" w:rsidRPr="00194338" w:rsidRDefault="00394149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4338">
        <w:rPr>
          <w:rFonts w:ascii="Times New Roman" w:hAnsi="Times New Roman"/>
          <w:sz w:val="28"/>
          <w:szCs w:val="28"/>
        </w:rPr>
        <w:t>Якщо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жоден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із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підручників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або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посібників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194338">
        <w:rPr>
          <w:rFonts w:ascii="Times New Roman" w:hAnsi="Times New Roman"/>
          <w:sz w:val="28"/>
          <w:szCs w:val="28"/>
        </w:rPr>
        <w:t>досягає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встановлених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порогових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94338">
        <w:rPr>
          <w:rFonts w:ascii="Times New Roman" w:hAnsi="Times New Roman"/>
          <w:sz w:val="28"/>
          <w:szCs w:val="28"/>
        </w:rPr>
        <w:t>передбачається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включення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94338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двох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, а не одного, </w:t>
      </w:r>
      <w:proofErr w:type="spellStart"/>
      <w:r w:rsidRPr="00194338">
        <w:rPr>
          <w:rFonts w:ascii="Times New Roman" w:hAnsi="Times New Roman"/>
          <w:sz w:val="28"/>
          <w:szCs w:val="28"/>
        </w:rPr>
        <w:t>видань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із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тієї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самої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назви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94338">
        <w:rPr>
          <w:rFonts w:ascii="Times New Roman" w:hAnsi="Times New Roman"/>
          <w:sz w:val="28"/>
          <w:szCs w:val="28"/>
        </w:rPr>
        <w:t>Це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дозволяє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врахувати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вибір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більшої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6E30" w:rsidRPr="00194338">
        <w:rPr>
          <w:rFonts w:ascii="Times New Roman" w:hAnsi="Times New Roman"/>
          <w:sz w:val="28"/>
          <w:szCs w:val="28"/>
        </w:rPr>
        <w:t>кількості</w:t>
      </w:r>
      <w:proofErr w:type="spellEnd"/>
      <w:r w:rsidR="00556E30"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6E30" w:rsidRPr="00194338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="00556E30"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6E30" w:rsidRPr="00194338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556E30" w:rsidRPr="0019433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556E30" w:rsidRPr="0019433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556E30" w:rsidRPr="00194338">
        <w:rPr>
          <w:rFonts w:ascii="Times New Roman" w:hAnsi="Times New Roman"/>
          <w:sz w:val="28"/>
          <w:szCs w:val="28"/>
        </w:rPr>
        <w:t xml:space="preserve"> ширше </w:t>
      </w:r>
      <w:proofErr w:type="spellStart"/>
      <w:r w:rsidR="00556E30" w:rsidRPr="00194338">
        <w:rPr>
          <w:rFonts w:ascii="Times New Roman" w:hAnsi="Times New Roman"/>
          <w:sz w:val="28"/>
          <w:szCs w:val="28"/>
        </w:rPr>
        <w:t>представлення</w:t>
      </w:r>
      <w:proofErr w:type="spellEnd"/>
      <w:r w:rsidR="00556E30"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6E30" w:rsidRPr="00194338">
        <w:rPr>
          <w:rFonts w:ascii="Times New Roman" w:hAnsi="Times New Roman"/>
          <w:sz w:val="28"/>
          <w:szCs w:val="28"/>
        </w:rPr>
        <w:t>їхніх</w:t>
      </w:r>
      <w:proofErr w:type="spellEnd"/>
      <w:r w:rsidR="00556E30"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6E30" w:rsidRPr="00194338">
        <w:rPr>
          <w:rFonts w:ascii="Times New Roman" w:hAnsi="Times New Roman"/>
          <w:sz w:val="28"/>
          <w:szCs w:val="28"/>
        </w:rPr>
        <w:t>фахових</w:t>
      </w:r>
      <w:proofErr w:type="spellEnd"/>
      <w:r w:rsidR="00556E30" w:rsidRPr="00194338">
        <w:rPr>
          <w:rFonts w:ascii="Times New Roman" w:hAnsi="Times New Roman"/>
          <w:sz w:val="28"/>
          <w:szCs w:val="28"/>
        </w:rPr>
        <w:t xml:space="preserve"> потреб</w:t>
      </w:r>
      <w:r w:rsidR="00556E30" w:rsidRPr="00194338">
        <w:rPr>
          <w:rFonts w:ascii="Times New Roman" w:hAnsi="Times New Roman"/>
          <w:sz w:val="28"/>
          <w:szCs w:val="28"/>
          <w:lang w:val="uk-UA"/>
        </w:rPr>
        <w:t>.</w:t>
      </w:r>
    </w:p>
    <w:p w14:paraId="22C7561E" w14:textId="58D5F60D" w:rsidR="00556E30" w:rsidRPr="00194338" w:rsidRDefault="002F520A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4338">
        <w:rPr>
          <w:rFonts w:ascii="Times New Roman" w:hAnsi="Times New Roman"/>
          <w:sz w:val="28"/>
          <w:szCs w:val="28"/>
        </w:rPr>
        <w:t>Беручи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94338">
        <w:rPr>
          <w:rFonts w:ascii="Times New Roman" w:hAnsi="Times New Roman"/>
          <w:sz w:val="28"/>
          <w:szCs w:val="28"/>
        </w:rPr>
        <w:t>уваги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контингенту </w:t>
      </w:r>
      <w:proofErr w:type="spellStart"/>
      <w:r w:rsidRPr="00194338">
        <w:rPr>
          <w:rFonts w:ascii="Times New Roman" w:hAnsi="Times New Roman"/>
          <w:sz w:val="28"/>
          <w:szCs w:val="28"/>
        </w:rPr>
        <w:t>учнів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94338">
        <w:rPr>
          <w:rFonts w:ascii="Times New Roman" w:hAnsi="Times New Roman"/>
          <w:sz w:val="28"/>
          <w:szCs w:val="28"/>
        </w:rPr>
        <w:t>особливими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освітніми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потребами </w:t>
      </w:r>
      <w:proofErr w:type="spellStart"/>
      <w:r w:rsidRPr="00194338">
        <w:rPr>
          <w:rFonts w:ascii="Times New Roman" w:hAnsi="Times New Roman"/>
          <w:sz w:val="28"/>
          <w:szCs w:val="28"/>
        </w:rPr>
        <w:t>пропонується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здійснювати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друк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194338">
        <w:rPr>
          <w:rFonts w:ascii="Times New Roman" w:hAnsi="Times New Roman"/>
          <w:sz w:val="28"/>
          <w:szCs w:val="28"/>
        </w:rPr>
        <w:t>кошти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державного бюджету </w:t>
      </w:r>
      <w:proofErr w:type="spellStart"/>
      <w:r w:rsidRPr="00194338">
        <w:rPr>
          <w:rFonts w:ascii="Times New Roman" w:hAnsi="Times New Roman"/>
          <w:sz w:val="28"/>
          <w:szCs w:val="28"/>
        </w:rPr>
        <w:t>лише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одного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підручника</w:t>
      </w:r>
      <w:proofErr w:type="spellEnd"/>
      <w:r w:rsidRPr="00194338">
        <w:rPr>
          <w:rFonts w:ascii="Times New Roman" w:hAnsi="Times New Roman"/>
          <w:sz w:val="28"/>
          <w:szCs w:val="28"/>
        </w:rPr>
        <w:t>/</w:t>
      </w:r>
      <w:proofErr w:type="spellStart"/>
      <w:r w:rsidRPr="00194338">
        <w:rPr>
          <w:rFonts w:ascii="Times New Roman" w:hAnsi="Times New Roman"/>
          <w:sz w:val="28"/>
          <w:szCs w:val="28"/>
        </w:rPr>
        <w:t>посібника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94338">
        <w:rPr>
          <w:rFonts w:ascii="Times New Roman" w:hAnsi="Times New Roman"/>
          <w:sz w:val="28"/>
          <w:szCs w:val="28"/>
        </w:rPr>
        <w:t>який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отримав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найвищий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узагальнений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194338">
        <w:rPr>
          <w:rFonts w:ascii="Times New Roman" w:hAnsi="Times New Roman"/>
          <w:sz w:val="28"/>
          <w:szCs w:val="28"/>
        </w:rPr>
        <w:t>вибору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закладами </w:t>
      </w:r>
      <w:proofErr w:type="spellStart"/>
      <w:r w:rsidRPr="00194338">
        <w:rPr>
          <w:rFonts w:ascii="Times New Roman" w:hAnsi="Times New Roman"/>
          <w:sz w:val="28"/>
          <w:szCs w:val="28"/>
        </w:rPr>
        <w:t>освіти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194338">
        <w:rPr>
          <w:rFonts w:ascii="Times New Roman" w:hAnsi="Times New Roman"/>
          <w:sz w:val="28"/>
          <w:szCs w:val="28"/>
        </w:rPr>
        <w:t>складі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яких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функціонують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класи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(групи), у </w:t>
      </w:r>
      <w:proofErr w:type="spellStart"/>
      <w:r w:rsidRPr="00194338">
        <w:rPr>
          <w:rFonts w:ascii="Times New Roman" w:hAnsi="Times New Roman"/>
          <w:sz w:val="28"/>
          <w:szCs w:val="28"/>
        </w:rPr>
        <w:t>яких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навчаються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особи з </w:t>
      </w:r>
      <w:proofErr w:type="spellStart"/>
      <w:r w:rsidRPr="00194338">
        <w:rPr>
          <w:rFonts w:ascii="Times New Roman" w:hAnsi="Times New Roman"/>
          <w:sz w:val="28"/>
          <w:szCs w:val="28"/>
        </w:rPr>
        <w:t>особливими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освітніми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потребами</w:t>
      </w:r>
      <w:r w:rsidRPr="00194338">
        <w:rPr>
          <w:rFonts w:ascii="Times New Roman" w:hAnsi="Times New Roman"/>
          <w:sz w:val="28"/>
          <w:szCs w:val="28"/>
          <w:lang w:val="uk-UA"/>
        </w:rPr>
        <w:t>.</w:t>
      </w:r>
    </w:p>
    <w:p w14:paraId="45DD82A1" w14:textId="4BFF0B24" w:rsidR="00884C81" w:rsidRPr="00194338" w:rsidRDefault="00884C81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  <w:lang w:val="uk-UA"/>
        </w:rPr>
        <w:t xml:space="preserve">Проєктом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 також пропонується вилучити пункт, який регулює обмеження щодо максимального обсягу текстів та/або уривків літературно-художніх творів у підручниках з української літератури, зарубіжної літератури та літератур національних меншин (або відповідних інтегрованих курсів) для 10–12 класів закладів загальної середньої освіти. Зазначене обмеження не відповідає предмету регулювання цього </w:t>
      </w:r>
      <w:proofErr w:type="spellStart"/>
      <w:r w:rsidRPr="00194338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194338">
        <w:rPr>
          <w:rFonts w:ascii="Times New Roman" w:hAnsi="Times New Roman"/>
          <w:sz w:val="28"/>
          <w:szCs w:val="28"/>
          <w:lang w:val="uk-UA"/>
        </w:rPr>
        <w:t xml:space="preserve">, водночас, враховуючи наявності електронного додатка, як невід’ємної частини підручника, подання художніх творів у повному обсязі можливе в електронному додатку або з використанням </w:t>
      </w:r>
      <w:r w:rsidRPr="00194338">
        <w:rPr>
          <w:rFonts w:ascii="Times New Roman" w:hAnsi="Times New Roman"/>
          <w:sz w:val="28"/>
          <w:szCs w:val="28"/>
        </w:rPr>
        <w:t>QR</w:t>
      </w:r>
      <w:r w:rsidRPr="00194338">
        <w:rPr>
          <w:rFonts w:ascii="Times New Roman" w:hAnsi="Times New Roman"/>
          <w:sz w:val="28"/>
          <w:szCs w:val="28"/>
          <w:lang w:val="uk-UA"/>
        </w:rPr>
        <w:t>-кодів без впливу на обсяг і вартість підручника.</w:t>
      </w:r>
    </w:p>
    <w:p w14:paraId="57A0F6D6" w14:textId="51A3A1D5" w:rsidR="00ED7C39" w:rsidRDefault="007F3251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4338">
        <w:rPr>
          <w:rFonts w:ascii="Times New Roman" w:hAnsi="Times New Roman"/>
          <w:sz w:val="28"/>
          <w:szCs w:val="28"/>
        </w:rPr>
        <w:t xml:space="preserve">Також </w:t>
      </w:r>
      <w:proofErr w:type="spellStart"/>
      <w:r w:rsidRPr="00194338">
        <w:rPr>
          <w:rFonts w:ascii="Times New Roman" w:hAnsi="Times New Roman"/>
          <w:sz w:val="28"/>
          <w:szCs w:val="28"/>
        </w:rPr>
        <w:t>пропонується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уніфікувати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підхід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94338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керівного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складу та </w:t>
      </w:r>
      <w:proofErr w:type="spellStart"/>
      <w:r w:rsidRPr="0019433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секретаря </w:t>
      </w:r>
      <w:proofErr w:type="spellStart"/>
      <w:r w:rsidRPr="00194338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94338">
        <w:rPr>
          <w:rFonts w:ascii="Times New Roman" w:hAnsi="Times New Roman"/>
          <w:sz w:val="28"/>
          <w:szCs w:val="28"/>
        </w:rPr>
        <w:t>апеляційної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. Голову </w:t>
      </w:r>
      <w:proofErr w:type="spellStart"/>
      <w:r w:rsidRPr="00194338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94338">
        <w:rPr>
          <w:rFonts w:ascii="Times New Roman" w:hAnsi="Times New Roman"/>
          <w:sz w:val="28"/>
          <w:szCs w:val="28"/>
        </w:rPr>
        <w:t>апеляційної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пропонується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затверджувати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194338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освіти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19433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94338">
        <w:rPr>
          <w:rFonts w:ascii="Times New Roman" w:hAnsi="Times New Roman"/>
          <w:sz w:val="28"/>
          <w:szCs w:val="28"/>
        </w:rPr>
        <w:t>що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дієздатність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194338">
        <w:rPr>
          <w:rFonts w:ascii="Times New Roman" w:hAnsi="Times New Roman"/>
          <w:sz w:val="28"/>
          <w:szCs w:val="28"/>
        </w:rPr>
        <w:t>їх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утворення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, а секретарем </w:t>
      </w:r>
      <w:proofErr w:type="spellStart"/>
      <w:r w:rsidRPr="00194338">
        <w:rPr>
          <w:rFonts w:ascii="Times New Roman" w:hAnsi="Times New Roman"/>
          <w:sz w:val="28"/>
          <w:szCs w:val="28"/>
        </w:rPr>
        <w:t>обох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без права голосу - </w:t>
      </w:r>
      <w:proofErr w:type="spellStart"/>
      <w:r w:rsidRPr="00194338">
        <w:rPr>
          <w:rFonts w:ascii="Times New Roman" w:hAnsi="Times New Roman"/>
          <w:sz w:val="28"/>
          <w:szCs w:val="28"/>
        </w:rPr>
        <w:t>призначати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працівника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338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194338">
        <w:rPr>
          <w:rFonts w:ascii="Times New Roman" w:hAnsi="Times New Roman"/>
          <w:sz w:val="28"/>
          <w:szCs w:val="28"/>
        </w:rPr>
        <w:t xml:space="preserve"> установи</w:t>
      </w:r>
      <w:r w:rsidRPr="00194338">
        <w:rPr>
          <w:rFonts w:ascii="Times New Roman" w:hAnsi="Times New Roman"/>
          <w:sz w:val="28"/>
          <w:szCs w:val="28"/>
          <w:lang w:val="uk-UA"/>
        </w:rPr>
        <w:t>.</w:t>
      </w:r>
    </w:p>
    <w:p w14:paraId="2523F912" w14:textId="77777777" w:rsidR="007F3251" w:rsidRPr="007F3251" w:rsidRDefault="007F3251" w:rsidP="00B47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642897" w14:textId="78D31660" w:rsidR="00AE392D" w:rsidRPr="009F1B3F" w:rsidRDefault="00D830D5" w:rsidP="00684573">
      <w:pPr>
        <w:numPr>
          <w:ilvl w:val="0"/>
          <w:numId w:val="1"/>
        </w:numPr>
        <w:ind w:left="426"/>
        <w:rPr>
          <w:rFonts w:ascii="Times New Roman" w:hAnsi="Times New Roman"/>
          <w:b/>
          <w:sz w:val="28"/>
          <w:szCs w:val="28"/>
          <w:lang w:val="uk-UA"/>
        </w:rPr>
      </w:pPr>
      <w:r w:rsidRPr="009F1B3F">
        <w:rPr>
          <w:rFonts w:ascii="Times New Roman" w:hAnsi="Times New Roman"/>
          <w:b/>
          <w:sz w:val="28"/>
          <w:lang w:val="uk-UA"/>
        </w:rPr>
        <w:t>Правові аспекти</w:t>
      </w:r>
    </w:p>
    <w:p w14:paraId="60736A1A" w14:textId="01AD9E22" w:rsidR="00F9327A" w:rsidRPr="009F1B3F" w:rsidRDefault="0036693F" w:rsidP="004B41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1B3F">
        <w:rPr>
          <w:rFonts w:ascii="Times New Roman" w:hAnsi="Times New Roman"/>
          <w:sz w:val="28"/>
          <w:lang w:val="uk-UA"/>
        </w:rPr>
        <w:t xml:space="preserve">Проєкт </w:t>
      </w:r>
      <w:proofErr w:type="spellStart"/>
      <w:r w:rsidRPr="009F1B3F">
        <w:rPr>
          <w:rFonts w:ascii="Times New Roman" w:hAnsi="Times New Roman"/>
          <w:sz w:val="28"/>
          <w:lang w:val="uk-UA"/>
        </w:rPr>
        <w:t>акта</w:t>
      </w:r>
      <w:proofErr w:type="spellEnd"/>
      <w:r w:rsidRPr="009F1B3F">
        <w:rPr>
          <w:rFonts w:ascii="Times New Roman" w:hAnsi="Times New Roman"/>
          <w:sz w:val="28"/>
          <w:lang w:val="uk-UA"/>
        </w:rPr>
        <w:t xml:space="preserve"> розроблено відповідно до законів України </w:t>
      </w:r>
      <w:r w:rsidR="00DC1AF3" w:rsidRPr="009F1B3F">
        <w:rPr>
          <w:rFonts w:ascii="Times New Roman" w:hAnsi="Times New Roman"/>
          <w:sz w:val="28"/>
          <w:szCs w:val="28"/>
          <w:lang w:val="uk-UA"/>
        </w:rPr>
        <w:t>«Про освіту», «Про повну загальну середню освіту», «Про професійну освіту», постанов</w:t>
      </w:r>
      <w:r w:rsidRPr="009F1B3F">
        <w:rPr>
          <w:rFonts w:ascii="Times New Roman" w:hAnsi="Times New Roman"/>
          <w:sz w:val="28"/>
          <w:szCs w:val="28"/>
          <w:lang w:val="uk-UA"/>
        </w:rPr>
        <w:t>и</w:t>
      </w:r>
      <w:r w:rsidR="00DC1AF3" w:rsidRPr="009F1B3F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23 січня 2019 р. № 41</w:t>
      </w:r>
      <w:r w:rsidR="00DC1AF3" w:rsidRPr="009F1B3F">
        <w:rPr>
          <w:rFonts w:ascii="Antiqua" w:eastAsia="Antiqua" w:hAnsi="Antiqua" w:cs="Antiqua"/>
          <w:sz w:val="26"/>
          <w:szCs w:val="26"/>
          <w:lang w:val="uk-UA"/>
        </w:rPr>
        <w:t xml:space="preserve"> </w:t>
      </w:r>
      <w:r w:rsidR="00DC1AF3" w:rsidRPr="009F1B3F">
        <w:rPr>
          <w:rFonts w:ascii="Times New Roman" w:hAnsi="Times New Roman"/>
          <w:sz w:val="28"/>
          <w:szCs w:val="28"/>
          <w:lang w:val="uk-UA"/>
        </w:rPr>
        <w:t>«Про затвердження Порядку забезпечення підручниками та посібниками здобувачів повної загальної середньої освіти і педагогічних працівників», постанов</w:t>
      </w:r>
      <w:r w:rsidRPr="009F1B3F">
        <w:rPr>
          <w:rFonts w:ascii="Times New Roman" w:hAnsi="Times New Roman"/>
          <w:sz w:val="28"/>
          <w:szCs w:val="28"/>
          <w:lang w:val="uk-UA"/>
        </w:rPr>
        <w:t>и</w:t>
      </w:r>
      <w:r w:rsidR="00DC1AF3" w:rsidRPr="009F1B3F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</w:t>
      </w:r>
      <w:r w:rsidR="00DC1AF3" w:rsidRPr="009F1B3F">
        <w:rPr>
          <w:rFonts w:ascii="Antiqua" w:eastAsia="Antiqua" w:hAnsi="Antiqua" w:cs="Antiqua"/>
          <w:sz w:val="26"/>
          <w:szCs w:val="26"/>
          <w:lang w:val="uk-UA"/>
        </w:rPr>
        <w:t xml:space="preserve"> </w:t>
      </w:r>
      <w:r w:rsidR="00DC1AF3" w:rsidRPr="009F1B3F">
        <w:rPr>
          <w:rFonts w:ascii="Times New Roman" w:hAnsi="Times New Roman"/>
          <w:sz w:val="28"/>
          <w:szCs w:val="28"/>
          <w:lang w:val="uk-UA"/>
        </w:rPr>
        <w:t>19 лютого 2020 р. № 131 «Про затвердження Порядку використання коштів, передбачених у державному бюджеті для реалізації загальнодержавних заходів у сфері освіти»</w:t>
      </w:r>
      <w:r w:rsidR="00F9327A" w:rsidRPr="009F1B3F">
        <w:rPr>
          <w:rFonts w:ascii="Times New Roman" w:hAnsi="Times New Roman"/>
          <w:sz w:val="28"/>
          <w:szCs w:val="28"/>
          <w:lang w:val="uk-UA"/>
        </w:rPr>
        <w:t>.</w:t>
      </w:r>
    </w:p>
    <w:p w14:paraId="6C7EF30C" w14:textId="77777777" w:rsidR="00835F18" w:rsidRDefault="00835F18" w:rsidP="00835F18">
      <w:pPr>
        <w:spacing w:after="0"/>
        <w:ind w:firstLine="426"/>
        <w:jc w:val="both"/>
        <w:rPr>
          <w:rFonts w:ascii="Times New Roman" w:hAnsi="Times New Roman"/>
          <w:sz w:val="28"/>
          <w:lang w:val="uk-UA"/>
        </w:rPr>
      </w:pPr>
    </w:p>
    <w:p w14:paraId="1477C22B" w14:textId="77777777" w:rsidR="00AE392D" w:rsidRPr="0069196D" w:rsidRDefault="00D830D5" w:rsidP="00684573">
      <w:pPr>
        <w:numPr>
          <w:ilvl w:val="0"/>
          <w:numId w:val="1"/>
        </w:numPr>
        <w:ind w:hanging="374"/>
        <w:rPr>
          <w:rFonts w:ascii="Times New Roman" w:hAnsi="Times New Roman"/>
          <w:b/>
          <w:sz w:val="28"/>
          <w:szCs w:val="28"/>
          <w:lang w:val="uk-UA"/>
        </w:rPr>
      </w:pPr>
      <w:r w:rsidRPr="004B198C">
        <w:rPr>
          <w:rFonts w:ascii="Times New Roman" w:hAnsi="Times New Roman"/>
          <w:b/>
          <w:sz w:val="28"/>
          <w:lang w:val="uk-UA"/>
        </w:rPr>
        <w:t>Фінансово-економічне обґрунтування</w:t>
      </w:r>
    </w:p>
    <w:p w14:paraId="65D47019" w14:textId="1D813557" w:rsidR="00E65A08" w:rsidRPr="009F1B3F" w:rsidRDefault="0069196D" w:rsidP="00F1409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15F2">
        <w:rPr>
          <w:rFonts w:ascii="Times New Roman" w:hAnsi="Times New Roman"/>
          <w:sz w:val="28"/>
          <w:szCs w:val="28"/>
          <w:lang w:val="uk-UA"/>
        </w:rPr>
        <w:t xml:space="preserve">Діючий механізм передбачає, що ті підручники/посібники, які під час конкурсного вибору не отримали узагальнений результат вибору, який дорівнює  </w:t>
      </w:r>
      <w:r w:rsidRPr="00F915F2">
        <w:rPr>
          <w:rFonts w:ascii="Times New Roman" w:hAnsi="Times New Roman"/>
          <w:sz w:val="28"/>
          <w:szCs w:val="28"/>
          <w:lang w:val="uk-UA"/>
        </w:rPr>
        <w:lastRenderedPageBreak/>
        <w:t>10 тис. примірників і більше</w:t>
      </w:r>
      <w:r w:rsidR="00B86462" w:rsidRPr="00F915F2">
        <w:rPr>
          <w:rFonts w:ascii="Times New Roman" w:hAnsi="Times New Roman"/>
          <w:sz w:val="28"/>
          <w:szCs w:val="28"/>
          <w:lang w:val="uk-UA"/>
        </w:rPr>
        <w:t>,</w:t>
      </w:r>
      <w:r w:rsidRPr="00F915F2">
        <w:rPr>
          <w:rFonts w:ascii="Times New Roman" w:hAnsi="Times New Roman"/>
          <w:sz w:val="28"/>
          <w:szCs w:val="28"/>
          <w:lang w:val="uk-UA"/>
        </w:rPr>
        <w:t xml:space="preserve"> не видаються за кошти державного бюджету, а їх </w:t>
      </w:r>
      <w:r w:rsidRPr="009F1B3F">
        <w:rPr>
          <w:rFonts w:ascii="Times New Roman" w:hAnsi="Times New Roman"/>
          <w:sz w:val="28"/>
          <w:szCs w:val="28"/>
          <w:lang w:val="uk-UA"/>
        </w:rPr>
        <w:t xml:space="preserve">наклади </w:t>
      </w:r>
      <w:proofErr w:type="spellStart"/>
      <w:r w:rsidRPr="009F1B3F">
        <w:rPr>
          <w:rFonts w:ascii="Times New Roman" w:hAnsi="Times New Roman"/>
          <w:sz w:val="28"/>
          <w:szCs w:val="28"/>
          <w:lang w:val="uk-UA"/>
        </w:rPr>
        <w:t>пропорційно</w:t>
      </w:r>
      <w:proofErr w:type="spellEnd"/>
      <w:r w:rsidRPr="009F1B3F">
        <w:rPr>
          <w:rFonts w:ascii="Times New Roman" w:hAnsi="Times New Roman"/>
          <w:sz w:val="28"/>
          <w:szCs w:val="28"/>
          <w:lang w:val="uk-UA"/>
        </w:rPr>
        <w:t xml:space="preserve"> додаються до тих підручників/посібників, які набрали понад 10 тис. примірників</w:t>
      </w:r>
      <w:r w:rsidR="00B86462" w:rsidRPr="009F1B3F">
        <w:rPr>
          <w:rFonts w:ascii="Times New Roman" w:hAnsi="Times New Roman"/>
          <w:sz w:val="28"/>
          <w:szCs w:val="28"/>
          <w:lang w:val="uk-UA"/>
        </w:rPr>
        <w:t>.</w:t>
      </w:r>
    </w:p>
    <w:p w14:paraId="34C865C6" w14:textId="6F468E68" w:rsidR="00835F18" w:rsidRPr="009F1B3F" w:rsidRDefault="00F1409E" w:rsidP="00767A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1B3F">
        <w:rPr>
          <w:rFonts w:ascii="Times New Roman" w:hAnsi="Times New Roman"/>
          <w:sz w:val="28"/>
          <w:szCs w:val="28"/>
          <w:lang w:val="uk-UA"/>
        </w:rPr>
        <w:t>Зменшення порогу для друку підручників за кошти державного бюджету з 10 тис. до 5 тис. примірників не призведе до зростання загального накладу, оскільки перерозподіл буде здійснюватися тільки для тих підручників, які набрали узагальнений результат менше 5 тис. примірників. Крім того, зниження прохідного порогу дасть і певні позитивні результати, зокрема, збільшиться кількість підручників/посібників певних назв, а це в свою чергу забезпечить безпосередній вибір закладів освіти, збільшить конкуренцію серед авторів та  можливість видаватися новим авторським колективам.</w:t>
      </w:r>
      <w:r w:rsidRPr="009F1B3F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9F1B3F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9F1B3F">
        <w:rPr>
          <w:rFonts w:ascii="Times New Roman" w:hAnsi="Times New Roman"/>
          <w:i/>
          <w:iCs/>
          <w:sz w:val="28"/>
          <w:szCs w:val="28"/>
        </w:rPr>
        <w:t>Довідково</w:t>
      </w:r>
      <w:proofErr w:type="spellEnd"/>
      <w:r w:rsidRPr="009F1B3F">
        <w:rPr>
          <w:rFonts w:ascii="Times New Roman" w:hAnsi="Times New Roman"/>
          <w:i/>
          <w:iCs/>
          <w:sz w:val="28"/>
          <w:szCs w:val="28"/>
        </w:rPr>
        <w:t xml:space="preserve">: за результатами конкурсного </w:t>
      </w:r>
      <w:proofErr w:type="spellStart"/>
      <w:r w:rsidRPr="009F1B3F">
        <w:rPr>
          <w:rFonts w:ascii="Times New Roman" w:hAnsi="Times New Roman"/>
          <w:i/>
          <w:iCs/>
          <w:sz w:val="28"/>
          <w:szCs w:val="28"/>
        </w:rPr>
        <w:t>відбору</w:t>
      </w:r>
      <w:proofErr w:type="spellEnd"/>
      <w:r w:rsidRPr="009F1B3F">
        <w:rPr>
          <w:rFonts w:ascii="Times New Roman" w:hAnsi="Times New Roman"/>
          <w:i/>
          <w:iCs/>
          <w:sz w:val="28"/>
          <w:szCs w:val="28"/>
        </w:rPr>
        <w:t xml:space="preserve"> 2025 </w:t>
      </w:r>
      <w:proofErr w:type="spellStart"/>
      <w:r w:rsidRPr="009F1B3F">
        <w:rPr>
          <w:rFonts w:ascii="Times New Roman" w:hAnsi="Times New Roman"/>
          <w:i/>
          <w:iCs/>
          <w:sz w:val="28"/>
          <w:szCs w:val="28"/>
        </w:rPr>
        <w:t>з'явилося</w:t>
      </w:r>
      <w:proofErr w:type="spellEnd"/>
      <w:r w:rsidRPr="009F1B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="001109F4" w:rsidRPr="009F1B3F">
        <w:rPr>
          <w:rFonts w:ascii="Times New Roman" w:hAnsi="Times New Roman"/>
          <w:i/>
          <w:iCs/>
          <w:sz w:val="28"/>
          <w:szCs w:val="28"/>
          <w:lang w:val="uk-UA"/>
        </w:rPr>
        <w:t>6</w:t>
      </w:r>
      <w:r w:rsidRPr="009F1B3F">
        <w:rPr>
          <w:rFonts w:ascii="Times New Roman" w:hAnsi="Times New Roman"/>
          <w:i/>
          <w:iCs/>
          <w:sz w:val="28"/>
          <w:szCs w:val="28"/>
        </w:rPr>
        <w:t>-10</w:t>
      </w:r>
      <w:proofErr w:type="gramEnd"/>
      <w:r w:rsidRPr="009F1B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F1B3F">
        <w:rPr>
          <w:rFonts w:ascii="Times New Roman" w:hAnsi="Times New Roman"/>
          <w:i/>
          <w:iCs/>
          <w:sz w:val="28"/>
          <w:szCs w:val="28"/>
        </w:rPr>
        <w:t>нових</w:t>
      </w:r>
      <w:proofErr w:type="spellEnd"/>
      <w:r w:rsidRPr="009F1B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F1B3F">
        <w:rPr>
          <w:rFonts w:ascii="Times New Roman" w:hAnsi="Times New Roman"/>
          <w:i/>
          <w:iCs/>
          <w:sz w:val="28"/>
          <w:szCs w:val="28"/>
        </w:rPr>
        <w:t>назв</w:t>
      </w:r>
      <w:proofErr w:type="spellEnd"/>
      <w:r w:rsidRPr="009F1B3F">
        <w:rPr>
          <w:rFonts w:ascii="Times New Roman" w:hAnsi="Times New Roman"/>
          <w:i/>
          <w:iCs/>
          <w:sz w:val="28"/>
          <w:szCs w:val="28"/>
        </w:rPr>
        <w:t xml:space="preserve">, а у 2026 </w:t>
      </w:r>
      <w:proofErr w:type="spellStart"/>
      <w:r w:rsidRPr="009F1B3F">
        <w:rPr>
          <w:rFonts w:ascii="Times New Roman" w:hAnsi="Times New Roman"/>
          <w:i/>
          <w:iCs/>
          <w:sz w:val="28"/>
          <w:szCs w:val="28"/>
        </w:rPr>
        <w:t>році</w:t>
      </w:r>
      <w:proofErr w:type="spellEnd"/>
      <w:r w:rsidR="007D0596" w:rsidRPr="009F1B3F">
        <w:rPr>
          <w:rFonts w:ascii="Times New Roman" w:hAnsi="Times New Roman"/>
          <w:i/>
          <w:iCs/>
          <w:sz w:val="28"/>
          <w:szCs w:val="28"/>
          <w:lang w:val="uk-UA"/>
        </w:rPr>
        <w:t> –</w:t>
      </w:r>
      <w:r w:rsidRPr="009F1B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F1B3F">
        <w:rPr>
          <w:rFonts w:ascii="Times New Roman" w:hAnsi="Times New Roman"/>
          <w:i/>
          <w:iCs/>
          <w:sz w:val="28"/>
          <w:szCs w:val="28"/>
        </w:rPr>
        <w:t>прогнозовано</w:t>
      </w:r>
      <w:proofErr w:type="spellEnd"/>
      <w:r w:rsidRPr="009F1B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F1B3F">
        <w:rPr>
          <w:rFonts w:ascii="Times New Roman" w:hAnsi="Times New Roman"/>
          <w:i/>
          <w:iCs/>
          <w:sz w:val="28"/>
          <w:szCs w:val="28"/>
        </w:rPr>
        <w:t>може</w:t>
      </w:r>
      <w:proofErr w:type="spellEnd"/>
      <w:r w:rsidRPr="009F1B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F1B3F">
        <w:rPr>
          <w:rFonts w:ascii="Times New Roman" w:hAnsi="Times New Roman"/>
          <w:i/>
          <w:iCs/>
          <w:sz w:val="28"/>
          <w:szCs w:val="28"/>
        </w:rPr>
        <w:t>з'явитися</w:t>
      </w:r>
      <w:proofErr w:type="spellEnd"/>
      <w:r w:rsidRPr="009F1B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F1B3F">
        <w:rPr>
          <w:rFonts w:ascii="Times New Roman" w:hAnsi="Times New Roman"/>
          <w:i/>
          <w:iCs/>
          <w:sz w:val="28"/>
          <w:szCs w:val="28"/>
        </w:rPr>
        <w:t>близько</w:t>
      </w:r>
      <w:proofErr w:type="spellEnd"/>
      <w:r w:rsidRPr="009F1B3F">
        <w:rPr>
          <w:rFonts w:ascii="Times New Roman" w:hAnsi="Times New Roman"/>
          <w:i/>
          <w:iCs/>
          <w:sz w:val="28"/>
          <w:szCs w:val="28"/>
        </w:rPr>
        <w:t xml:space="preserve"> 15)</w:t>
      </w:r>
    </w:p>
    <w:p w14:paraId="421DCD94" w14:textId="491A4704" w:rsidR="00E65A08" w:rsidRDefault="000B2F61" w:rsidP="00767A7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9F1B3F">
        <w:rPr>
          <w:rFonts w:ascii="Times New Roman" w:hAnsi="Times New Roman"/>
          <w:sz w:val="28"/>
          <w:szCs w:val="28"/>
          <w:lang w:val="uk-UA"/>
        </w:rPr>
        <w:t>Запровадження запропонованих змін не призведе до зростання вартості підручника, оскільки ця категорія підручників (від 5 тис до 20 тис примірників)</w:t>
      </w:r>
      <w:r w:rsidRPr="000B2F61">
        <w:rPr>
          <w:rFonts w:ascii="Times New Roman" w:hAnsi="Times New Roman"/>
          <w:sz w:val="28"/>
          <w:szCs w:val="28"/>
          <w:lang w:val="uk-UA"/>
        </w:rPr>
        <w:t xml:space="preserve"> видається на умовах співфінансування, де діє обмеження вартості, тобто їх видання здійснюється </w:t>
      </w:r>
      <w:r w:rsidRPr="000B2F61">
        <w:rPr>
          <w:rFonts w:ascii="Times New Roman" w:hAnsi="Times New Roman"/>
          <w:sz w:val="28"/>
          <w:szCs w:val="28"/>
          <w:highlight w:val="white"/>
          <w:lang w:val="uk-UA"/>
        </w:rPr>
        <w:t>за умови подання видавництвом гарантійного листа про фінансування (за рахунок власних</w:t>
      </w:r>
      <w:r w:rsidR="00767A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7A70" w:rsidRPr="00767A70">
        <w:rPr>
          <w:rFonts w:ascii="Times New Roman" w:hAnsi="Times New Roman"/>
          <w:sz w:val="28"/>
          <w:szCs w:val="28"/>
          <w:highlight w:val="white"/>
          <w:lang w:val="uk-UA"/>
        </w:rPr>
        <w:t>обігових коштів або інших коштів, не заборонених законодавством) різниці між запропонованою видавництвом вартістю такого підручника/посібника і середньою вартістю підручника/посібника, що зазначена у паспорті бюджетної програми на відповідний рік (129 грн. у 2025 році)</w:t>
      </w:r>
      <w:r w:rsidR="00767A70">
        <w:rPr>
          <w:rFonts w:ascii="Times New Roman" w:hAnsi="Times New Roman"/>
          <w:sz w:val="28"/>
          <w:szCs w:val="28"/>
          <w:lang w:val="uk-UA"/>
        </w:rPr>
        <w:t>.</w:t>
      </w:r>
    </w:p>
    <w:p w14:paraId="41ABE79A" w14:textId="703FA069" w:rsidR="00767A70" w:rsidRPr="00AB5CCB" w:rsidRDefault="00F93C8B" w:rsidP="00767A7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915F2">
        <w:rPr>
          <w:rFonts w:ascii="Times New Roman" w:hAnsi="Times New Roman"/>
          <w:sz w:val="28"/>
          <w:szCs w:val="28"/>
          <w:lang w:val="uk-UA"/>
        </w:rPr>
        <w:t xml:space="preserve">Отже, прийняття </w:t>
      </w:r>
      <w:proofErr w:type="spellStart"/>
      <w:r w:rsidRPr="00F915F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F915F2">
        <w:rPr>
          <w:rFonts w:ascii="Times New Roman" w:hAnsi="Times New Roman"/>
          <w:sz w:val="28"/>
          <w:szCs w:val="28"/>
          <w:lang w:val="uk-UA"/>
        </w:rPr>
        <w:t xml:space="preserve"> не потребуватиме додаткових видатків з державного бюджету на видання підручників/посібників, але потребуватиме додаткових коштів на електронний додаток (є невід'ємною частиною підручника). У разі збільшення переліку</w:t>
      </w:r>
      <w:r w:rsidR="00AB5CCB" w:rsidRPr="00F915F2">
        <w:rPr>
          <w:rFonts w:ascii="Times New Roman" w:hAnsi="Times New Roman"/>
          <w:sz w:val="28"/>
          <w:szCs w:val="28"/>
          <w:lang w:val="uk-UA"/>
        </w:rPr>
        <w:t xml:space="preserve"> підручників, що видаватимуться за кошти державного бюджету необхідно додатково орієнтовно 7,5 млн. грн., із розрахунку 15 додаткових підручника накладом від 5 до 10 тис. примірників середньою вартістю електронного додатку 500 тис. грн.).</w:t>
      </w:r>
    </w:p>
    <w:p w14:paraId="05A3D7A0" w14:textId="77777777" w:rsidR="00E65A08" w:rsidRDefault="00E65A08" w:rsidP="00835F18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A461" w14:textId="77777777" w:rsidR="00E65A08" w:rsidRPr="00557BDB" w:rsidRDefault="00E65A08" w:rsidP="00835F18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A489AC" w14:textId="56E3B63D" w:rsidR="00AE392D" w:rsidRPr="00557BDB" w:rsidRDefault="00D830D5" w:rsidP="00684573">
      <w:pPr>
        <w:numPr>
          <w:ilvl w:val="0"/>
          <w:numId w:val="1"/>
        </w:numPr>
        <w:ind w:hanging="374"/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Позиція заінтересованих сторін</w:t>
      </w:r>
    </w:p>
    <w:p w14:paraId="36EE1728" w14:textId="78B57F28" w:rsidR="007E202A" w:rsidRDefault="00C0565E" w:rsidP="007E2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9F1B3F">
        <w:rPr>
          <w:rFonts w:ascii="TimesNewRomanPSMT" w:hAnsi="TimesNewRomanPSMT" w:cs="TimesNewRomanPSMT"/>
          <w:sz w:val="28"/>
          <w:szCs w:val="28"/>
          <w:lang w:val="uk-UA"/>
        </w:rPr>
        <w:t>З метою проведення публічних консультацій відповідно до Порядку</w:t>
      </w:r>
      <w:r w:rsidR="00811FFA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9F1B3F">
        <w:rPr>
          <w:rFonts w:ascii="TimesNewRomanPSMT" w:hAnsi="TimesNewRomanPSMT" w:cs="TimesNewRomanPSMT"/>
          <w:sz w:val="28"/>
          <w:szCs w:val="28"/>
          <w:lang w:val="uk-UA"/>
        </w:rPr>
        <w:t>проведення консультацій з громадськістю з питань формування та реалізації</w:t>
      </w:r>
      <w:r w:rsidR="00811FFA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9F1B3F">
        <w:rPr>
          <w:rFonts w:ascii="TimesNewRomanPSMT" w:hAnsi="TimesNewRomanPSMT" w:cs="TimesNewRomanPSMT"/>
          <w:sz w:val="28"/>
          <w:szCs w:val="28"/>
          <w:lang w:val="uk-UA"/>
        </w:rPr>
        <w:t>державної політики, затвердженого постановою Кабінету Міністрів України</w:t>
      </w:r>
      <w:r w:rsidR="00811FFA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3E1816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             </w:t>
      </w:r>
      <w:r w:rsidRPr="009F1B3F">
        <w:rPr>
          <w:rFonts w:ascii="TimesNewRomanPSMT" w:hAnsi="TimesNewRomanPSMT" w:cs="TimesNewRomanPSMT"/>
          <w:sz w:val="28"/>
          <w:szCs w:val="28"/>
          <w:lang w:val="uk-UA"/>
        </w:rPr>
        <w:t>від 03 листопада 2010 року № 996 «Про забезпечення участі громадськості у</w:t>
      </w:r>
      <w:r w:rsidR="00811FFA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формуванні та реалізації державної політики», проєкт </w:t>
      </w:r>
      <w:proofErr w:type="spellStart"/>
      <w:r w:rsidR="008E0A85" w:rsidRPr="009F1B3F">
        <w:rPr>
          <w:rFonts w:ascii="TimesNewRomanPSMT" w:hAnsi="TimesNewRomanPSMT" w:cs="TimesNewRomanPSMT"/>
          <w:sz w:val="28"/>
          <w:szCs w:val="28"/>
          <w:lang w:val="uk-UA"/>
        </w:rPr>
        <w:t>акта</w:t>
      </w:r>
      <w:proofErr w:type="spellEnd"/>
      <w:r w:rsidR="00A36D7C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розміщено </w:t>
      </w:r>
      <w:r w:rsidR="007A367C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                                   </w:t>
      </w:r>
      <w:r w:rsidR="00A36D7C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з </w:t>
      </w:r>
      <w:r w:rsidR="00125D3B" w:rsidRPr="009F1B3F">
        <w:rPr>
          <w:rFonts w:ascii="TimesNewRomanPSMT" w:hAnsi="TimesNewRomanPSMT" w:cs="TimesNewRomanPSMT"/>
          <w:sz w:val="28"/>
          <w:szCs w:val="28"/>
          <w:lang w:val="uk-UA"/>
        </w:rPr>
        <w:t>17</w:t>
      </w:r>
      <w:r w:rsidR="00C95065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лютого</w:t>
      </w:r>
      <w:r w:rsidR="00A36D7C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r w:rsidR="00125D3B" w:rsidRPr="009F1B3F">
        <w:rPr>
          <w:rFonts w:ascii="TimesNewRomanPSMT" w:hAnsi="TimesNewRomanPSMT" w:cs="TimesNewRomanPSMT"/>
          <w:sz w:val="28"/>
          <w:szCs w:val="28"/>
          <w:lang w:val="uk-UA"/>
        </w:rPr>
        <w:t>03</w:t>
      </w:r>
      <w:r w:rsidR="00A36D7C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95065" w:rsidRPr="009F1B3F">
        <w:rPr>
          <w:rFonts w:ascii="TimesNewRomanPSMT" w:hAnsi="TimesNewRomanPSMT" w:cs="TimesNewRomanPSMT"/>
          <w:sz w:val="28"/>
          <w:szCs w:val="28"/>
          <w:lang w:val="uk-UA"/>
        </w:rPr>
        <w:t>березня</w:t>
      </w:r>
      <w:r w:rsidR="00A36D7C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 2026 року </w:t>
      </w:r>
      <w:r w:rsidR="00811FFA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для </w:t>
      </w:r>
      <w:r w:rsidR="003E1816" w:rsidRPr="009F1B3F">
        <w:rPr>
          <w:rFonts w:ascii="TimesNewRomanPSMT" w:hAnsi="TimesNewRomanPSMT" w:cs="TimesNewRomanPSMT"/>
          <w:sz w:val="28"/>
          <w:szCs w:val="28"/>
          <w:lang w:val="uk-UA"/>
        </w:rPr>
        <w:t>г</w:t>
      </w:r>
      <w:r w:rsidR="00811FFA"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ромадського обговорення </w:t>
      </w:r>
      <w:r w:rsidRPr="009F1B3F">
        <w:rPr>
          <w:rFonts w:ascii="TimesNewRomanPSMT" w:hAnsi="TimesNewRomanPSMT" w:cs="TimesNewRomanPSMT"/>
          <w:sz w:val="28"/>
          <w:szCs w:val="28"/>
          <w:lang w:val="uk-UA"/>
        </w:rPr>
        <w:t xml:space="preserve">на </w:t>
      </w:r>
      <w:r w:rsidRPr="009F1B3F">
        <w:rPr>
          <w:rFonts w:ascii="Times New Roman" w:hAnsi="Times New Roman"/>
          <w:sz w:val="28"/>
          <w:szCs w:val="28"/>
          <w:lang w:val="uk-UA"/>
        </w:rPr>
        <w:t>офіційному вебсайті Міністерства освіти і науки України.</w:t>
      </w:r>
      <w:r w:rsidR="00A633E2" w:rsidRPr="009F1B3F">
        <w:rPr>
          <w:rFonts w:ascii="Times New Roman" w:hAnsi="Times New Roman"/>
          <w:sz w:val="28"/>
          <w:szCs w:val="28"/>
          <w:lang w:val="uk-UA"/>
        </w:rPr>
        <w:t xml:space="preserve"> До проєкту </w:t>
      </w:r>
      <w:proofErr w:type="spellStart"/>
      <w:r w:rsidR="00A633E2" w:rsidRPr="009F1B3F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A633E2" w:rsidRPr="009F1B3F">
        <w:rPr>
          <w:rFonts w:ascii="Times New Roman" w:hAnsi="Times New Roman"/>
          <w:sz w:val="28"/>
          <w:szCs w:val="28"/>
          <w:lang w:val="uk-UA"/>
        </w:rPr>
        <w:t xml:space="preserve"> надано 12 пропозицій та зауважень, що стосувалися уточнення та/або доповнення деяких норм проєкту </w:t>
      </w:r>
      <w:proofErr w:type="spellStart"/>
      <w:r w:rsidR="00A633E2" w:rsidRPr="009F1B3F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D23324" w:rsidRPr="009F1B3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D23324" w:rsidRPr="009F1B3F">
        <w:rPr>
          <w:rFonts w:ascii="Times New Roman" w:hAnsi="Times New Roman"/>
          <w:sz w:val="28"/>
          <w:szCs w:val="28"/>
        </w:rPr>
        <w:t>Усі</w:t>
      </w:r>
      <w:proofErr w:type="spellEnd"/>
      <w:r w:rsidR="00D23324" w:rsidRPr="009F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3324" w:rsidRPr="009F1B3F">
        <w:rPr>
          <w:rFonts w:ascii="Times New Roman" w:hAnsi="Times New Roman"/>
          <w:sz w:val="28"/>
          <w:szCs w:val="28"/>
        </w:rPr>
        <w:t>пропозиції</w:t>
      </w:r>
      <w:proofErr w:type="spellEnd"/>
      <w:r w:rsidR="00D23324" w:rsidRPr="009F1B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3324" w:rsidRPr="009F1B3F">
        <w:rPr>
          <w:rFonts w:ascii="Times New Roman" w:hAnsi="Times New Roman"/>
          <w:sz w:val="28"/>
          <w:szCs w:val="28"/>
        </w:rPr>
        <w:t>подані</w:t>
      </w:r>
      <w:proofErr w:type="spellEnd"/>
      <w:r w:rsidR="00D23324" w:rsidRPr="009F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3324" w:rsidRPr="009F1B3F">
        <w:rPr>
          <w:rFonts w:ascii="Times New Roman" w:hAnsi="Times New Roman"/>
          <w:sz w:val="28"/>
          <w:szCs w:val="28"/>
        </w:rPr>
        <w:t>під</w:t>
      </w:r>
      <w:proofErr w:type="spellEnd"/>
      <w:r w:rsidR="00D23324" w:rsidRPr="009F1B3F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="00D23324" w:rsidRPr="009F1B3F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="00D23324" w:rsidRPr="009F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3324" w:rsidRPr="009F1B3F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="00D23324" w:rsidRPr="009F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3324" w:rsidRPr="009F1B3F">
        <w:rPr>
          <w:rFonts w:ascii="Times New Roman" w:hAnsi="Times New Roman"/>
          <w:sz w:val="28"/>
          <w:szCs w:val="28"/>
        </w:rPr>
        <w:t>проєкту</w:t>
      </w:r>
      <w:proofErr w:type="spellEnd"/>
      <w:r w:rsidR="00D23324" w:rsidRPr="009F1B3F">
        <w:rPr>
          <w:rFonts w:ascii="Times New Roman" w:hAnsi="Times New Roman"/>
          <w:sz w:val="28"/>
          <w:szCs w:val="28"/>
        </w:rPr>
        <w:t xml:space="preserve"> акта, були </w:t>
      </w:r>
      <w:proofErr w:type="spellStart"/>
      <w:r w:rsidR="00D23324" w:rsidRPr="009F1B3F">
        <w:rPr>
          <w:rFonts w:ascii="Times New Roman" w:hAnsi="Times New Roman"/>
          <w:sz w:val="28"/>
          <w:szCs w:val="28"/>
        </w:rPr>
        <w:t>розглянуті</w:t>
      </w:r>
      <w:proofErr w:type="spellEnd"/>
      <w:r w:rsidR="00D23324" w:rsidRPr="009F1B3F">
        <w:rPr>
          <w:rFonts w:ascii="Times New Roman" w:hAnsi="Times New Roman"/>
          <w:sz w:val="28"/>
          <w:szCs w:val="28"/>
          <w:lang w:val="uk-UA"/>
        </w:rPr>
        <w:t>, більшість з них</w:t>
      </w:r>
      <w:r w:rsidR="00D233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324">
        <w:rPr>
          <w:rFonts w:ascii="Times New Roman" w:hAnsi="Times New Roman"/>
          <w:sz w:val="28"/>
          <w:szCs w:val="28"/>
          <w:lang w:val="uk-UA"/>
        </w:rPr>
        <w:lastRenderedPageBreak/>
        <w:t xml:space="preserve">ураховані. </w:t>
      </w:r>
      <w:r w:rsidR="007E202A">
        <w:rPr>
          <w:rFonts w:ascii="Times New Roman" w:hAnsi="Times New Roman"/>
          <w:sz w:val="28"/>
          <w:lang w:val="uk-UA"/>
        </w:rPr>
        <w:t xml:space="preserve">Проєкт </w:t>
      </w:r>
      <w:proofErr w:type="spellStart"/>
      <w:r w:rsidR="007E202A">
        <w:rPr>
          <w:rFonts w:ascii="Times New Roman" w:hAnsi="Times New Roman"/>
          <w:sz w:val="28"/>
          <w:lang w:val="uk-UA"/>
        </w:rPr>
        <w:t>акта</w:t>
      </w:r>
      <w:proofErr w:type="spellEnd"/>
      <w:r w:rsidR="007E202A">
        <w:rPr>
          <w:rFonts w:ascii="Times New Roman" w:hAnsi="Times New Roman"/>
          <w:sz w:val="28"/>
          <w:lang w:val="uk-UA"/>
        </w:rPr>
        <w:t xml:space="preserve"> потребує погодження з Державною регуляторною службою України.</w:t>
      </w:r>
      <w:r w:rsidR="007E202A" w:rsidRPr="00557BDB">
        <w:rPr>
          <w:rFonts w:ascii="Times New Roman" w:hAnsi="Times New Roman"/>
          <w:sz w:val="28"/>
          <w:lang w:val="uk-UA"/>
        </w:rPr>
        <w:t xml:space="preserve"> </w:t>
      </w:r>
    </w:p>
    <w:p w14:paraId="1C8FDAB3" w14:textId="7D059A18" w:rsidR="00260FBF" w:rsidRPr="003E1816" w:rsidRDefault="00260FBF" w:rsidP="005357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15F2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proofErr w:type="spellStart"/>
      <w:r w:rsidRPr="00F915F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F915F2">
        <w:rPr>
          <w:rFonts w:ascii="Times New Roman" w:hAnsi="Times New Roman"/>
          <w:sz w:val="28"/>
          <w:szCs w:val="28"/>
          <w:lang w:val="uk-UA"/>
        </w:rPr>
        <w:t xml:space="preserve"> не стосується сфери наукової та науково-технічної діяльності, тому не потребує розгляду Науковим комітетом Національної ради з питань розвитку науки і технологій.</w:t>
      </w:r>
    </w:p>
    <w:p w14:paraId="5AF5836D" w14:textId="6AC9EBC2" w:rsidR="00535752" w:rsidRPr="007E202A" w:rsidRDefault="00535752" w:rsidP="005357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66725B" w14:textId="77777777" w:rsidR="0047022B" w:rsidRPr="007E202A" w:rsidRDefault="0047022B" w:rsidP="005357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374EE8" w14:textId="3B7ED35F" w:rsidR="00AE392D" w:rsidRPr="00535752" w:rsidRDefault="00D830D5" w:rsidP="00535752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Оцінка відповідності</w:t>
      </w:r>
    </w:p>
    <w:p w14:paraId="0B7FA7DA" w14:textId="260B6A3E" w:rsidR="00535752" w:rsidRDefault="00535752" w:rsidP="00535752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val="uk-UA"/>
        </w:rPr>
      </w:pPr>
    </w:p>
    <w:p w14:paraId="376B39B8" w14:textId="77777777" w:rsidR="00C90E02" w:rsidRPr="00C90E02" w:rsidRDefault="00C90E02" w:rsidP="00C90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0E02">
        <w:rPr>
          <w:rFonts w:ascii="Times New Roman" w:hAnsi="Times New Roman"/>
          <w:sz w:val="28"/>
          <w:szCs w:val="28"/>
          <w:lang w:val="uk-UA"/>
        </w:rPr>
        <w:t xml:space="preserve">У проєкті </w:t>
      </w:r>
      <w:proofErr w:type="spellStart"/>
      <w:r w:rsidRPr="00C90E0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C90E02">
        <w:rPr>
          <w:rFonts w:ascii="Times New Roman" w:hAnsi="Times New Roman"/>
          <w:sz w:val="28"/>
          <w:szCs w:val="28"/>
          <w:lang w:val="uk-UA"/>
        </w:rPr>
        <w:t xml:space="preserve"> відсутні положення, що стосуються зобов’язань України у сфері європейської інтеграції.</w:t>
      </w:r>
    </w:p>
    <w:p w14:paraId="51B19507" w14:textId="77777777" w:rsidR="00C90E02" w:rsidRPr="00C90E02" w:rsidRDefault="00C90E02" w:rsidP="00C90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0E02">
        <w:rPr>
          <w:rFonts w:ascii="Times New Roman" w:hAnsi="Times New Roman"/>
          <w:sz w:val="28"/>
          <w:szCs w:val="28"/>
          <w:lang w:val="uk-UA"/>
        </w:rPr>
        <w:t xml:space="preserve">У проєкті </w:t>
      </w:r>
      <w:proofErr w:type="spellStart"/>
      <w:r w:rsidRPr="00C90E0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C90E02">
        <w:rPr>
          <w:rFonts w:ascii="Times New Roman" w:hAnsi="Times New Roman"/>
          <w:sz w:val="28"/>
          <w:szCs w:val="28"/>
          <w:lang w:val="uk-UA"/>
        </w:rPr>
        <w:t xml:space="preserve"> відсутні положення, що стосуються прав та свобод, гарантованих Конвенцією про захист прав людини і основоположних свобод.</w:t>
      </w:r>
    </w:p>
    <w:p w14:paraId="24AF04B0" w14:textId="77777777" w:rsidR="00C90E02" w:rsidRPr="00C90E02" w:rsidRDefault="00C90E02" w:rsidP="00C90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0E02">
        <w:rPr>
          <w:rFonts w:ascii="Times New Roman" w:hAnsi="Times New Roman"/>
          <w:sz w:val="28"/>
          <w:szCs w:val="28"/>
          <w:lang w:val="uk-UA"/>
        </w:rPr>
        <w:t xml:space="preserve">У проєкті </w:t>
      </w:r>
      <w:proofErr w:type="spellStart"/>
      <w:r w:rsidRPr="00C90E0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C90E02">
        <w:rPr>
          <w:rFonts w:ascii="Times New Roman" w:hAnsi="Times New Roman"/>
          <w:sz w:val="28"/>
          <w:szCs w:val="28"/>
          <w:lang w:val="uk-UA"/>
        </w:rPr>
        <w:t xml:space="preserve"> відсутні положення, що впливають на забезпечення рівних прав та можливостей жінок і чоловіків.</w:t>
      </w:r>
    </w:p>
    <w:p w14:paraId="695390ED" w14:textId="77777777" w:rsidR="00C90E02" w:rsidRPr="00C90E02" w:rsidRDefault="00C90E02" w:rsidP="00C90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0E02">
        <w:rPr>
          <w:rFonts w:ascii="Times New Roman" w:hAnsi="Times New Roman"/>
          <w:sz w:val="28"/>
          <w:szCs w:val="28"/>
          <w:lang w:val="uk-UA"/>
        </w:rPr>
        <w:t xml:space="preserve">У проєкті </w:t>
      </w:r>
      <w:proofErr w:type="spellStart"/>
      <w:r w:rsidRPr="00C90E0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C90E02">
        <w:rPr>
          <w:rFonts w:ascii="Times New Roman" w:hAnsi="Times New Roman"/>
          <w:sz w:val="28"/>
          <w:szCs w:val="28"/>
          <w:lang w:val="uk-UA"/>
        </w:rPr>
        <w:t xml:space="preserve"> відсутні положення, що містять ризики вчинення корупційних правопорушень та правопорушень, пов’язаних з корупцією.</w:t>
      </w:r>
    </w:p>
    <w:p w14:paraId="45EBCEC1" w14:textId="77777777" w:rsidR="00C90E02" w:rsidRPr="00C90E02" w:rsidRDefault="00C90E02" w:rsidP="00C90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0E02">
        <w:rPr>
          <w:rFonts w:ascii="Times New Roman" w:hAnsi="Times New Roman"/>
          <w:sz w:val="28"/>
          <w:szCs w:val="28"/>
          <w:lang w:val="uk-UA"/>
        </w:rPr>
        <w:t xml:space="preserve">У проєкті </w:t>
      </w:r>
      <w:proofErr w:type="spellStart"/>
      <w:r w:rsidRPr="00C90E0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C90E02">
        <w:rPr>
          <w:rFonts w:ascii="Times New Roman" w:hAnsi="Times New Roman"/>
          <w:sz w:val="28"/>
          <w:szCs w:val="28"/>
          <w:lang w:val="uk-UA"/>
        </w:rPr>
        <w:t xml:space="preserve"> відсутні положення, що створюють підстави для дискримінації.</w:t>
      </w:r>
    </w:p>
    <w:p w14:paraId="0267A938" w14:textId="77777777" w:rsidR="00C90E02" w:rsidRPr="00C90E02" w:rsidRDefault="00C90E02" w:rsidP="00C90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0E02">
        <w:rPr>
          <w:rFonts w:ascii="Times New Roman" w:hAnsi="Times New Roman"/>
          <w:sz w:val="28"/>
          <w:szCs w:val="28"/>
          <w:lang w:val="uk-UA"/>
        </w:rPr>
        <w:t xml:space="preserve">Громадська антикорупційна, громадська </w:t>
      </w:r>
      <w:proofErr w:type="spellStart"/>
      <w:r w:rsidRPr="00C90E02">
        <w:rPr>
          <w:rFonts w:ascii="Times New Roman" w:hAnsi="Times New Roman"/>
          <w:sz w:val="28"/>
          <w:szCs w:val="28"/>
          <w:lang w:val="uk-UA"/>
        </w:rPr>
        <w:t>антидискримінаційна</w:t>
      </w:r>
      <w:proofErr w:type="spellEnd"/>
      <w:r w:rsidRPr="00C90E02">
        <w:rPr>
          <w:rFonts w:ascii="Times New Roman" w:hAnsi="Times New Roman"/>
          <w:sz w:val="28"/>
          <w:szCs w:val="28"/>
          <w:lang w:val="uk-UA"/>
        </w:rPr>
        <w:t xml:space="preserve"> та громадська </w:t>
      </w:r>
      <w:proofErr w:type="spellStart"/>
      <w:r w:rsidRPr="00C90E02">
        <w:rPr>
          <w:rFonts w:ascii="Times New Roman" w:hAnsi="Times New Roman"/>
          <w:sz w:val="28"/>
          <w:szCs w:val="28"/>
          <w:lang w:val="uk-UA"/>
        </w:rPr>
        <w:t>гендерно</w:t>
      </w:r>
      <w:proofErr w:type="spellEnd"/>
      <w:r w:rsidRPr="00C90E02">
        <w:rPr>
          <w:rFonts w:ascii="Times New Roman" w:hAnsi="Times New Roman"/>
          <w:sz w:val="28"/>
          <w:szCs w:val="28"/>
          <w:lang w:val="uk-UA"/>
        </w:rPr>
        <w:t xml:space="preserve">-правова експертизи проєкту </w:t>
      </w:r>
      <w:proofErr w:type="spellStart"/>
      <w:r w:rsidRPr="00C90E0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C90E02">
        <w:rPr>
          <w:rFonts w:ascii="Times New Roman" w:hAnsi="Times New Roman"/>
          <w:sz w:val="28"/>
          <w:szCs w:val="28"/>
          <w:lang w:val="uk-UA"/>
        </w:rPr>
        <w:t xml:space="preserve"> не потребується.</w:t>
      </w:r>
    </w:p>
    <w:p w14:paraId="3CDADFE4" w14:textId="236B1E5F" w:rsidR="00AE392D" w:rsidRDefault="00D830D5" w:rsidP="00C90E02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 xml:space="preserve">Наказ потребує проведення державної реєстрації </w:t>
      </w:r>
      <w:r w:rsidR="008C3290">
        <w:rPr>
          <w:rFonts w:ascii="Times New Roman" w:hAnsi="Times New Roman"/>
          <w:sz w:val="28"/>
          <w:lang w:val="uk-UA"/>
        </w:rPr>
        <w:t>в Міністерстві юстиції України.</w:t>
      </w:r>
    </w:p>
    <w:p w14:paraId="5F78F18F" w14:textId="77777777" w:rsidR="00835F18" w:rsidRPr="00557BDB" w:rsidRDefault="00835F18" w:rsidP="00835F18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33CBFDDA" w14:textId="616E0E84" w:rsidR="00AE392D" w:rsidRPr="00B32B2B" w:rsidRDefault="00D830D5" w:rsidP="00B32B2B">
      <w:pPr>
        <w:pStyle w:val="af1"/>
        <w:numPr>
          <w:ilvl w:val="0"/>
          <w:numId w:val="1"/>
        </w:numPr>
        <w:rPr>
          <w:rFonts w:ascii="Times New Roman" w:hAnsi="Times New Roman"/>
          <w:b/>
          <w:bCs/>
          <w:sz w:val="28"/>
          <w:lang w:val="uk-UA"/>
        </w:rPr>
      </w:pPr>
      <w:r w:rsidRPr="00B32B2B">
        <w:rPr>
          <w:rFonts w:ascii="Times New Roman" w:hAnsi="Times New Roman"/>
          <w:b/>
          <w:bCs/>
          <w:sz w:val="28"/>
          <w:lang w:val="uk-UA"/>
        </w:rPr>
        <w:t>Прогноз результатів</w:t>
      </w:r>
    </w:p>
    <w:p w14:paraId="0767AC8D" w14:textId="77777777" w:rsidR="00B32B2B" w:rsidRPr="00DC1355" w:rsidRDefault="00B32B2B" w:rsidP="007823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1355">
        <w:rPr>
          <w:rFonts w:ascii="Times New Roman" w:hAnsi="Times New Roman"/>
          <w:sz w:val="28"/>
          <w:szCs w:val="28"/>
          <w:lang w:val="uk-UA"/>
        </w:rPr>
        <w:t xml:space="preserve">Реалізація проєкту </w:t>
      </w:r>
      <w:proofErr w:type="spellStart"/>
      <w:r w:rsidRPr="00DC1355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DC1355">
        <w:rPr>
          <w:rFonts w:ascii="Times New Roman" w:hAnsi="Times New Roman"/>
          <w:sz w:val="28"/>
          <w:szCs w:val="28"/>
          <w:lang w:val="uk-UA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</w:t>
      </w:r>
      <w:r w:rsidRPr="00DC1355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розвиток регіонів, підвищення чи зниження спроможності територіальних громад; ринок праці, рівень зайнятості населення; </w:t>
      </w:r>
      <w:r w:rsidRPr="00DC1355">
        <w:rPr>
          <w:rFonts w:ascii="Times New Roman" w:hAnsi="Times New Roman"/>
          <w:sz w:val="28"/>
          <w:szCs w:val="28"/>
          <w:lang w:val="uk-UA"/>
        </w:rPr>
        <w:t>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2F535AF7" w14:textId="6C4B5D3D" w:rsidR="00B32B2B" w:rsidRDefault="00B32B2B" w:rsidP="00B32B2B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471FF1">
        <w:rPr>
          <w:sz w:val="28"/>
          <w:szCs w:val="28"/>
          <w:lang w:val="uk-UA"/>
        </w:rPr>
        <w:t xml:space="preserve">Прийняття </w:t>
      </w:r>
      <w:proofErr w:type="spellStart"/>
      <w:r w:rsidRPr="00471FF1">
        <w:rPr>
          <w:sz w:val="28"/>
          <w:szCs w:val="28"/>
          <w:lang w:val="uk-UA"/>
        </w:rPr>
        <w:t>акта</w:t>
      </w:r>
      <w:proofErr w:type="spellEnd"/>
      <w:r w:rsidRPr="00471FF1">
        <w:rPr>
          <w:sz w:val="28"/>
          <w:szCs w:val="28"/>
          <w:lang w:val="uk-UA"/>
        </w:rPr>
        <w:t xml:space="preserve"> з</w:t>
      </w:r>
      <w:r w:rsidRPr="00471FF1">
        <w:rPr>
          <w:color w:val="000000"/>
          <w:sz w:val="28"/>
          <w:szCs w:val="28"/>
          <w:lang w:val="uk-UA"/>
        </w:rPr>
        <w:t>абезпечить:</w:t>
      </w:r>
    </w:p>
    <w:p w14:paraId="1C884F97" w14:textId="4CF91784" w:rsidR="00DC5BFF" w:rsidRPr="00F915F2" w:rsidRDefault="00DC5BFF" w:rsidP="00B32B2B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915F2">
        <w:rPr>
          <w:sz w:val="28"/>
          <w:szCs w:val="28"/>
          <w:lang w:val="uk-UA"/>
        </w:rPr>
        <w:t xml:space="preserve">реалізацію права педагогічних працівників на вільний вибір підручників та посібників, зокрема для осіб з особливими освітніми потребами, здобувачі професійної та фахової </w:t>
      </w:r>
      <w:proofErr w:type="spellStart"/>
      <w:r w:rsidRPr="00F915F2">
        <w:rPr>
          <w:sz w:val="28"/>
          <w:szCs w:val="28"/>
          <w:lang w:val="uk-UA"/>
        </w:rPr>
        <w:t>передвищої</w:t>
      </w:r>
      <w:proofErr w:type="spellEnd"/>
      <w:r w:rsidRPr="00F915F2">
        <w:rPr>
          <w:sz w:val="28"/>
          <w:szCs w:val="28"/>
          <w:lang w:val="uk-UA"/>
        </w:rPr>
        <w:t xml:space="preserve"> освіти;</w:t>
      </w:r>
    </w:p>
    <w:p w14:paraId="32DF3599" w14:textId="0C21A2E1" w:rsidR="00DC5BFF" w:rsidRPr="00F915F2" w:rsidRDefault="001C6887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915F2">
        <w:rPr>
          <w:sz w:val="28"/>
          <w:szCs w:val="28"/>
          <w:lang w:val="ru-RU"/>
        </w:rPr>
        <w:t>прозорість</w:t>
      </w:r>
      <w:proofErr w:type="spellEnd"/>
      <w:r w:rsidRPr="00F915F2">
        <w:rPr>
          <w:sz w:val="28"/>
          <w:szCs w:val="28"/>
          <w:lang w:val="ru-RU"/>
        </w:rPr>
        <w:t xml:space="preserve"> та </w:t>
      </w:r>
      <w:proofErr w:type="spellStart"/>
      <w:r w:rsidRPr="00F915F2">
        <w:rPr>
          <w:sz w:val="28"/>
          <w:szCs w:val="28"/>
          <w:lang w:val="ru-RU"/>
        </w:rPr>
        <w:t>відкритість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процесу</w:t>
      </w:r>
      <w:proofErr w:type="spellEnd"/>
      <w:r w:rsidRPr="00F915F2">
        <w:rPr>
          <w:sz w:val="28"/>
          <w:szCs w:val="28"/>
          <w:lang w:val="ru-RU"/>
        </w:rPr>
        <w:t xml:space="preserve"> конкурсного </w:t>
      </w:r>
      <w:proofErr w:type="spellStart"/>
      <w:r w:rsidRPr="00F915F2">
        <w:rPr>
          <w:sz w:val="28"/>
          <w:szCs w:val="28"/>
          <w:lang w:val="ru-RU"/>
        </w:rPr>
        <w:t>відбору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підручників</w:t>
      </w:r>
      <w:proofErr w:type="spellEnd"/>
      <w:r w:rsidRPr="00F915F2">
        <w:rPr>
          <w:sz w:val="28"/>
          <w:szCs w:val="28"/>
          <w:lang w:val="ru-RU"/>
        </w:rPr>
        <w:t xml:space="preserve"> та </w:t>
      </w:r>
      <w:proofErr w:type="spellStart"/>
      <w:r w:rsidRPr="00F915F2">
        <w:rPr>
          <w:sz w:val="28"/>
          <w:szCs w:val="28"/>
          <w:lang w:val="ru-RU"/>
        </w:rPr>
        <w:t>посібників</w:t>
      </w:r>
      <w:proofErr w:type="spellEnd"/>
      <w:r w:rsidRPr="00F915F2">
        <w:rPr>
          <w:sz w:val="28"/>
          <w:szCs w:val="28"/>
          <w:lang w:val="ru-RU"/>
        </w:rPr>
        <w:t xml:space="preserve"> для </w:t>
      </w:r>
      <w:proofErr w:type="spellStart"/>
      <w:r w:rsidRPr="00F915F2">
        <w:rPr>
          <w:sz w:val="28"/>
          <w:szCs w:val="28"/>
          <w:lang w:val="ru-RU"/>
        </w:rPr>
        <w:t>осіб</w:t>
      </w:r>
      <w:proofErr w:type="spellEnd"/>
      <w:r w:rsidRPr="00F915F2">
        <w:rPr>
          <w:sz w:val="28"/>
          <w:szCs w:val="28"/>
          <w:lang w:val="ru-RU"/>
        </w:rPr>
        <w:t xml:space="preserve"> з </w:t>
      </w:r>
      <w:proofErr w:type="spellStart"/>
      <w:r w:rsidRPr="00F915F2">
        <w:rPr>
          <w:sz w:val="28"/>
          <w:szCs w:val="28"/>
          <w:lang w:val="ru-RU"/>
        </w:rPr>
        <w:t>особливими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освітніми</w:t>
      </w:r>
      <w:proofErr w:type="spellEnd"/>
      <w:r w:rsidRPr="00F915F2">
        <w:rPr>
          <w:sz w:val="28"/>
          <w:szCs w:val="28"/>
          <w:lang w:val="ru-RU"/>
        </w:rPr>
        <w:t xml:space="preserve"> потребами</w:t>
      </w:r>
      <w:r w:rsidR="005244A1" w:rsidRPr="00F915F2">
        <w:rPr>
          <w:sz w:val="28"/>
          <w:szCs w:val="28"/>
          <w:lang w:val="ru-RU"/>
        </w:rPr>
        <w:t>;</w:t>
      </w:r>
    </w:p>
    <w:p w14:paraId="0DBFE0A2" w14:textId="2ED82334" w:rsidR="00DC5BFF" w:rsidRPr="00F915F2" w:rsidRDefault="002B23A6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915F2">
        <w:rPr>
          <w:sz w:val="28"/>
          <w:szCs w:val="28"/>
          <w:lang w:val="ru-RU"/>
        </w:rPr>
        <w:t>уніфікацію</w:t>
      </w:r>
      <w:proofErr w:type="spellEnd"/>
      <w:r w:rsidRPr="00F915F2">
        <w:rPr>
          <w:sz w:val="28"/>
          <w:szCs w:val="28"/>
          <w:lang w:val="ru-RU"/>
        </w:rPr>
        <w:t xml:space="preserve"> процедур добору </w:t>
      </w:r>
      <w:proofErr w:type="spellStart"/>
      <w:r w:rsidRPr="00F915F2">
        <w:rPr>
          <w:sz w:val="28"/>
          <w:szCs w:val="28"/>
          <w:lang w:val="ru-RU"/>
        </w:rPr>
        <w:t>підручників</w:t>
      </w:r>
      <w:proofErr w:type="spellEnd"/>
      <w:r w:rsidRPr="00F915F2">
        <w:rPr>
          <w:sz w:val="28"/>
          <w:szCs w:val="28"/>
          <w:lang w:val="ru-RU"/>
        </w:rPr>
        <w:t xml:space="preserve"> для </w:t>
      </w:r>
      <w:proofErr w:type="spellStart"/>
      <w:r w:rsidRPr="00F915F2">
        <w:rPr>
          <w:sz w:val="28"/>
          <w:szCs w:val="28"/>
          <w:lang w:val="ru-RU"/>
        </w:rPr>
        <w:t>всіх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категорій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учнів</w:t>
      </w:r>
      <w:proofErr w:type="spellEnd"/>
      <w:r w:rsidRPr="00F915F2">
        <w:rPr>
          <w:sz w:val="28"/>
          <w:szCs w:val="28"/>
          <w:lang w:val="ru-RU"/>
        </w:rPr>
        <w:t>;</w:t>
      </w:r>
    </w:p>
    <w:p w14:paraId="77F56D54" w14:textId="7B55632F" w:rsidR="002B23A6" w:rsidRPr="00F915F2" w:rsidRDefault="00533831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915F2">
        <w:rPr>
          <w:sz w:val="28"/>
          <w:szCs w:val="28"/>
          <w:lang w:val="ru-RU"/>
        </w:rPr>
        <w:t>підвищення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конкуренції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серед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авторських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колективів</w:t>
      </w:r>
      <w:proofErr w:type="spellEnd"/>
      <w:r w:rsidRPr="00F915F2">
        <w:rPr>
          <w:sz w:val="28"/>
          <w:szCs w:val="28"/>
          <w:lang w:val="ru-RU"/>
        </w:rPr>
        <w:t xml:space="preserve"> і </w:t>
      </w:r>
      <w:proofErr w:type="spellStart"/>
      <w:r w:rsidRPr="00F915F2">
        <w:rPr>
          <w:sz w:val="28"/>
          <w:szCs w:val="28"/>
          <w:lang w:val="ru-RU"/>
        </w:rPr>
        <w:t>видавництв</w:t>
      </w:r>
      <w:proofErr w:type="spellEnd"/>
      <w:r w:rsidRPr="00F915F2">
        <w:rPr>
          <w:sz w:val="28"/>
          <w:szCs w:val="28"/>
          <w:lang w:val="ru-RU"/>
        </w:rPr>
        <w:t>;</w:t>
      </w:r>
    </w:p>
    <w:p w14:paraId="7816B065" w14:textId="6B7A8228" w:rsidR="00533831" w:rsidRPr="00F915F2" w:rsidRDefault="00533831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F915F2">
        <w:rPr>
          <w:sz w:val="28"/>
          <w:szCs w:val="28"/>
          <w:lang w:val="ru-RU"/>
        </w:rPr>
        <w:t>підтримку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нових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авторських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колективів</w:t>
      </w:r>
      <w:proofErr w:type="spellEnd"/>
      <w:r w:rsidRPr="00F915F2">
        <w:rPr>
          <w:sz w:val="28"/>
          <w:szCs w:val="28"/>
          <w:lang w:val="ru-RU"/>
        </w:rPr>
        <w:t>;</w:t>
      </w:r>
    </w:p>
    <w:p w14:paraId="1C7F4194" w14:textId="442906C3" w:rsidR="00533831" w:rsidRPr="00F915F2" w:rsidRDefault="00533831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F915F2">
        <w:rPr>
          <w:sz w:val="28"/>
          <w:szCs w:val="28"/>
          <w:lang w:val="ru-RU"/>
        </w:rPr>
        <w:lastRenderedPageBreak/>
        <w:t>підвищення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якості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навчальної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літератури</w:t>
      </w:r>
      <w:proofErr w:type="spellEnd"/>
      <w:r w:rsidRPr="00F915F2">
        <w:rPr>
          <w:sz w:val="28"/>
          <w:szCs w:val="28"/>
          <w:lang w:val="uk-UA"/>
        </w:rPr>
        <w:t>;</w:t>
      </w:r>
    </w:p>
    <w:p w14:paraId="7FD932BB" w14:textId="662124E6" w:rsidR="00E00D38" w:rsidRPr="00F915F2" w:rsidRDefault="00E00D38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915F2">
        <w:rPr>
          <w:sz w:val="28"/>
          <w:szCs w:val="28"/>
          <w:lang w:val="ru-RU"/>
        </w:rPr>
        <w:t>розширення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вибору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навчальних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видань</w:t>
      </w:r>
      <w:proofErr w:type="spellEnd"/>
      <w:r w:rsidRPr="00F915F2">
        <w:rPr>
          <w:sz w:val="28"/>
          <w:szCs w:val="28"/>
          <w:lang w:val="ru-RU"/>
        </w:rPr>
        <w:t xml:space="preserve"> для </w:t>
      </w:r>
      <w:proofErr w:type="spellStart"/>
      <w:r w:rsidRPr="00F915F2">
        <w:rPr>
          <w:sz w:val="28"/>
          <w:szCs w:val="28"/>
          <w:lang w:val="ru-RU"/>
        </w:rPr>
        <w:t>педагогічних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працівників</w:t>
      </w:r>
      <w:proofErr w:type="spellEnd"/>
      <w:r w:rsidRPr="00F915F2">
        <w:rPr>
          <w:sz w:val="28"/>
          <w:szCs w:val="28"/>
          <w:lang w:val="ru-RU"/>
        </w:rPr>
        <w:t xml:space="preserve">, </w:t>
      </w:r>
      <w:proofErr w:type="spellStart"/>
      <w:r w:rsidRPr="00F915F2">
        <w:rPr>
          <w:sz w:val="28"/>
          <w:szCs w:val="28"/>
          <w:lang w:val="ru-RU"/>
        </w:rPr>
        <w:t>зокрема</w:t>
      </w:r>
      <w:proofErr w:type="spellEnd"/>
      <w:r w:rsidRPr="00F915F2">
        <w:rPr>
          <w:sz w:val="28"/>
          <w:szCs w:val="28"/>
          <w:lang w:val="ru-RU"/>
        </w:rPr>
        <w:t xml:space="preserve"> за </w:t>
      </w:r>
      <w:proofErr w:type="spellStart"/>
      <w:r w:rsidRPr="00F915F2">
        <w:rPr>
          <w:sz w:val="28"/>
          <w:szCs w:val="28"/>
          <w:lang w:val="ru-RU"/>
        </w:rPr>
        <w:t>різними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методичними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підходами</w:t>
      </w:r>
      <w:proofErr w:type="spellEnd"/>
      <w:r w:rsidRPr="00F915F2">
        <w:rPr>
          <w:sz w:val="28"/>
          <w:szCs w:val="28"/>
          <w:lang w:val="ru-RU"/>
        </w:rPr>
        <w:t>;</w:t>
      </w:r>
    </w:p>
    <w:p w14:paraId="05787F08" w14:textId="0447971F" w:rsidR="00E00D38" w:rsidRPr="009F1B3F" w:rsidRDefault="006F0DB8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915F2">
        <w:rPr>
          <w:sz w:val="28"/>
          <w:szCs w:val="28"/>
          <w:lang w:val="ru-RU"/>
        </w:rPr>
        <w:t>покращення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якості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освітнього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процесу</w:t>
      </w:r>
      <w:proofErr w:type="spellEnd"/>
      <w:r w:rsidRPr="00F915F2">
        <w:rPr>
          <w:sz w:val="28"/>
          <w:szCs w:val="28"/>
          <w:lang w:val="ru-RU"/>
        </w:rPr>
        <w:t xml:space="preserve"> через </w:t>
      </w:r>
      <w:proofErr w:type="spellStart"/>
      <w:r w:rsidRPr="00F915F2">
        <w:rPr>
          <w:sz w:val="28"/>
          <w:szCs w:val="28"/>
          <w:lang w:val="ru-RU"/>
        </w:rPr>
        <w:t>використання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F915F2">
        <w:rPr>
          <w:sz w:val="28"/>
          <w:szCs w:val="28"/>
          <w:lang w:val="ru-RU"/>
        </w:rPr>
        <w:t>більш</w:t>
      </w:r>
      <w:proofErr w:type="spellEnd"/>
      <w:r w:rsidRPr="00F915F2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різноманітної</w:t>
      </w:r>
      <w:proofErr w:type="spellEnd"/>
      <w:r w:rsidRPr="009F1B3F">
        <w:rPr>
          <w:sz w:val="28"/>
          <w:szCs w:val="28"/>
          <w:lang w:val="ru-RU"/>
        </w:rPr>
        <w:t xml:space="preserve"> та </w:t>
      </w:r>
      <w:proofErr w:type="spellStart"/>
      <w:r w:rsidRPr="009F1B3F">
        <w:rPr>
          <w:sz w:val="28"/>
          <w:szCs w:val="28"/>
          <w:lang w:val="ru-RU"/>
        </w:rPr>
        <w:t>якісної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навчальної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літератури</w:t>
      </w:r>
      <w:proofErr w:type="spellEnd"/>
      <w:r w:rsidRPr="009F1B3F">
        <w:rPr>
          <w:sz w:val="28"/>
          <w:szCs w:val="28"/>
          <w:lang w:val="ru-RU"/>
        </w:rPr>
        <w:t>;</w:t>
      </w:r>
    </w:p>
    <w:p w14:paraId="63398B33" w14:textId="454BA005" w:rsidR="006F0DB8" w:rsidRPr="009F1B3F" w:rsidRDefault="0048214C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9F1B3F">
        <w:rPr>
          <w:sz w:val="28"/>
          <w:szCs w:val="28"/>
          <w:lang w:val="ru-RU"/>
        </w:rPr>
        <w:t>відповідність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навчальної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літератури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реальним</w:t>
      </w:r>
      <w:proofErr w:type="spellEnd"/>
      <w:r w:rsidRPr="009F1B3F">
        <w:rPr>
          <w:sz w:val="28"/>
          <w:szCs w:val="28"/>
          <w:lang w:val="ru-RU"/>
        </w:rPr>
        <w:t xml:space="preserve"> потребам </w:t>
      </w:r>
      <w:proofErr w:type="spellStart"/>
      <w:r w:rsidRPr="009F1B3F">
        <w:rPr>
          <w:sz w:val="28"/>
          <w:szCs w:val="28"/>
          <w:lang w:val="ru-RU"/>
        </w:rPr>
        <w:t>осіб</w:t>
      </w:r>
      <w:proofErr w:type="spellEnd"/>
      <w:r w:rsidRPr="009F1B3F">
        <w:rPr>
          <w:sz w:val="28"/>
          <w:szCs w:val="28"/>
          <w:lang w:val="ru-RU"/>
        </w:rPr>
        <w:t xml:space="preserve"> з </w:t>
      </w:r>
      <w:proofErr w:type="spellStart"/>
      <w:r w:rsidRPr="009F1B3F">
        <w:rPr>
          <w:sz w:val="28"/>
          <w:szCs w:val="28"/>
          <w:lang w:val="ru-RU"/>
        </w:rPr>
        <w:t>особливими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освітніми</w:t>
      </w:r>
      <w:proofErr w:type="spellEnd"/>
      <w:r w:rsidRPr="009F1B3F">
        <w:rPr>
          <w:sz w:val="28"/>
          <w:szCs w:val="28"/>
          <w:lang w:val="ru-RU"/>
        </w:rPr>
        <w:t xml:space="preserve"> потребами, </w:t>
      </w:r>
      <w:proofErr w:type="spellStart"/>
      <w:r w:rsidRPr="009F1B3F">
        <w:rPr>
          <w:sz w:val="28"/>
          <w:szCs w:val="28"/>
          <w:lang w:val="ru-RU"/>
        </w:rPr>
        <w:t>здобувачі</w:t>
      </w:r>
      <w:r w:rsidR="00594C8F" w:rsidRPr="009F1B3F">
        <w:rPr>
          <w:sz w:val="28"/>
          <w:szCs w:val="28"/>
          <w:lang w:val="ru-RU"/>
        </w:rPr>
        <w:t>в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професійної</w:t>
      </w:r>
      <w:proofErr w:type="spellEnd"/>
      <w:r w:rsidRPr="009F1B3F">
        <w:rPr>
          <w:sz w:val="28"/>
          <w:szCs w:val="28"/>
          <w:lang w:val="ru-RU"/>
        </w:rPr>
        <w:t xml:space="preserve"> та </w:t>
      </w:r>
      <w:proofErr w:type="spellStart"/>
      <w:r w:rsidRPr="009F1B3F">
        <w:rPr>
          <w:sz w:val="28"/>
          <w:szCs w:val="28"/>
          <w:lang w:val="ru-RU"/>
        </w:rPr>
        <w:t>фахової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передвищої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освіти</w:t>
      </w:r>
      <w:proofErr w:type="spellEnd"/>
      <w:r w:rsidRPr="009F1B3F">
        <w:rPr>
          <w:sz w:val="28"/>
          <w:szCs w:val="28"/>
          <w:lang w:val="ru-RU"/>
        </w:rPr>
        <w:t xml:space="preserve">, </w:t>
      </w:r>
      <w:proofErr w:type="spellStart"/>
      <w:r w:rsidRPr="009F1B3F">
        <w:rPr>
          <w:sz w:val="28"/>
          <w:szCs w:val="28"/>
          <w:lang w:val="ru-RU"/>
        </w:rPr>
        <w:t>педагогічних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працівників</w:t>
      </w:r>
      <w:proofErr w:type="spellEnd"/>
      <w:r w:rsidRPr="009F1B3F">
        <w:rPr>
          <w:sz w:val="28"/>
          <w:szCs w:val="28"/>
          <w:lang w:val="ru-RU"/>
        </w:rPr>
        <w:t>;</w:t>
      </w:r>
    </w:p>
    <w:p w14:paraId="4058E6A4" w14:textId="5ED6B472" w:rsidR="0048214C" w:rsidRPr="009F1B3F" w:rsidRDefault="0048214C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9F1B3F">
        <w:rPr>
          <w:sz w:val="28"/>
          <w:szCs w:val="28"/>
          <w:lang w:val="ru-RU"/>
        </w:rPr>
        <w:t>реалізацію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вибору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педагогічних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працівників</w:t>
      </w:r>
      <w:proofErr w:type="spellEnd"/>
      <w:r w:rsidRPr="009F1B3F">
        <w:rPr>
          <w:sz w:val="28"/>
          <w:szCs w:val="28"/>
          <w:lang w:val="ru-RU"/>
        </w:rPr>
        <w:t xml:space="preserve">, </w:t>
      </w:r>
      <w:proofErr w:type="spellStart"/>
      <w:r w:rsidRPr="009F1B3F">
        <w:rPr>
          <w:sz w:val="28"/>
          <w:szCs w:val="28"/>
          <w:lang w:val="ru-RU"/>
        </w:rPr>
        <w:t>здійсненого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під</w:t>
      </w:r>
      <w:proofErr w:type="spellEnd"/>
      <w:r w:rsidRPr="009F1B3F">
        <w:rPr>
          <w:sz w:val="28"/>
          <w:szCs w:val="28"/>
          <w:lang w:val="ru-RU"/>
        </w:rPr>
        <w:t xml:space="preserve"> час конкурсного </w:t>
      </w:r>
      <w:proofErr w:type="spellStart"/>
      <w:r w:rsidRPr="009F1B3F">
        <w:rPr>
          <w:sz w:val="28"/>
          <w:szCs w:val="28"/>
          <w:lang w:val="ru-RU"/>
        </w:rPr>
        <w:t>відбору</w:t>
      </w:r>
      <w:proofErr w:type="spellEnd"/>
      <w:r w:rsidRPr="009F1B3F">
        <w:rPr>
          <w:sz w:val="28"/>
          <w:szCs w:val="28"/>
          <w:lang w:val="ru-RU"/>
        </w:rPr>
        <w:t>;</w:t>
      </w:r>
    </w:p>
    <w:p w14:paraId="2F5A2E95" w14:textId="2C24E5CF" w:rsidR="0048214C" w:rsidRPr="009F1B3F" w:rsidRDefault="0048214C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9F1B3F">
        <w:rPr>
          <w:sz w:val="28"/>
          <w:szCs w:val="28"/>
          <w:lang w:val="ru-RU"/>
        </w:rPr>
        <w:t>зростання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довіри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педагогічних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працівників</w:t>
      </w:r>
      <w:proofErr w:type="spellEnd"/>
      <w:r w:rsidRPr="009F1B3F">
        <w:rPr>
          <w:sz w:val="28"/>
          <w:szCs w:val="28"/>
          <w:lang w:val="ru-RU"/>
        </w:rPr>
        <w:t xml:space="preserve"> до </w:t>
      </w:r>
      <w:proofErr w:type="spellStart"/>
      <w:r w:rsidRPr="009F1B3F">
        <w:rPr>
          <w:sz w:val="28"/>
          <w:szCs w:val="28"/>
          <w:lang w:val="ru-RU"/>
        </w:rPr>
        <w:t>механізмів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відбору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навчальної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літератури</w:t>
      </w:r>
      <w:proofErr w:type="spellEnd"/>
      <w:r w:rsidRPr="009F1B3F">
        <w:rPr>
          <w:sz w:val="28"/>
          <w:szCs w:val="28"/>
          <w:lang w:val="ru-RU"/>
        </w:rPr>
        <w:t>;</w:t>
      </w:r>
    </w:p>
    <w:p w14:paraId="3A192FBC" w14:textId="66584AD7" w:rsidR="0048214C" w:rsidRDefault="00945865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9F1B3F">
        <w:rPr>
          <w:sz w:val="28"/>
          <w:szCs w:val="28"/>
          <w:lang w:val="ru-RU"/>
        </w:rPr>
        <w:t>цифровізацію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процесу</w:t>
      </w:r>
      <w:proofErr w:type="spellEnd"/>
      <w:r w:rsidRPr="009F1B3F">
        <w:rPr>
          <w:sz w:val="28"/>
          <w:szCs w:val="28"/>
          <w:lang w:val="ru-RU"/>
        </w:rPr>
        <w:t xml:space="preserve"> конкурсного </w:t>
      </w:r>
      <w:proofErr w:type="spellStart"/>
      <w:r w:rsidRPr="009F1B3F">
        <w:rPr>
          <w:sz w:val="28"/>
          <w:szCs w:val="28"/>
          <w:lang w:val="ru-RU"/>
        </w:rPr>
        <w:t>відбору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підручників</w:t>
      </w:r>
      <w:proofErr w:type="spellEnd"/>
      <w:r w:rsidRPr="009F1B3F">
        <w:rPr>
          <w:sz w:val="28"/>
          <w:szCs w:val="28"/>
          <w:lang w:val="ru-RU"/>
        </w:rPr>
        <w:t xml:space="preserve"> для </w:t>
      </w:r>
      <w:proofErr w:type="spellStart"/>
      <w:r w:rsidRPr="009F1B3F">
        <w:rPr>
          <w:sz w:val="28"/>
          <w:szCs w:val="28"/>
          <w:lang w:val="ru-RU"/>
        </w:rPr>
        <w:t>усіх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здобувачів</w:t>
      </w:r>
      <w:proofErr w:type="spellEnd"/>
      <w:r w:rsidRPr="009F1B3F">
        <w:rPr>
          <w:sz w:val="28"/>
          <w:szCs w:val="28"/>
          <w:lang w:val="ru-RU"/>
        </w:rPr>
        <w:t xml:space="preserve"> </w:t>
      </w:r>
      <w:proofErr w:type="spellStart"/>
      <w:r w:rsidRPr="009F1B3F">
        <w:rPr>
          <w:sz w:val="28"/>
          <w:szCs w:val="28"/>
          <w:lang w:val="ru-RU"/>
        </w:rPr>
        <w:t>освіти</w:t>
      </w:r>
      <w:proofErr w:type="spellEnd"/>
      <w:r w:rsidRPr="009F1B3F">
        <w:rPr>
          <w:sz w:val="28"/>
          <w:szCs w:val="28"/>
          <w:lang w:val="ru-RU"/>
        </w:rPr>
        <w:t>;</w:t>
      </w:r>
    </w:p>
    <w:p w14:paraId="6F152E07" w14:textId="26D095AA" w:rsidR="00945865" w:rsidRDefault="00945865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945865">
        <w:rPr>
          <w:sz w:val="28"/>
          <w:szCs w:val="28"/>
          <w:lang w:val="ru-RU"/>
        </w:rPr>
        <w:t>уніфікацію</w:t>
      </w:r>
      <w:proofErr w:type="spellEnd"/>
      <w:r w:rsidRPr="00945865">
        <w:rPr>
          <w:sz w:val="28"/>
          <w:szCs w:val="28"/>
          <w:lang w:val="ru-RU"/>
        </w:rPr>
        <w:t xml:space="preserve"> та </w:t>
      </w:r>
      <w:proofErr w:type="spellStart"/>
      <w:r w:rsidRPr="00945865">
        <w:rPr>
          <w:sz w:val="28"/>
          <w:szCs w:val="28"/>
          <w:lang w:val="ru-RU"/>
        </w:rPr>
        <w:t>прозорість</w:t>
      </w:r>
      <w:proofErr w:type="spellEnd"/>
      <w:r w:rsidRPr="00945865">
        <w:rPr>
          <w:sz w:val="28"/>
          <w:szCs w:val="28"/>
          <w:lang w:val="ru-RU"/>
        </w:rPr>
        <w:t xml:space="preserve"> процедур </w:t>
      </w:r>
      <w:proofErr w:type="spellStart"/>
      <w:r w:rsidRPr="00945865">
        <w:rPr>
          <w:sz w:val="28"/>
          <w:szCs w:val="28"/>
          <w:lang w:val="ru-RU"/>
        </w:rPr>
        <w:t>формування</w:t>
      </w:r>
      <w:proofErr w:type="spellEnd"/>
      <w:r w:rsidRPr="00945865">
        <w:rPr>
          <w:sz w:val="28"/>
          <w:szCs w:val="28"/>
          <w:lang w:val="ru-RU"/>
        </w:rPr>
        <w:t xml:space="preserve"> </w:t>
      </w:r>
      <w:proofErr w:type="spellStart"/>
      <w:r w:rsidRPr="00945865">
        <w:rPr>
          <w:sz w:val="28"/>
          <w:szCs w:val="28"/>
          <w:lang w:val="ru-RU"/>
        </w:rPr>
        <w:t>конкурсної</w:t>
      </w:r>
      <w:proofErr w:type="spellEnd"/>
      <w:r w:rsidRPr="00945865">
        <w:rPr>
          <w:sz w:val="28"/>
          <w:szCs w:val="28"/>
          <w:lang w:val="ru-RU"/>
        </w:rPr>
        <w:t xml:space="preserve"> й </w:t>
      </w:r>
      <w:proofErr w:type="spellStart"/>
      <w:r w:rsidRPr="00945865">
        <w:rPr>
          <w:sz w:val="28"/>
          <w:szCs w:val="28"/>
          <w:lang w:val="ru-RU"/>
        </w:rPr>
        <w:t>апеляційної</w:t>
      </w:r>
      <w:proofErr w:type="spellEnd"/>
      <w:r w:rsidRPr="00945865">
        <w:rPr>
          <w:sz w:val="28"/>
          <w:szCs w:val="28"/>
          <w:lang w:val="ru-RU"/>
        </w:rPr>
        <w:t xml:space="preserve"> </w:t>
      </w:r>
      <w:proofErr w:type="spellStart"/>
      <w:r w:rsidRPr="00945865">
        <w:rPr>
          <w:sz w:val="28"/>
          <w:szCs w:val="28"/>
          <w:lang w:val="ru-RU"/>
        </w:rPr>
        <w:t>комісій</w:t>
      </w:r>
      <w:proofErr w:type="spellEnd"/>
      <w:r>
        <w:rPr>
          <w:sz w:val="28"/>
          <w:szCs w:val="28"/>
          <w:lang w:val="ru-RU"/>
        </w:rPr>
        <w:t>;</w:t>
      </w:r>
    </w:p>
    <w:p w14:paraId="4B250362" w14:textId="41033794" w:rsidR="00945865" w:rsidRDefault="00945865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945865">
        <w:rPr>
          <w:sz w:val="28"/>
          <w:szCs w:val="28"/>
          <w:lang w:val="ru-RU"/>
        </w:rPr>
        <w:t>чітко</w:t>
      </w:r>
      <w:proofErr w:type="spellEnd"/>
      <w:r w:rsidRPr="00945865">
        <w:rPr>
          <w:sz w:val="28"/>
          <w:szCs w:val="28"/>
          <w:lang w:val="ru-RU"/>
        </w:rPr>
        <w:t xml:space="preserve"> </w:t>
      </w:r>
      <w:proofErr w:type="spellStart"/>
      <w:r w:rsidRPr="00945865">
        <w:rPr>
          <w:sz w:val="28"/>
          <w:szCs w:val="28"/>
          <w:lang w:val="ru-RU"/>
        </w:rPr>
        <w:t>визначені</w:t>
      </w:r>
      <w:proofErr w:type="spellEnd"/>
      <w:r w:rsidRPr="00945865">
        <w:rPr>
          <w:sz w:val="28"/>
          <w:szCs w:val="28"/>
          <w:lang w:val="ru-RU"/>
        </w:rPr>
        <w:t xml:space="preserve"> </w:t>
      </w:r>
      <w:proofErr w:type="spellStart"/>
      <w:r w:rsidRPr="00945865">
        <w:rPr>
          <w:sz w:val="28"/>
          <w:szCs w:val="28"/>
          <w:lang w:val="ru-RU"/>
        </w:rPr>
        <w:t>повноваження</w:t>
      </w:r>
      <w:proofErr w:type="spellEnd"/>
      <w:r w:rsidRPr="00945865">
        <w:rPr>
          <w:sz w:val="28"/>
          <w:szCs w:val="28"/>
          <w:lang w:val="ru-RU"/>
        </w:rPr>
        <w:t xml:space="preserve"> секретаря </w:t>
      </w:r>
      <w:proofErr w:type="spellStart"/>
      <w:r w:rsidRPr="00945865">
        <w:rPr>
          <w:sz w:val="28"/>
          <w:szCs w:val="28"/>
          <w:lang w:val="ru-RU"/>
        </w:rPr>
        <w:t>комісій</w:t>
      </w:r>
      <w:proofErr w:type="spellEnd"/>
      <w:r>
        <w:rPr>
          <w:sz w:val="28"/>
          <w:szCs w:val="28"/>
          <w:lang w:val="uk-UA"/>
        </w:rPr>
        <w:t>;</w:t>
      </w:r>
    </w:p>
    <w:p w14:paraId="1F0B7A58" w14:textId="1F1D6796" w:rsidR="00945865" w:rsidRPr="00945865" w:rsidRDefault="00945865" w:rsidP="00B32B2B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945865">
        <w:rPr>
          <w:sz w:val="28"/>
          <w:szCs w:val="28"/>
          <w:lang w:val="ru-RU"/>
        </w:rPr>
        <w:t>зменшення</w:t>
      </w:r>
      <w:proofErr w:type="spellEnd"/>
      <w:r w:rsidRPr="00945865">
        <w:rPr>
          <w:sz w:val="28"/>
          <w:szCs w:val="28"/>
          <w:lang w:val="ru-RU"/>
        </w:rPr>
        <w:t xml:space="preserve"> </w:t>
      </w:r>
      <w:proofErr w:type="spellStart"/>
      <w:r w:rsidRPr="00945865">
        <w:rPr>
          <w:sz w:val="28"/>
          <w:szCs w:val="28"/>
          <w:lang w:val="ru-RU"/>
        </w:rPr>
        <w:t>ризиків</w:t>
      </w:r>
      <w:proofErr w:type="spellEnd"/>
      <w:r w:rsidRPr="00945865">
        <w:rPr>
          <w:sz w:val="28"/>
          <w:szCs w:val="28"/>
          <w:lang w:val="ru-RU"/>
        </w:rPr>
        <w:t xml:space="preserve"> </w:t>
      </w:r>
      <w:proofErr w:type="spellStart"/>
      <w:r w:rsidRPr="00945865">
        <w:rPr>
          <w:sz w:val="28"/>
          <w:szCs w:val="28"/>
          <w:lang w:val="ru-RU"/>
        </w:rPr>
        <w:t>процедурних</w:t>
      </w:r>
      <w:proofErr w:type="spellEnd"/>
      <w:r w:rsidRPr="00945865">
        <w:rPr>
          <w:sz w:val="28"/>
          <w:szCs w:val="28"/>
          <w:lang w:val="ru-RU"/>
        </w:rPr>
        <w:t xml:space="preserve"> </w:t>
      </w:r>
      <w:proofErr w:type="spellStart"/>
      <w:r w:rsidRPr="00945865">
        <w:rPr>
          <w:sz w:val="28"/>
          <w:szCs w:val="28"/>
          <w:lang w:val="ru-RU"/>
        </w:rPr>
        <w:t>порушень</w:t>
      </w:r>
      <w:proofErr w:type="spellEnd"/>
      <w:r w:rsidRPr="00945865">
        <w:rPr>
          <w:sz w:val="28"/>
          <w:szCs w:val="28"/>
          <w:lang w:val="ru-RU"/>
        </w:rPr>
        <w:t xml:space="preserve"> </w:t>
      </w:r>
      <w:proofErr w:type="spellStart"/>
      <w:r w:rsidRPr="00945865">
        <w:rPr>
          <w:sz w:val="28"/>
          <w:szCs w:val="28"/>
          <w:lang w:val="ru-RU"/>
        </w:rPr>
        <w:t>під</w:t>
      </w:r>
      <w:proofErr w:type="spellEnd"/>
      <w:r w:rsidRPr="00945865">
        <w:rPr>
          <w:sz w:val="28"/>
          <w:szCs w:val="28"/>
          <w:lang w:val="ru-RU"/>
        </w:rPr>
        <w:t xml:space="preserve"> час </w:t>
      </w:r>
      <w:proofErr w:type="spellStart"/>
      <w:r w:rsidRPr="00945865">
        <w:rPr>
          <w:sz w:val="28"/>
          <w:szCs w:val="28"/>
          <w:lang w:val="ru-RU"/>
        </w:rPr>
        <w:t>проведення</w:t>
      </w:r>
      <w:proofErr w:type="spellEnd"/>
      <w:r w:rsidRPr="00945865">
        <w:rPr>
          <w:sz w:val="28"/>
          <w:szCs w:val="28"/>
          <w:lang w:val="ru-RU"/>
        </w:rPr>
        <w:t xml:space="preserve"> конкурсного </w:t>
      </w:r>
      <w:proofErr w:type="spellStart"/>
      <w:r w:rsidRPr="00945865">
        <w:rPr>
          <w:sz w:val="28"/>
          <w:szCs w:val="28"/>
          <w:lang w:val="ru-RU"/>
        </w:rPr>
        <w:t>відбору</w:t>
      </w:r>
      <w:proofErr w:type="spellEnd"/>
      <w:r w:rsidRPr="00945865">
        <w:rPr>
          <w:sz w:val="28"/>
          <w:szCs w:val="28"/>
          <w:lang w:val="ru-RU"/>
        </w:rPr>
        <w:t xml:space="preserve"> та </w:t>
      </w:r>
      <w:proofErr w:type="spellStart"/>
      <w:r w:rsidRPr="00945865">
        <w:rPr>
          <w:sz w:val="28"/>
          <w:szCs w:val="28"/>
          <w:lang w:val="ru-RU"/>
        </w:rPr>
        <w:t>розгляду</w:t>
      </w:r>
      <w:proofErr w:type="spellEnd"/>
      <w:r w:rsidRPr="00945865">
        <w:rPr>
          <w:sz w:val="28"/>
          <w:szCs w:val="28"/>
          <w:lang w:val="ru-RU"/>
        </w:rPr>
        <w:t xml:space="preserve"> </w:t>
      </w:r>
      <w:proofErr w:type="spellStart"/>
      <w:r w:rsidRPr="00945865">
        <w:rPr>
          <w:sz w:val="28"/>
          <w:szCs w:val="28"/>
          <w:lang w:val="ru-RU"/>
        </w:rPr>
        <w:t>апеляцій</w:t>
      </w:r>
      <w:proofErr w:type="spellEnd"/>
      <w:r>
        <w:rPr>
          <w:sz w:val="28"/>
          <w:szCs w:val="28"/>
          <w:lang w:val="uk-UA"/>
        </w:rPr>
        <w:t>.</w:t>
      </w:r>
    </w:p>
    <w:p w14:paraId="7FA2662C" w14:textId="77777777" w:rsidR="00533831" w:rsidRPr="00533831" w:rsidRDefault="00533831" w:rsidP="00B32B2B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4DB5FB31" w14:textId="77777777" w:rsidR="00DC5BFF" w:rsidRDefault="00DC5BFF" w:rsidP="00B32B2B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6578CEA4" w14:textId="77777777" w:rsidR="00471FF1" w:rsidRDefault="00471FF1" w:rsidP="00753AA4">
      <w:pPr>
        <w:spacing w:after="0"/>
        <w:jc w:val="both"/>
        <w:rPr>
          <w:rFonts w:ascii="Times New Roman" w:hAnsi="Times New Roman"/>
          <w:b/>
          <w:bCs/>
          <w:sz w:val="28"/>
          <w:lang w:val="uk-UA"/>
        </w:rPr>
      </w:pPr>
    </w:p>
    <w:p w14:paraId="0A992D91" w14:textId="37918A70" w:rsidR="00AE392D" w:rsidRDefault="00835F18" w:rsidP="00753AA4">
      <w:pPr>
        <w:spacing w:after="0"/>
        <w:jc w:val="both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Міністр освіти і науки України </w:t>
      </w:r>
      <w:r w:rsidR="00753AA4" w:rsidRPr="00A6194E">
        <w:rPr>
          <w:rFonts w:ascii="Times New Roman" w:hAnsi="Times New Roman"/>
          <w:b/>
          <w:bCs/>
          <w:sz w:val="28"/>
          <w:lang w:val="uk-UA"/>
        </w:rPr>
        <w:tab/>
      </w:r>
      <w:r w:rsidR="00753AA4" w:rsidRPr="00A6194E">
        <w:rPr>
          <w:rFonts w:ascii="Times New Roman" w:hAnsi="Times New Roman"/>
          <w:b/>
          <w:bCs/>
          <w:sz w:val="28"/>
          <w:lang w:val="uk-UA"/>
        </w:rPr>
        <w:tab/>
      </w:r>
      <w:r w:rsidR="00753AA4" w:rsidRPr="00A6194E">
        <w:rPr>
          <w:rFonts w:ascii="Times New Roman" w:hAnsi="Times New Roman"/>
          <w:b/>
          <w:bCs/>
          <w:sz w:val="28"/>
          <w:lang w:val="uk-UA"/>
        </w:rPr>
        <w:tab/>
      </w:r>
      <w:r w:rsidR="00753AA4" w:rsidRPr="00A6194E">
        <w:rPr>
          <w:rFonts w:ascii="Times New Roman" w:hAnsi="Times New Roman"/>
          <w:b/>
          <w:bCs/>
          <w:sz w:val="28"/>
          <w:lang w:val="uk-UA"/>
        </w:rPr>
        <w:tab/>
      </w:r>
      <w:r>
        <w:rPr>
          <w:rFonts w:ascii="Times New Roman" w:hAnsi="Times New Roman"/>
          <w:b/>
          <w:bCs/>
          <w:sz w:val="28"/>
          <w:lang w:val="uk-UA"/>
        </w:rPr>
        <w:tab/>
        <w:t xml:space="preserve">    Оксен ЛІСОВИЙ</w:t>
      </w:r>
    </w:p>
    <w:p w14:paraId="138A4F5E" w14:textId="77777777" w:rsidR="0096519E" w:rsidRDefault="0096519E" w:rsidP="00753AA4">
      <w:pPr>
        <w:spacing w:after="0"/>
        <w:jc w:val="both"/>
        <w:rPr>
          <w:rFonts w:ascii="Times New Roman" w:hAnsi="Times New Roman"/>
          <w:b/>
          <w:bCs/>
          <w:sz w:val="28"/>
          <w:lang w:val="uk-UA"/>
        </w:rPr>
      </w:pPr>
    </w:p>
    <w:p w14:paraId="3BBE30A1" w14:textId="65A823FD" w:rsidR="00B32B2B" w:rsidRDefault="00B32B2B" w:rsidP="00753AA4">
      <w:pPr>
        <w:spacing w:after="0"/>
        <w:jc w:val="both"/>
        <w:rPr>
          <w:rFonts w:ascii="Times New Roman" w:hAnsi="Times New Roman"/>
          <w:b/>
          <w:bCs/>
          <w:sz w:val="28"/>
          <w:lang w:val="uk-UA"/>
        </w:rPr>
      </w:pPr>
    </w:p>
    <w:p w14:paraId="378D0F45" w14:textId="77777777" w:rsidR="00B32B2B" w:rsidRPr="00471FF1" w:rsidRDefault="00B32B2B" w:rsidP="00B32B2B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1FF1">
        <w:rPr>
          <w:rFonts w:ascii="Times New Roman" w:hAnsi="Times New Roman"/>
          <w:b/>
          <w:sz w:val="28"/>
          <w:szCs w:val="28"/>
          <w:lang w:val="uk-UA"/>
        </w:rPr>
        <w:t xml:space="preserve">«____» ____________ </w:t>
      </w:r>
      <w:r w:rsidRPr="00471FF1">
        <w:rPr>
          <w:rFonts w:ascii="Times New Roman" w:hAnsi="Times New Roman"/>
          <w:sz w:val="28"/>
          <w:szCs w:val="28"/>
          <w:lang w:val="uk-UA"/>
        </w:rPr>
        <w:t>2026 р.</w:t>
      </w:r>
    </w:p>
    <w:p w14:paraId="7E799F76" w14:textId="77777777" w:rsidR="00B32B2B" w:rsidRPr="00A6194E" w:rsidRDefault="00B32B2B" w:rsidP="00753AA4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B32B2B" w:rsidRPr="00A6194E" w:rsidSect="001109F4">
      <w:headerReference w:type="default" r:id="rId11"/>
      <w:pgSz w:w="11906" w:h="16838"/>
      <w:pgMar w:top="1134" w:right="851" w:bottom="1701" w:left="1418" w:header="45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E652" w14:textId="77777777" w:rsidR="00D47899" w:rsidRDefault="00D47899">
      <w:pPr>
        <w:spacing w:after="0" w:line="240" w:lineRule="auto"/>
      </w:pPr>
    </w:p>
  </w:endnote>
  <w:endnote w:type="continuationSeparator" w:id="0">
    <w:p w14:paraId="57529C80" w14:textId="77777777" w:rsidR="00D47899" w:rsidRDefault="00D478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C3C4" w14:textId="77777777" w:rsidR="00D47899" w:rsidRDefault="00D47899">
      <w:pPr>
        <w:spacing w:after="0" w:line="240" w:lineRule="auto"/>
      </w:pPr>
    </w:p>
  </w:footnote>
  <w:footnote w:type="continuationSeparator" w:id="0">
    <w:p w14:paraId="57C31D3F" w14:textId="77777777" w:rsidR="00D47899" w:rsidRDefault="00D478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6482" w14:textId="43E1206E" w:rsidR="00AE392D" w:rsidRDefault="00D830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0117" w:rsidRPr="00D10117">
      <w:rPr>
        <w:noProof/>
        <w:lang w:val="uk-UA"/>
      </w:rPr>
      <w:t>2</w:t>
    </w:r>
    <w:r>
      <w:fldChar w:fldCharType="end"/>
    </w:r>
  </w:p>
  <w:p w14:paraId="4646A744" w14:textId="77777777" w:rsidR="00AE392D" w:rsidRDefault="00AE392D">
    <w:pPr>
      <w:tabs>
        <w:tab w:val="left" w:pos="3568"/>
      </w:tabs>
      <w:spacing w:after="0" w:line="58" w:lineRule="auto"/>
      <w:rPr>
        <w:color w:val="FF000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DC2113E"/>
    <w:lvl w:ilvl="0">
      <w:start w:val="1"/>
      <w:numFmt w:val="decimal"/>
      <w:suff w:val="space"/>
      <w:lvlText w:val="%1."/>
      <w:lvlJc w:val="left"/>
      <w:pPr>
        <w:ind w:left="80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20F62C00"/>
    <w:multiLevelType w:val="hybridMultilevel"/>
    <w:tmpl w:val="682017D4"/>
    <w:lvl w:ilvl="0" w:tplc="61EE67AC">
      <w:start w:val="1"/>
      <w:numFmt w:val="bullet"/>
      <w:lvlText w:val="˗"/>
      <w:lvlJc w:val="left"/>
      <w:pPr>
        <w:ind w:left="1636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1487307">
    <w:abstractNumId w:val="0"/>
  </w:num>
  <w:num w:numId="2" w16cid:durableId="99865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2D"/>
    <w:rsid w:val="00014CE2"/>
    <w:rsid w:val="00020EA8"/>
    <w:rsid w:val="00021E7C"/>
    <w:rsid w:val="00025F9E"/>
    <w:rsid w:val="000455C5"/>
    <w:rsid w:val="00051FC1"/>
    <w:rsid w:val="00055602"/>
    <w:rsid w:val="000B2F61"/>
    <w:rsid w:val="000D0CE4"/>
    <w:rsid w:val="000E1321"/>
    <w:rsid w:val="000F2CED"/>
    <w:rsid w:val="001109F4"/>
    <w:rsid w:val="00122BEA"/>
    <w:rsid w:val="00124DA8"/>
    <w:rsid w:val="00125A99"/>
    <w:rsid w:val="00125D3B"/>
    <w:rsid w:val="001409DE"/>
    <w:rsid w:val="001678C1"/>
    <w:rsid w:val="00194338"/>
    <w:rsid w:val="00197D79"/>
    <w:rsid w:val="001B15E7"/>
    <w:rsid w:val="001C6887"/>
    <w:rsid w:val="001F1DB4"/>
    <w:rsid w:val="001F5563"/>
    <w:rsid w:val="002045BC"/>
    <w:rsid w:val="00204BE0"/>
    <w:rsid w:val="00257A45"/>
    <w:rsid w:val="00260617"/>
    <w:rsid w:val="00260FBF"/>
    <w:rsid w:val="002B23A6"/>
    <w:rsid w:val="002B3E73"/>
    <w:rsid w:val="002D2B71"/>
    <w:rsid w:val="002E3015"/>
    <w:rsid w:val="002E3995"/>
    <w:rsid w:val="002F520A"/>
    <w:rsid w:val="0030098D"/>
    <w:rsid w:val="00315CBF"/>
    <w:rsid w:val="0032325A"/>
    <w:rsid w:val="0036693F"/>
    <w:rsid w:val="00376743"/>
    <w:rsid w:val="00394149"/>
    <w:rsid w:val="003966AA"/>
    <w:rsid w:val="003E1816"/>
    <w:rsid w:val="004068D4"/>
    <w:rsid w:val="00413912"/>
    <w:rsid w:val="00425E37"/>
    <w:rsid w:val="00461203"/>
    <w:rsid w:val="0047022B"/>
    <w:rsid w:val="00471FF1"/>
    <w:rsid w:val="0048214C"/>
    <w:rsid w:val="004B198C"/>
    <w:rsid w:val="004B41E3"/>
    <w:rsid w:val="004C2266"/>
    <w:rsid w:val="004C557D"/>
    <w:rsid w:val="004D3CD9"/>
    <w:rsid w:val="00506CE8"/>
    <w:rsid w:val="00516A8B"/>
    <w:rsid w:val="005244A1"/>
    <w:rsid w:val="00533831"/>
    <w:rsid w:val="00535752"/>
    <w:rsid w:val="00556E30"/>
    <w:rsid w:val="00557BDB"/>
    <w:rsid w:val="0056212C"/>
    <w:rsid w:val="005706CC"/>
    <w:rsid w:val="0058026B"/>
    <w:rsid w:val="0058078B"/>
    <w:rsid w:val="0058092A"/>
    <w:rsid w:val="00585F7F"/>
    <w:rsid w:val="00594C8F"/>
    <w:rsid w:val="005A4614"/>
    <w:rsid w:val="005F7DF0"/>
    <w:rsid w:val="006024A3"/>
    <w:rsid w:val="0063250A"/>
    <w:rsid w:val="00634D37"/>
    <w:rsid w:val="00643543"/>
    <w:rsid w:val="00671B1C"/>
    <w:rsid w:val="0067655B"/>
    <w:rsid w:val="00684573"/>
    <w:rsid w:val="0069196D"/>
    <w:rsid w:val="006D7378"/>
    <w:rsid w:val="006F0DB8"/>
    <w:rsid w:val="006F6E72"/>
    <w:rsid w:val="007167BD"/>
    <w:rsid w:val="00733FAF"/>
    <w:rsid w:val="00742C70"/>
    <w:rsid w:val="00753AA4"/>
    <w:rsid w:val="00767A70"/>
    <w:rsid w:val="007720EF"/>
    <w:rsid w:val="00773552"/>
    <w:rsid w:val="007744F2"/>
    <w:rsid w:val="00774BE3"/>
    <w:rsid w:val="0078237D"/>
    <w:rsid w:val="00797F49"/>
    <w:rsid w:val="007A367C"/>
    <w:rsid w:val="007C2302"/>
    <w:rsid w:val="007C60DB"/>
    <w:rsid w:val="007D0596"/>
    <w:rsid w:val="007E202A"/>
    <w:rsid w:val="007F3251"/>
    <w:rsid w:val="007F32A5"/>
    <w:rsid w:val="007F7801"/>
    <w:rsid w:val="00803DD2"/>
    <w:rsid w:val="00811FFA"/>
    <w:rsid w:val="00835F18"/>
    <w:rsid w:val="008408EE"/>
    <w:rsid w:val="008814D7"/>
    <w:rsid w:val="00884C81"/>
    <w:rsid w:val="008A56C4"/>
    <w:rsid w:val="008B43B3"/>
    <w:rsid w:val="008C3290"/>
    <w:rsid w:val="008E0A85"/>
    <w:rsid w:val="00920C66"/>
    <w:rsid w:val="00943F4B"/>
    <w:rsid w:val="00945865"/>
    <w:rsid w:val="00954837"/>
    <w:rsid w:val="0096519E"/>
    <w:rsid w:val="0097335A"/>
    <w:rsid w:val="00976754"/>
    <w:rsid w:val="009835EC"/>
    <w:rsid w:val="009953ED"/>
    <w:rsid w:val="009D4AFE"/>
    <w:rsid w:val="009D777B"/>
    <w:rsid w:val="009F158C"/>
    <w:rsid w:val="009F1B3F"/>
    <w:rsid w:val="00A04EA6"/>
    <w:rsid w:val="00A23A1E"/>
    <w:rsid w:val="00A23B82"/>
    <w:rsid w:val="00A26159"/>
    <w:rsid w:val="00A301D3"/>
    <w:rsid w:val="00A36D7C"/>
    <w:rsid w:val="00A54D57"/>
    <w:rsid w:val="00A6194E"/>
    <w:rsid w:val="00A633E2"/>
    <w:rsid w:val="00A65A8A"/>
    <w:rsid w:val="00A82C9C"/>
    <w:rsid w:val="00AB2959"/>
    <w:rsid w:val="00AB5CCB"/>
    <w:rsid w:val="00AB7F51"/>
    <w:rsid w:val="00AD5574"/>
    <w:rsid w:val="00AE392D"/>
    <w:rsid w:val="00B30EEF"/>
    <w:rsid w:val="00B32B2B"/>
    <w:rsid w:val="00B47150"/>
    <w:rsid w:val="00B54F92"/>
    <w:rsid w:val="00B57C56"/>
    <w:rsid w:val="00B6182D"/>
    <w:rsid w:val="00B7659F"/>
    <w:rsid w:val="00B841A9"/>
    <w:rsid w:val="00B86462"/>
    <w:rsid w:val="00B96FED"/>
    <w:rsid w:val="00BC7B90"/>
    <w:rsid w:val="00C0565E"/>
    <w:rsid w:val="00C161B7"/>
    <w:rsid w:val="00C8331F"/>
    <w:rsid w:val="00C90E02"/>
    <w:rsid w:val="00C95065"/>
    <w:rsid w:val="00CA3202"/>
    <w:rsid w:val="00CB0B70"/>
    <w:rsid w:val="00CB5BFA"/>
    <w:rsid w:val="00CC2B94"/>
    <w:rsid w:val="00D04624"/>
    <w:rsid w:val="00D10117"/>
    <w:rsid w:val="00D23324"/>
    <w:rsid w:val="00D23668"/>
    <w:rsid w:val="00D27D45"/>
    <w:rsid w:val="00D3048A"/>
    <w:rsid w:val="00D373A9"/>
    <w:rsid w:val="00D4758F"/>
    <w:rsid w:val="00D47899"/>
    <w:rsid w:val="00D57787"/>
    <w:rsid w:val="00D830D5"/>
    <w:rsid w:val="00DA3749"/>
    <w:rsid w:val="00DB6F94"/>
    <w:rsid w:val="00DC1355"/>
    <w:rsid w:val="00DC1AF3"/>
    <w:rsid w:val="00DC3205"/>
    <w:rsid w:val="00DC3F24"/>
    <w:rsid w:val="00DC5BFF"/>
    <w:rsid w:val="00DE2CA1"/>
    <w:rsid w:val="00DF415B"/>
    <w:rsid w:val="00E00D38"/>
    <w:rsid w:val="00E02EE4"/>
    <w:rsid w:val="00E56D1F"/>
    <w:rsid w:val="00E65A08"/>
    <w:rsid w:val="00E85FDE"/>
    <w:rsid w:val="00EB5140"/>
    <w:rsid w:val="00EC070E"/>
    <w:rsid w:val="00EC32E6"/>
    <w:rsid w:val="00EC77DD"/>
    <w:rsid w:val="00ED35DD"/>
    <w:rsid w:val="00ED7C39"/>
    <w:rsid w:val="00EE6E0C"/>
    <w:rsid w:val="00F1409E"/>
    <w:rsid w:val="00F33CAA"/>
    <w:rsid w:val="00F60CC0"/>
    <w:rsid w:val="00F915F2"/>
    <w:rsid w:val="00F9327A"/>
    <w:rsid w:val="00F93C8B"/>
    <w:rsid w:val="00F94C5D"/>
    <w:rsid w:val="00FB22CB"/>
    <w:rsid w:val="00FC5412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14A6"/>
  <w15:docId w15:val="{3D6ED113-F047-4BF1-A6B0-4B337B25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 w:val="0"/>
      <w:spacing w:after="0" w:line="300" w:lineRule="auto"/>
      <w:ind w:left="400" w:hanging="420"/>
      <w:jc w:val="center"/>
      <w:outlineLvl w:val="1"/>
    </w:pPr>
    <w:rPr>
      <w:rFonts w:ascii="Times New Roman" w:hAnsi="Times New Roman"/>
      <w:b/>
      <w:snapToGrid w:val="0"/>
      <w:spacing w:val="2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basedOn w:val="a0"/>
    <w:uiPriority w:val="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snapToGrid w:val="0"/>
      <w:spacing w:val="20"/>
      <w:sz w:val="28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uiPriority w:val="99"/>
  </w:style>
  <w:style w:type="character" w:customStyle="1" w:styleId="a6">
    <w:name w:val="Нижній колонтитул Знак"/>
    <w:basedOn w:val="a0"/>
    <w:link w:val="a5"/>
  </w:style>
  <w:style w:type="character" w:customStyle="1" w:styleId="a8">
    <w:name w:val="Текст у виносці Знак"/>
    <w:basedOn w:val="a0"/>
    <w:link w:val="a7"/>
    <w:semiHidden/>
    <w:rPr>
      <w:rFonts w:ascii="Tahoma" w:hAnsi="Tahoma"/>
      <w:sz w:val="16"/>
      <w:szCs w:val="16"/>
    </w:rPr>
  </w:style>
  <w:style w:type="character" w:styleId="af">
    <w:name w:val="footnote reference"/>
    <w:semiHidden/>
    <w:rPr>
      <w:vertAlign w:val="superscript"/>
    </w:rPr>
  </w:style>
  <w:style w:type="character" w:customStyle="1" w:styleId="aa">
    <w:name w:val="Текст виноски Знак"/>
    <w:link w:val="a9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c">
    <w:name w:val="Текст кінцевої виноски Знак"/>
    <w:link w:val="ab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5FDE"/>
    <w:pPr>
      <w:ind w:left="720"/>
      <w:contextualSpacing/>
    </w:pPr>
  </w:style>
  <w:style w:type="character" w:customStyle="1" w:styleId="rvts0">
    <w:name w:val="rvts0"/>
    <w:basedOn w:val="a0"/>
    <w:rsid w:val="00FC5412"/>
  </w:style>
  <w:style w:type="paragraph" w:styleId="af2">
    <w:name w:val="Normal (Web)"/>
    <w:basedOn w:val="a"/>
    <w:uiPriority w:val="99"/>
    <w:rsid w:val="00B32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F02F-DEA8-4024-83C7-FB9A6C0AE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3B30B-D430-4583-A38E-ADD9CA832A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0236F4-4C39-45E9-AB91-47C4EDF81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EFFA7E-770A-41B5-BCD7-F7C27345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10594</Words>
  <Characters>6039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Евтушенко Дмитрий</dc:creator>
  <cp:lastModifiedBy>Катерина Валеріївна Таранік-Ткачук</cp:lastModifiedBy>
  <cp:revision>20</cp:revision>
  <cp:lastPrinted>2026-02-13T11:06:00Z</cp:lastPrinted>
  <dcterms:created xsi:type="dcterms:W3CDTF">2026-02-13T11:07:00Z</dcterms:created>
  <dcterms:modified xsi:type="dcterms:W3CDTF">2026-03-05T14:00:00Z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