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FD" w:rsidRDefault="00043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АНАЛІЗ РЕГУЛЯТОРНОГО ВПЛИВУ</w:t>
      </w:r>
    </w:p>
    <w:p w:rsidR="001270FD" w:rsidRDefault="00043D9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проєкту постанови Кабінету Міністрів України «Про затвердження Положення про Єдину державну електронну базу з питань освіти, порядок її ведення»</w:t>
      </w:r>
    </w:p>
    <w:p w:rsidR="001270FD" w:rsidRDefault="00043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І. Визначення проблеми</w:t>
      </w:r>
    </w:p>
    <w:p w:rsidR="001270FD" w:rsidRDefault="001270FD">
      <w:pPr>
        <w:rPr>
          <w:rFonts w:ascii="Times New Roman" w:eastAsia="Times New Roman" w:hAnsi="Times New Roman"/>
          <w:b/>
          <w:sz w:val="28"/>
          <w:szCs w:val="28"/>
        </w:rPr>
      </w:pPr>
    </w:p>
    <w:p w:rsidR="001270FD" w:rsidRDefault="00043D9F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Відповідно до абзацу другого пункту 2 частини першої Закону України «Про внесення змін до деяких законів України щодо функціонування інтегрованих інформаційних систем у сфері освіти»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внесено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зміни до статті 74 Закону України «Про освіту» та розроблено проєкт постанови Кабінету Міністрів України «Про затвердження Положення про Єдину державну електронну базу з питань освіти, порядок її ведення». </w:t>
      </w:r>
    </w:p>
    <w:p w:rsidR="001270FD" w:rsidRDefault="00043D9F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Наразі ЄДЕБО функціонує відповідно до Положення про Єдину державну електронну б</w:t>
      </w:r>
      <w:r w:rsidR="00532DE7">
        <w:rPr>
          <w:rFonts w:ascii="Times New Roman" w:eastAsia="Times New Roman" w:hAnsi="Times New Roman"/>
          <w:sz w:val="28"/>
          <w:szCs w:val="28"/>
        </w:rPr>
        <w:t>азу з питань освіти, затвердженого</w:t>
      </w:r>
      <w:r>
        <w:rPr>
          <w:rFonts w:ascii="Times New Roman" w:eastAsia="Times New Roman" w:hAnsi="Times New Roman"/>
          <w:sz w:val="28"/>
          <w:szCs w:val="28"/>
        </w:rPr>
        <w:t xml:space="preserve"> наказом Міністерства освіти і науки України від 08 червн</w:t>
      </w:r>
      <w:r w:rsidR="00532DE7">
        <w:rPr>
          <w:rFonts w:ascii="Times New Roman" w:eastAsia="Times New Roman" w:hAnsi="Times New Roman"/>
          <w:sz w:val="28"/>
          <w:szCs w:val="28"/>
        </w:rPr>
        <w:t>я 2018 року № 620, зареєстрованим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в Міністерстві юстиції України 05 жовтня 2018 року за № 1132/32584, який не є регуляторним актом.</w:t>
      </w:r>
    </w:p>
    <w:p w:rsidR="001270FD" w:rsidRDefault="00043D9F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Суб’єктами ведення ЄДЕБО є МОН, адміністратор, Державна служба якості освіти, Національне агентство із забезпечення якості вищої освіти, міністерства та інші центральні органи виконавчої влади, які мають у підпорядкуванні заклади освіти, Рада міністрів Автономної Республіки Крим, обласні, Київська та Севастопольська міські держадміністрації, а також суб’єкти освітньої діяльності та їх відокремлені підрозділи, які провадять освітню діяльність на рівні професійної (професійно-технічної), фахової передвищої, вищої, освіти та освіти дорослих, зокрема післядипломної освіти незалежно від форми власності та сфери управління, Український центр оцінювання якості освіти, державна наукова установа </w:t>
      </w:r>
      <w:r w:rsidR="002F1C7B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Інститут освітньої аналітики</w:t>
      </w:r>
      <w:r w:rsidR="002F1C7B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 інші підприємства, установи, організації, що у випадках, визначених законодавством у сфері освіти, вносять та отримують інформацію з Єдиної електронної бази.</w:t>
      </w:r>
    </w:p>
    <w:p w:rsidR="001270FD" w:rsidRDefault="00043D9F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виконання суб’єктами ведення ЄДЕБО функцій, визначених цим Положенням, адміністратор надає (організовує та підтримує) доступ до ЄДЕБО користувачам. Таким чином, така норма потребує нормативного регулювання.</w:t>
      </w:r>
    </w:p>
    <w:p w:rsidR="001270FD" w:rsidRDefault="00043D9F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теперішній час до ЄДЕБО підключено 1819 закладів професійної (професійно-технічної), фахової передвищої, вищої освіти та освіти дорослих, в тому числі післядипломної освіти.</w:t>
      </w:r>
    </w:p>
    <w:p w:rsidR="001270FD" w:rsidRDefault="00043D9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Основні групи (підгрупи), на які проблема справляє вплив:</w:t>
      </w:r>
    </w:p>
    <w:tbl>
      <w:tblPr>
        <w:tblStyle w:val="ab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78"/>
        <w:gridCol w:w="2819"/>
        <w:gridCol w:w="2432"/>
      </w:tblGrid>
      <w:tr w:rsidR="001270FD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Групи (підгрупи)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Ні</w:t>
            </w:r>
          </w:p>
        </w:tc>
      </w:tr>
      <w:tr w:rsidR="001270FD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Громадяни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</w:tr>
      <w:tr w:rsidR="001270FD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Держава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</w:tr>
      <w:tr w:rsidR="001270FD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Суб’єкти господарювання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</w:tr>
      <w:tr w:rsidR="001270FD"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 тому числі суб’єкти малого підприємництва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</w:tr>
    </w:tbl>
    <w:p w:rsidR="001270FD" w:rsidRDefault="00043D9F">
      <w:pPr>
        <w:shd w:val="clear" w:color="auto" w:fill="FFFFFF"/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Врегулювання зазначених проблемних питань не може бути здійснено за допомогою: </w:t>
      </w:r>
    </w:p>
    <w:p w:rsidR="001270FD" w:rsidRDefault="00043D9F">
      <w:pPr>
        <w:shd w:val="clear" w:color="auto" w:fill="FFFFFF"/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ринкових механізмів, оскільки такі питання регулюються виключно нормативно-правовими актами;</w:t>
      </w:r>
    </w:p>
    <w:p w:rsidR="001270FD" w:rsidRDefault="00043D9F">
      <w:pPr>
        <w:shd w:val="clear" w:color="auto" w:fill="FFFFFF"/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діючих регуляторних актів, оскільки законодавством вони не передбачені.</w:t>
      </w:r>
    </w:p>
    <w:p w:rsidR="001270FD" w:rsidRDefault="001270F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270FD" w:rsidRDefault="00043D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II. Цілі державного регулювання</w:t>
      </w:r>
    </w:p>
    <w:p w:rsidR="001270FD" w:rsidRDefault="001270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270FD" w:rsidRDefault="00043D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Відповідно до статті 19 Конституції України, органи державної влади, їх посадові особи зобов’язані діяти в межах і в спосіб, визначений законодавством. Так як ЄДЕБО має статус державної інтегрованої інформаційної системи, а її суб’єктами є органи державної влади, державні установи та суб’єкти господарювання у сфері освіти, основними цілями пропонованого державного регулювання є: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1270FD" w:rsidRDefault="00043D9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встановлення єдиного порядку ведення ЄДЕБО;</w:t>
      </w:r>
    </w:p>
    <w:p w:rsidR="001270FD" w:rsidRDefault="00043D9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визначення прав та обов’язків суб’єктів ЄДЕБО;</w:t>
      </w:r>
    </w:p>
    <w:p w:rsidR="001270FD" w:rsidRDefault="00043D9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визначення функцій і завдань ЄДЕБО.</w:t>
      </w:r>
    </w:p>
    <w:p w:rsidR="001270FD" w:rsidRDefault="00043D9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Досягнення вказаних цілей дозволить привести у відповідність із вимогами законодавства функціонування ЄДЕБО 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надасть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змогу забезпечувати доступ до реєстрів освітньої діяльності засобами інтегрованої інформаційної системи.</w:t>
      </w:r>
    </w:p>
    <w:p w:rsidR="001270FD" w:rsidRDefault="00043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III. Визначення та оцінка альтернативних способів досягнення цілей</w:t>
      </w:r>
    </w:p>
    <w:p w:rsidR="001270FD" w:rsidRDefault="00127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270FD" w:rsidRDefault="00043D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Визначення альтернативних способів</w:t>
      </w:r>
    </w:p>
    <w:tbl>
      <w:tblPr>
        <w:tblStyle w:val="ac"/>
        <w:tblW w:w="966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6"/>
        <w:gridCol w:w="7174"/>
      </w:tblGrid>
      <w:tr w:rsidR="001270FD">
        <w:trPr>
          <w:trHeight w:val="458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Опис альтернативи</w:t>
            </w:r>
          </w:p>
        </w:tc>
      </w:tr>
      <w:tr w:rsidR="001270FD">
        <w:trPr>
          <w:trHeight w:val="458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Альтернатива 1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Відсутні</w:t>
            </w:r>
          </w:p>
        </w:tc>
      </w:tr>
      <w:tr w:rsidR="001270FD">
        <w:trPr>
          <w:trHeight w:val="458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Альтернатива 2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Другою альтернативою запропоновано прийняття проєкту постанови Кабінету Міністрів України «Про затвердження Положення про Єдину державну  електронну базу з питань освіти, порядок її ведення». Відсутність такого регулювання призведе до порушення вимог закону.</w:t>
            </w:r>
          </w:p>
        </w:tc>
      </w:tr>
    </w:tbl>
    <w:p w:rsidR="00043D9F" w:rsidRDefault="00043D9F" w:rsidP="00043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</w:t>
      </w:r>
    </w:p>
    <w:p w:rsidR="00043D9F" w:rsidRDefault="00043D9F" w:rsidP="00043D9F">
      <w:pPr>
        <w:tabs>
          <w:tab w:val="center" w:pos="4819"/>
          <w:tab w:val="right" w:pos="963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</w:rPr>
        <w:t xml:space="preserve">1 </w:t>
      </w:r>
      <w:r>
        <w:rPr>
          <w:rFonts w:ascii="Times New Roman" w:eastAsia="Times New Roman" w:hAnsi="Times New Roman"/>
          <w:sz w:val="20"/>
          <w:szCs w:val="20"/>
        </w:rPr>
        <w:t>Проблема справляє вплив не на всіх суб’єктів господарювання, а лише на суб’єктів діяльності, які надають послуги, пов’язані зі сферою освіти.</w:t>
      </w:r>
    </w:p>
    <w:p w:rsidR="00043D9F" w:rsidRDefault="00043D9F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043D9F" w:rsidRDefault="00043D9F" w:rsidP="00043D9F">
      <w:pPr>
        <w:tabs>
          <w:tab w:val="center" w:pos="4819"/>
          <w:tab w:val="right" w:pos="963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1270FD" w:rsidRDefault="00043D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Оцінка обраних альтернативних способів досягнення цілей</w:t>
      </w:r>
    </w:p>
    <w:p w:rsidR="001270FD" w:rsidRDefault="00043D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Оцінка впливу на сферу інтересів держави</w:t>
      </w:r>
    </w:p>
    <w:tbl>
      <w:tblPr>
        <w:tblStyle w:val="ad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3690"/>
        <w:gridCol w:w="3419"/>
      </w:tblGrid>
      <w:tr w:rsidR="001270F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Вигоди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</w:p>
        </w:tc>
      </w:tr>
      <w:tr w:rsidR="001270F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Альтернатива 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 w:rsidP="002F1C7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5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Відсутні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 w:rsidP="002F1C7B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Витрати, пов’язані із необхідністю опрацьовувати звернення суб’єктів освітньої діяльності та державних установ.</w:t>
            </w:r>
          </w:p>
          <w:p w:rsidR="001270FD" w:rsidRPr="00043D9F" w:rsidRDefault="00043D9F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 середньому профільні підрозділи МОН та технічний адміністратор ЄДЕБО (ДП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Інфоресурс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») витрачають час на роз’яснення про особливості та порядок ведення ЄДЕБО </w:t>
            </w:r>
            <w:r w:rsidRPr="00043D9F">
              <w:rPr>
                <w:rFonts w:ascii="Times New Roman" w:eastAsia="Times New Roman" w:hAnsi="Times New Roman"/>
                <w:sz w:val="28"/>
                <w:szCs w:val="28"/>
              </w:rPr>
              <w:t xml:space="preserve">до 500 годин на рік (фінансові втрати становлять 500 год х </w:t>
            </w:r>
            <w:r w:rsidR="002F1C7B" w:rsidRPr="002F1C7B">
              <w:rPr>
                <w:rFonts w:ascii="Times New Roman" w:eastAsia="Times New Roman" w:hAnsi="Times New Roman"/>
                <w:sz w:val="28"/>
                <w:szCs w:val="28"/>
              </w:rPr>
              <w:t>278,5</w:t>
            </w:r>
            <w:r w:rsidRPr="00043D9F">
              <w:rPr>
                <w:rFonts w:ascii="Times New Roman" w:eastAsia="Times New Roman" w:hAnsi="Times New Roman"/>
                <w:sz w:val="28"/>
                <w:szCs w:val="28"/>
              </w:rPr>
              <w:t xml:space="preserve"> грн/год = </w:t>
            </w:r>
            <w:r w:rsidR="002F1C7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F1C7B" w:rsidRPr="002F1C7B">
              <w:rPr>
                <w:rFonts w:ascii="Times New Roman" w:eastAsia="Times New Roman" w:hAnsi="Times New Roman"/>
                <w:sz w:val="28"/>
                <w:szCs w:val="28"/>
              </w:rPr>
              <w:t>139 250</w:t>
            </w:r>
            <w:r w:rsidRPr="00043D9F">
              <w:rPr>
                <w:rFonts w:ascii="Times New Roman" w:eastAsia="Times New Roman" w:hAnsi="Times New Roman"/>
                <w:sz w:val="28"/>
                <w:szCs w:val="28"/>
              </w:rPr>
              <w:t>грн на рік).</w:t>
            </w:r>
          </w:p>
          <w:p w:rsidR="001270FD" w:rsidRDefault="00043D9F" w:rsidP="00043D9F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43D9F">
              <w:rPr>
                <w:rFonts w:ascii="Times New Roman" w:eastAsia="Times New Roman" w:hAnsi="Times New Roman"/>
                <w:sz w:val="28"/>
                <w:szCs w:val="28"/>
              </w:rPr>
              <w:t xml:space="preserve">Усього: </w:t>
            </w:r>
            <w:r w:rsidR="002F1C7B" w:rsidRPr="002F1C7B">
              <w:rPr>
                <w:rFonts w:ascii="Times New Roman" w:eastAsia="Times New Roman" w:hAnsi="Times New Roman"/>
                <w:sz w:val="28"/>
                <w:szCs w:val="28"/>
              </w:rPr>
              <w:t>139</w:t>
            </w:r>
            <w:r w:rsidR="002F1C7B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2F1C7B" w:rsidRPr="002F1C7B">
              <w:rPr>
                <w:rFonts w:ascii="Times New Roman" w:eastAsia="Times New Roman" w:hAnsi="Times New Roman"/>
                <w:sz w:val="28"/>
                <w:szCs w:val="28"/>
              </w:rPr>
              <w:t>250</w:t>
            </w:r>
            <w:r w:rsidR="002F1C7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43D9F">
              <w:rPr>
                <w:rFonts w:ascii="Times New Roman" w:eastAsia="Times New Roman" w:hAnsi="Times New Roman"/>
                <w:sz w:val="28"/>
                <w:szCs w:val="28"/>
              </w:rPr>
              <w:t>грн</w:t>
            </w:r>
          </w:p>
        </w:tc>
      </w:tr>
      <w:tr w:rsidR="001270FD">
        <w:trPr>
          <w:trHeight w:val="54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Альтернатива 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 w:rsidP="002F1C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Виконання вимог Закону України «Про освіту», що забезпечить: визначення основних засад функціонування ЄДЕБО; встановлення єдиного порядку ведення ЄДЕБО;</w:t>
            </w:r>
          </w:p>
          <w:p w:rsidR="001270FD" w:rsidRDefault="00043D9F" w:rsidP="002F1C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визначення повноважень суб’єктів ЄДЕБО;</w:t>
            </w:r>
          </w:p>
          <w:p w:rsidR="001270FD" w:rsidRDefault="00043D9F" w:rsidP="002F1C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визначення функцій і завдань ЄДЕБО.</w:t>
            </w:r>
          </w:p>
          <w:p w:rsidR="001270FD" w:rsidRDefault="00043D9F" w:rsidP="002F1C7B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Досягнення вказаних цілей дозволить привести у відповідність із вимогами законодавства функціонування ЄДЕБО та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надасть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змогу забезпечувати доступ до реєстрів освітньої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діяльності засобами інтегрованої інформаційної системи.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 w:rsidP="002F1C7B">
            <w:pPr>
              <w:spacing w:after="2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Витрати, пов’язані з інформуванням суб’єктів освітньої діяльності та державних установ про прийняття акту:</w:t>
            </w:r>
          </w:p>
          <w:p w:rsidR="001270FD" w:rsidRPr="00043D9F" w:rsidRDefault="00043D9F" w:rsidP="002F1C7B">
            <w:pPr>
              <w:spacing w:before="240" w:after="2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3D9F">
              <w:rPr>
                <w:rFonts w:ascii="Times New Roman" w:eastAsia="Times New Roman" w:hAnsi="Times New Roman"/>
                <w:sz w:val="28"/>
                <w:szCs w:val="28"/>
              </w:rPr>
              <w:t>одна онлайн-нарада 1 год х 27</w:t>
            </w:r>
            <w:r w:rsidR="002F1C7B">
              <w:rPr>
                <w:rFonts w:ascii="Times New Roman" w:eastAsia="Times New Roman" w:hAnsi="Times New Roman"/>
                <w:sz w:val="28"/>
                <w:szCs w:val="28"/>
              </w:rPr>
              <w:t>8,5</w:t>
            </w:r>
            <w:r w:rsidRPr="00043D9F">
              <w:rPr>
                <w:rFonts w:ascii="Times New Roman" w:eastAsia="Times New Roman" w:hAnsi="Times New Roman"/>
                <w:sz w:val="28"/>
                <w:szCs w:val="28"/>
              </w:rPr>
              <w:t xml:space="preserve"> грн /год = </w:t>
            </w:r>
            <w:r w:rsidR="002F1C7B" w:rsidRPr="002F1C7B">
              <w:rPr>
                <w:rFonts w:ascii="Times New Roman" w:eastAsia="Times New Roman" w:hAnsi="Times New Roman"/>
                <w:sz w:val="28"/>
                <w:szCs w:val="28"/>
              </w:rPr>
              <w:t xml:space="preserve">278,5 </w:t>
            </w:r>
            <w:r w:rsidRPr="00043D9F">
              <w:rPr>
                <w:rFonts w:ascii="Times New Roman" w:eastAsia="Times New Roman" w:hAnsi="Times New Roman"/>
                <w:sz w:val="28"/>
                <w:szCs w:val="28"/>
              </w:rPr>
              <w:t>грн</w:t>
            </w:r>
          </w:p>
          <w:p w:rsidR="001270FD" w:rsidRPr="00043D9F" w:rsidRDefault="00043D9F" w:rsidP="002F1C7B">
            <w:pPr>
              <w:spacing w:before="240" w:after="2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3D9F">
              <w:rPr>
                <w:rFonts w:ascii="Times New Roman" w:eastAsia="Times New Roman" w:hAnsi="Times New Roman"/>
                <w:sz w:val="28"/>
                <w:szCs w:val="28"/>
              </w:rPr>
              <w:t xml:space="preserve">публікація інформації на веб-сайтах МОН та ДП </w:t>
            </w:r>
            <w:r w:rsidR="002F1C7B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043D9F">
              <w:rPr>
                <w:rFonts w:ascii="Times New Roman" w:eastAsia="Times New Roman" w:hAnsi="Times New Roman"/>
                <w:sz w:val="28"/>
                <w:szCs w:val="28"/>
              </w:rPr>
              <w:t>Інфоресурс</w:t>
            </w:r>
            <w:proofErr w:type="spellEnd"/>
            <w:r w:rsidR="002F1C7B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1270FD" w:rsidRPr="00043D9F" w:rsidRDefault="00043D9F" w:rsidP="002F1C7B">
            <w:pPr>
              <w:spacing w:before="240" w:after="2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3D9F">
              <w:rPr>
                <w:rFonts w:ascii="Times New Roman" w:eastAsia="Times New Roman" w:hAnsi="Times New Roman"/>
                <w:sz w:val="28"/>
                <w:szCs w:val="28"/>
              </w:rPr>
              <w:t xml:space="preserve">1 год х </w:t>
            </w:r>
            <w:r w:rsidR="002F1C7B" w:rsidRPr="002F1C7B">
              <w:rPr>
                <w:rFonts w:ascii="Times New Roman" w:eastAsia="Times New Roman" w:hAnsi="Times New Roman"/>
                <w:sz w:val="28"/>
                <w:szCs w:val="28"/>
              </w:rPr>
              <w:t xml:space="preserve">278,5 </w:t>
            </w:r>
            <w:r w:rsidRPr="00043D9F">
              <w:rPr>
                <w:rFonts w:ascii="Times New Roman" w:eastAsia="Times New Roman" w:hAnsi="Times New Roman"/>
                <w:sz w:val="28"/>
                <w:szCs w:val="28"/>
              </w:rPr>
              <w:t xml:space="preserve">грн/год = </w:t>
            </w:r>
            <w:r w:rsidR="002F1C7B" w:rsidRPr="002F1C7B">
              <w:rPr>
                <w:rFonts w:ascii="Times New Roman" w:eastAsia="Times New Roman" w:hAnsi="Times New Roman"/>
                <w:sz w:val="28"/>
                <w:szCs w:val="28"/>
              </w:rPr>
              <w:t xml:space="preserve">278,5 </w:t>
            </w:r>
            <w:r w:rsidRPr="00043D9F">
              <w:rPr>
                <w:rFonts w:ascii="Times New Roman" w:eastAsia="Times New Roman" w:hAnsi="Times New Roman"/>
                <w:sz w:val="28"/>
                <w:szCs w:val="28"/>
              </w:rPr>
              <w:t xml:space="preserve"> грн</w:t>
            </w:r>
          </w:p>
          <w:p w:rsidR="001270FD" w:rsidRPr="00043D9F" w:rsidRDefault="00043D9F" w:rsidP="002F1C7B">
            <w:pPr>
              <w:spacing w:before="240" w:after="2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3D9F">
              <w:rPr>
                <w:rFonts w:ascii="Times New Roman" w:eastAsia="Times New Roman" w:hAnsi="Times New Roman"/>
                <w:sz w:val="28"/>
                <w:szCs w:val="28"/>
              </w:rPr>
              <w:t xml:space="preserve">Усього: </w:t>
            </w:r>
            <w:r w:rsidR="002F1C7B" w:rsidRPr="002F1C7B">
              <w:rPr>
                <w:rFonts w:ascii="Times New Roman" w:eastAsia="Times New Roman" w:hAnsi="Times New Roman"/>
                <w:sz w:val="28"/>
                <w:szCs w:val="28"/>
              </w:rPr>
              <w:t>557</w:t>
            </w:r>
            <w:r w:rsidRPr="00043D9F">
              <w:rPr>
                <w:rFonts w:ascii="Times New Roman" w:eastAsia="Times New Roman" w:hAnsi="Times New Roman"/>
                <w:sz w:val="28"/>
                <w:szCs w:val="28"/>
              </w:rPr>
              <w:t xml:space="preserve"> грн</w:t>
            </w:r>
          </w:p>
          <w:p w:rsidR="001270FD" w:rsidRDefault="001270FD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270FD" w:rsidRDefault="001270FD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270FD" w:rsidRDefault="001270F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1270FD" w:rsidRDefault="00043D9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Оцінка впливу на сферу інтересів громадян</w:t>
      </w:r>
    </w:p>
    <w:tbl>
      <w:tblPr>
        <w:tblStyle w:val="ae"/>
        <w:tblW w:w="96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6"/>
        <w:gridCol w:w="3886"/>
        <w:gridCol w:w="3244"/>
      </w:tblGrid>
      <w:tr w:rsidR="001270FD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Вигоди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</w:p>
        </w:tc>
      </w:tr>
      <w:tr w:rsidR="001270FD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Альтернатива 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 w:rsidP="002F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Відсутні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 w:rsidP="002F1C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Додаткові витрати відсутні</w:t>
            </w:r>
          </w:p>
        </w:tc>
      </w:tr>
      <w:tr w:rsidR="001270FD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Альтернатива 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 w:rsidP="002F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Відсутні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 w:rsidP="002F1C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Додаткові витрати відсутні</w:t>
            </w:r>
          </w:p>
        </w:tc>
      </w:tr>
    </w:tbl>
    <w:p w:rsidR="001270FD" w:rsidRDefault="001270F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270FD" w:rsidRDefault="00043D9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Оцінка впливу на сферу інтересів суб’єктів господарювання</w:t>
      </w:r>
    </w:p>
    <w:p w:rsidR="001270FD" w:rsidRDefault="00043D9F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Передбачається, що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поширюється на суб’єктів господарювання, які здійснюють освітню діяльність, а саме заклади професійної (професійно-технічної), фахової передвищої, вищої освіти та освіти дорослих, в тому числі післядипломної освіти, кількість яких складає 1819 одиниць.</w:t>
      </w:r>
    </w:p>
    <w:tbl>
      <w:tblPr>
        <w:tblStyle w:val="a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5"/>
        <w:gridCol w:w="1471"/>
        <w:gridCol w:w="1507"/>
        <w:gridCol w:w="1445"/>
        <w:gridCol w:w="1452"/>
        <w:gridCol w:w="1498"/>
      </w:tblGrid>
      <w:tr w:rsidR="001270FD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Показник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Великі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Середні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Малі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Мікро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Разом</w:t>
            </w:r>
          </w:p>
        </w:tc>
      </w:tr>
      <w:tr w:rsidR="001270FD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276"/>
              </w:tabs>
              <w:spacing w:after="0" w:line="240" w:lineRule="auto"/>
              <w:ind w:firstLine="3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276"/>
              </w:tabs>
              <w:spacing w:after="0" w:line="240" w:lineRule="auto"/>
              <w:ind w:firstLine="3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276"/>
              </w:tabs>
              <w:spacing w:after="0" w:line="240" w:lineRule="auto"/>
              <w:ind w:firstLine="3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276"/>
              </w:tabs>
              <w:spacing w:after="0" w:line="240" w:lineRule="auto"/>
              <w:ind w:firstLine="3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276"/>
              </w:tabs>
              <w:spacing w:after="0" w:line="240" w:lineRule="auto"/>
              <w:ind w:firstLine="3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1819</w:t>
            </w:r>
          </w:p>
        </w:tc>
      </w:tr>
      <w:tr w:rsidR="001270FD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Питома вага групи в загальній кількості, відсотків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276"/>
              </w:tabs>
              <w:spacing w:after="0" w:line="240" w:lineRule="auto"/>
              <w:ind w:firstLine="3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8,2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%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276"/>
              </w:tabs>
              <w:spacing w:after="0" w:line="240" w:lineRule="auto"/>
              <w:ind w:firstLine="3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54,5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276"/>
              </w:tabs>
              <w:spacing w:after="0" w:line="240" w:lineRule="auto"/>
              <w:ind w:firstLine="3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37,3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276"/>
              </w:tabs>
              <w:spacing w:after="0" w:line="240" w:lineRule="auto"/>
              <w:ind w:firstLine="3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0 %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276"/>
              </w:tabs>
              <w:spacing w:after="0" w:line="240" w:lineRule="auto"/>
              <w:ind w:firstLine="3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1270FD" w:rsidRDefault="001270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1270FD" w:rsidRDefault="001270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f0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3"/>
        <w:gridCol w:w="3986"/>
        <w:gridCol w:w="3210"/>
      </w:tblGrid>
      <w:tr w:rsidR="001270FD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Вигоди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Витрати</w:t>
            </w:r>
          </w:p>
        </w:tc>
      </w:tr>
      <w:tr w:rsidR="001270FD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Альтернатива 1</w:t>
            </w:r>
          </w:p>
          <w:p w:rsidR="001270FD" w:rsidRDefault="001270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Відсутні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еможливість ефективно організувати роботу суб’єктів освітньої діяльності в частині визначення функцій і завдань ЄДЕБО та порядку її ведення</w:t>
            </w:r>
          </w:p>
        </w:tc>
      </w:tr>
      <w:tr w:rsidR="001270FD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Альтернатива 2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Суб’єкти освітньої діяльності отримають чіткі та зрозумілі уявлення в частині своїх прав і обов’язків в ЄДЕБО та порядку її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ведення, що вплине на ефективність здійснення освітньої діяльності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 w:rsidP="00694504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Ознайомлення із текстом Положення:</w:t>
            </w:r>
          </w:p>
          <w:p w:rsidR="001270FD" w:rsidRDefault="00043D9F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 год х 108,63 грн/год х 1819 закладів = 197 597,97 грн</w:t>
            </w:r>
          </w:p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Витрати включаються до заробітної плати працівників, які здійснюють відповідну діяльність у межах виконання своїх посадових обов’язків.</w:t>
            </w:r>
          </w:p>
        </w:tc>
      </w:tr>
    </w:tbl>
    <w:p w:rsidR="001270FD" w:rsidRDefault="001270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270FD" w:rsidRDefault="001270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f1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1270F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Сумарні витрати за альтернативами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Сума витрат, гривень</w:t>
            </w:r>
          </w:p>
        </w:tc>
      </w:tr>
      <w:tr w:rsidR="001270F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Альтернатива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2F1C7B" w:rsidP="002F1C7B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C7B">
              <w:rPr>
                <w:rFonts w:ascii="Times New Roman" w:eastAsia="Times New Roman" w:hAnsi="Times New Roman"/>
                <w:sz w:val="28"/>
                <w:szCs w:val="28"/>
              </w:rPr>
              <w:t>139 250</w:t>
            </w:r>
            <w:r w:rsidR="00043D9F">
              <w:rPr>
                <w:rFonts w:ascii="Times New Roman" w:eastAsia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1270FD">
        <w:trPr>
          <w:trHeight w:val="30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Альтернатива 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 w:rsidP="002F1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9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197 597,97 грн </w:t>
            </w:r>
            <w:r w:rsidRPr="00043D9F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="002F1C7B">
              <w:rPr>
                <w:rFonts w:ascii="Times New Roman" w:eastAsia="Times New Roman" w:hAnsi="Times New Roman"/>
                <w:sz w:val="28"/>
                <w:szCs w:val="28"/>
              </w:rPr>
              <w:t xml:space="preserve">557 </w:t>
            </w:r>
            <w:r w:rsidRPr="00043D9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= </w:t>
            </w:r>
            <w:r w:rsidR="002F1C7B" w:rsidRPr="002F1C7B">
              <w:rPr>
                <w:rFonts w:ascii="Times New Roman" w:eastAsia="Times New Roman" w:hAnsi="Times New Roman"/>
                <w:sz w:val="28"/>
                <w:szCs w:val="28"/>
              </w:rPr>
              <w:t>198 154,97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грн</w:t>
            </w:r>
          </w:p>
        </w:tc>
      </w:tr>
    </w:tbl>
    <w:p w:rsidR="001270FD" w:rsidRDefault="00127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270FD" w:rsidRDefault="00043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IV. Вибір найбільш оптимального альтернативного способу досягнення цілей</w:t>
      </w:r>
    </w:p>
    <w:p w:rsidR="001270FD" w:rsidRDefault="00043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Здійснити вибір оптимального альтернативного способу з урахуванням системи бальної оцінки ступеня досягнення визначених цілей.</w:t>
      </w:r>
    </w:p>
    <w:p w:rsidR="001270FD" w:rsidRDefault="00043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Вартість балів визначається за чотирибальною системою оцінки ступеня досягнення визначених цілей, де:</w:t>
      </w:r>
    </w:p>
    <w:p w:rsidR="001270FD" w:rsidRDefault="00043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 – цілі прийняття регуляторного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які можуть бути досягнуті повною мірою (проблема більше існувати не буде);</w:t>
      </w:r>
    </w:p>
    <w:p w:rsidR="001270FD" w:rsidRDefault="00043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 – цілі прийняття регуляторного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які можуть бути досягнуті майже  повною мірою (всі важливі аспекти проблеми існувати не будуть);</w:t>
      </w:r>
    </w:p>
    <w:p w:rsidR="001270FD" w:rsidRDefault="00043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 – цілі прийняття регуляторного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1270FD" w:rsidRDefault="00043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 – цілі прийняття регуляторного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які не можуть бути досягнуті (проблема продовжує існувати).</w:t>
      </w:r>
    </w:p>
    <w:p w:rsidR="001270FD" w:rsidRDefault="00127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f2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1"/>
        <w:gridCol w:w="2342"/>
        <w:gridCol w:w="4676"/>
      </w:tblGrid>
      <w:tr w:rsidR="001270FD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Бал результативності (за чотирибальною системою оцінки)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Коментарі щодо присвоєння відповідного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бала</w:t>
            </w:r>
            <w:proofErr w:type="spellEnd"/>
          </w:p>
        </w:tc>
      </w:tr>
      <w:tr w:rsidR="001270FD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Альтернатива 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Мінімальний бал, який показує неможливість досягнення цілей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державного регулювання альтернативним способом.</w:t>
            </w:r>
          </w:p>
        </w:tc>
      </w:tr>
      <w:tr w:rsidR="001270FD"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Альтернатива 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Високий бал. Зазначений спосіб повною мірою забезпечує досягнення поставлених цілей.</w:t>
            </w:r>
          </w:p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Запропонований спосіб вирішення зазначеної проблеми є найбільш доцільним, оскільки прийняття запропонованого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забезпечує можливість привести у відповідність із вимогами законодавства функціонування ЄДЕБО та змогу забезпечувати доступ до реєстрів освітньої діяльності засобами інтегрованої інформаційної системи.</w:t>
            </w:r>
          </w:p>
        </w:tc>
      </w:tr>
    </w:tbl>
    <w:p w:rsidR="001270FD" w:rsidRDefault="00043D9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1270FD" w:rsidRDefault="001270F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f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8"/>
        <w:gridCol w:w="2041"/>
        <w:gridCol w:w="2069"/>
        <w:gridCol w:w="3441"/>
      </w:tblGrid>
      <w:tr w:rsidR="001270FD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Рейтинг результативності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Вигоди (підсумок)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Витрати (підсумок)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Обґрунтування відповідного місця альтернативи в рейтингу</w:t>
            </w:r>
          </w:p>
        </w:tc>
      </w:tr>
      <w:tr w:rsidR="001270FD" w:rsidTr="00043D9F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Альтернатива 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 разі залишення наявної на сьогодні ситуації без змін, вигоди для держави, громадян і суб’єктів господарювання відсутні. 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1270FD" w:rsidRPr="00043D9F" w:rsidRDefault="002F1C7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C7B">
              <w:rPr>
                <w:rFonts w:ascii="Times New Roman" w:eastAsia="Times New Roman" w:hAnsi="Times New Roman"/>
                <w:sz w:val="28"/>
                <w:szCs w:val="28"/>
              </w:rPr>
              <w:t>139 250</w:t>
            </w:r>
            <w:r w:rsidR="00043D9F" w:rsidRPr="00043D9F">
              <w:rPr>
                <w:rFonts w:ascii="Times New Roman" w:eastAsia="Times New Roman" w:hAnsi="Times New Roman"/>
                <w:sz w:val="28"/>
                <w:szCs w:val="28"/>
              </w:rPr>
              <w:t xml:space="preserve"> грн на рік</w:t>
            </w:r>
          </w:p>
          <w:p w:rsidR="001270FD" w:rsidRPr="00043D9F" w:rsidRDefault="00043D9F">
            <w:pPr>
              <w:spacing w:after="0" w:line="240" w:lineRule="auto"/>
              <w:ind w:left="-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3D9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Залишення ситуації, яка існує на сьогодні, 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виконує норм закону та лишає недостатньо врегульованим питання визначення завдань і функцій інтегрованої інформаційної системи.</w:t>
            </w:r>
          </w:p>
        </w:tc>
      </w:tr>
      <w:tr w:rsidR="001270FD" w:rsidTr="00043D9F"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Альтернатива 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Прийняття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забезпечить виконання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норм закону.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Pr="00043D9F" w:rsidRDefault="002F1C7B">
            <w:pPr>
              <w:spacing w:line="240" w:lineRule="auto"/>
              <w:ind w:left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C7B">
              <w:rPr>
                <w:rFonts w:ascii="Times New Roman" w:eastAsia="Times New Roman" w:hAnsi="Times New Roman"/>
                <w:sz w:val="28"/>
                <w:szCs w:val="28"/>
              </w:rPr>
              <w:t xml:space="preserve">198 154,97 </w:t>
            </w:r>
            <w:r w:rsidR="00043D9F" w:rsidRPr="00043D9F">
              <w:rPr>
                <w:rFonts w:ascii="Times New Roman" w:eastAsia="Times New Roman" w:hAnsi="Times New Roman"/>
                <w:sz w:val="28"/>
                <w:szCs w:val="28"/>
              </w:rPr>
              <w:t>грн всього</w:t>
            </w:r>
          </w:p>
          <w:p w:rsidR="001270FD" w:rsidRPr="00043D9F" w:rsidRDefault="001270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Повністю вирішує проблему. Прийняття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забезпечить правове регулювання господарських відносин, що виникають у процесі управління сферою професійної (професійно-технічної), фахової передвищої, вищої освіти та освіти дорослих, в тому числі післядипломної освіти.</w:t>
            </w:r>
          </w:p>
        </w:tc>
      </w:tr>
    </w:tbl>
    <w:p w:rsidR="001270FD" w:rsidRDefault="001270F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f4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6"/>
        <w:gridCol w:w="4368"/>
        <w:gridCol w:w="3025"/>
      </w:tblGrid>
      <w:tr w:rsidR="001270FD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Рейтинг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акта</w:t>
            </w:r>
            <w:proofErr w:type="spellEnd"/>
          </w:p>
        </w:tc>
      </w:tr>
      <w:tr w:rsidR="001270FD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Альтернатива 1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Залишення наявної на сьогодні ситуації без змін не забезпечить виконання норми закону, залишить правову невизначеність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Вплив зовнішніх факторів на дію регуляторного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не очікується.</w:t>
            </w:r>
          </w:p>
        </w:tc>
      </w:tr>
      <w:tr w:rsidR="001270FD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Альтернатива 2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Прийняття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забезпечить виконання норми закону та визначить основні засади функціонування ЄДЕБО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Вплив зовнішніх факторів на дію регуляторного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не очікується.</w:t>
            </w:r>
          </w:p>
        </w:tc>
      </w:tr>
    </w:tbl>
    <w:p w:rsidR="001270FD" w:rsidRDefault="00043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Враховуючи вищенаведені позитивні та негативні сторони альтернативних способів досягнення мети, доцільно прийняти запропонований альтернативою 2 регуляторний акт.</w:t>
      </w:r>
    </w:p>
    <w:p w:rsidR="001270FD" w:rsidRDefault="00043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Негативних наслідків від прийняття регуляторного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не очікується.</w:t>
      </w:r>
    </w:p>
    <w:p w:rsidR="001270FD" w:rsidRDefault="001270F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270FD" w:rsidRDefault="00043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V. Механізми та заходи, які забезпечать розв’язання визначеної проблеми</w:t>
      </w:r>
    </w:p>
    <w:p w:rsidR="001270FD" w:rsidRDefault="00043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вирішення проблем, визначених у розділі першому, і досягнення цілей, визначених у розділі другому цього аналізу регуляторного впливу,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проєктом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передбачено механізм розв’язання проблеми шляхом його прийняття. </w:t>
      </w:r>
    </w:p>
    <w:p w:rsidR="001270FD" w:rsidRDefault="00043D9F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Проєктом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пропонується затвердити Положення про Єдину державну електронну базу з питань освіти, порядок її ведення, яким, зокрема, будуть визначені основні засади функціонування ЄДЕБО; буде встановлена єдина процедура суб’єктів ЄДЕБО до реєстрів освітньої діяльності; будуть визначені повноваження суб’єктів ЄДЕБО; будуть визначені визначення функції та завдання ЄДЕБО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270FD" w:rsidRDefault="00127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270FD" w:rsidRDefault="00043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VI. Оцінка виконання вимог регуляторного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1270FD" w:rsidRDefault="00043D9F">
      <w:pPr>
        <w:spacing w:before="240" w:after="24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Від впровадження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регуляторного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негативних наслідків не очікується.</w:t>
      </w:r>
    </w:p>
    <w:p w:rsidR="001270FD" w:rsidRDefault="00043D9F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Реалізація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регуляторного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не потребує додаткових витрат з державного бюджету України, тому розрахунок бюджетних витрат не здійснювався.</w:t>
      </w:r>
    </w:p>
    <w:p w:rsidR="001270FD" w:rsidRDefault="00127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270FD" w:rsidRDefault="00043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Враховуючи, що питома вага суб’єктів малого підприємництва в загальній кількості суб’єктів господарювання, на яких поширюється регулювання, перевищує 10 відсотків, здійснюється розрахунок витрат за запровадження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державного регулювання для суб’єктів малого підприємництва згідно з додатком 4 до Методики проведення аналізу впливу регуляторного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(Тест малого підприємництва).</w:t>
      </w:r>
    </w:p>
    <w:p w:rsidR="001270FD" w:rsidRDefault="00043D9F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Державне регулювання не передбачає утворення нового державного органу (або нового структурного підрозділу діючого органу), та не передбачає збільшення граничної чисельності працівників закладів освіти.</w:t>
      </w:r>
    </w:p>
    <w:p w:rsidR="001270FD" w:rsidRDefault="00127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270FD" w:rsidRDefault="00043D9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ТЕСТ</w:t>
      </w:r>
    </w:p>
    <w:p w:rsidR="001270FD" w:rsidRDefault="00043D9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малого підприємництва (М-Тест)</w:t>
      </w:r>
    </w:p>
    <w:p w:rsidR="001270FD" w:rsidRDefault="00043D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Консультації з представниками мікро- та малого підприємництва щодо оцінки впливу регулювання.</w:t>
      </w:r>
    </w:p>
    <w:p w:rsidR="001270FD" w:rsidRDefault="00043D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30 листопада 2024 року по 31 січня 2025 року.</w:t>
      </w:r>
    </w:p>
    <w:p w:rsidR="001270FD" w:rsidRDefault="001270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f5"/>
        <w:tblW w:w="96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2"/>
        <w:gridCol w:w="2971"/>
        <w:gridCol w:w="1956"/>
        <w:gridCol w:w="3197"/>
      </w:tblGrid>
      <w:tr w:rsidR="001270FD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Порядковий номер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Кількість учасників консультацій, осіб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Основні результати консультацій (опис)</w:t>
            </w:r>
          </w:p>
        </w:tc>
      </w:tr>
      <w:tr w:rsidR="001270FD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Онлайн-консультації із суб’єктами господарювання,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підключені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 ЄДЕБО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 результатами обговорення не було подано пропозицій</w:t>
            </w:r>
          </w:p>
        </w:tc>
      </w:tr>
      <w:tr w:rsidR="001270FD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обговорено  з експертами директорату фахової передвищої, вищої освіти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 результатами обговорення всі пропозиції та зауваження щодо проекту було проаналізовано та враховано.</w:t>
            </w:r>
          </w:p>
        </w:tc>
      </w:tr>
      <w:tr w:rsidR="001270FD"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Проєкт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обговорено  з фахівцями Національного агентства із забезпечення якості вищої освіти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ind w:firstLine="5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 результатами обговорення всі пропозиції та зауваження щодо проєкту було проаналізовано та враховано.</w:t>
            </w:r>
          </w:p>
        </w:tc>
      </w:tr>
    </w:tbl>
    <w:p w:rsidR="001270FD" w:rsidRDefault="001270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bookmark=id.2bn6wsx" w:colFirst="0" w:colLast="0"/>
      <w:bookmarkStart w:id="2" w:name="bookmark=id.3whwml4" w:colFirst="0" w:colLast="0"/>
      <w:bookmarkEnd w:id="1"/>
      <w:bookmarkEnd w:id="2"/>
    </w:p>
    <w:p w:rsidR="001270FD" w:rsidRDefault="00043D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2. Вимірювання впливу регулювання на суб’єктів малого підприємництва (мікро – та малі):</w:t>
      </w:r>
    </w:p>
    <w:p w:rsidR="001270FD" w:rsidRDefault="00043D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кількість суб’єктів малого підприємництва, на яких поширюється регулювання: 678 (одиниць), у тому числі малого підприємництва 678 (одиниць) 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мікропідприємництва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0 (одиниць);</w:t>
      </w:r>
    </w:p>
    <w:p w:rsidR="001270FD" w:rsidRDefault="00043D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питома вага суб’єктів малого підприємництва в загальній кількості суб’єктів господарювання, на яких проблема справляє вплив 37,3 % (відсотків).</w:t>
      </w:r>
    </w:p>
    <w:p w:rsidR="001270FD" w:rsidRDefault="00043D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3. Розрахунок витрат суб’єктів малого підприємництва на виконання вимог регулювання</w:t>
      </w:r>
    </w:p>
    <w:tbl>
      <w:tblPr>
        <w:tblStyle w:val="af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3450"/>
        <w:gridCol w:w="1740"/>
        <w:gridCol w:w="1400"/>
        <w:gridCol w:w="1701"/>
      </w:tblGrid>
      <w:tr w:rsidR="001270FD" w:rsidTr="002F1C7B">
        <w:trPr>
          <w:trHeight w:val="15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Порядковий номер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Найменування оцінки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 перший рік (стартовий рік впровадження регулювання)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Періодичні (за наступний рік)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Витрати за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п’ять років</w:t>
            </w:r>
          </w:p>
        </w:tc>
      </w:tr>
      <w:tr w:rsidR="001270FD" w:rsidTr="002F1C7B">
        <w:trPr>
          <w:trHeight w:val="253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Оцінка «прямих» витрат суб’єктів малого підприємництва на </w:t>
            </w:r>
          </w:p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виконання регулювання</w:t>
            </w:r>
          </w:p>
        </w:tc>
      </w:tr>
      <w:tr w:rsidR="001270FD" w:rsidTr="002F1C7B">
        <w:trPr>
          <w:trHeight w:val="685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Формула: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кількість необхідних одиниць обладнання Х вартість одиниці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1270FD" w:rsidTr="002F1C7B">
        <w:trPr>
          <w:trHeight w:val="1972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Процедури експлуатації обладнання (експлуатаційні витрати – витратні матеріали)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Формула: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оцінка витрат на експлуатацію обладнання (витратні матеріали та ресурси на одиницю обладнання на рік) Х кількість необхідних одиниць обладнання одному суб’єкту малого підприємництва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1270FD" w:rsidTr="002F1C7B">
        <w:trPr>
          <w:trHeight w:val="1972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Процедури обслуговування обладнання (технічне обслуговування)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Формула: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оцінка вартості процедури обслуговування обладнання (на одиницю обладнання) Х  кількість процедур  технічного обслуговування на рік на одиницю обладнання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Х  кількість необхідних одиниць обладнання одному суб’єкту малого підприємництва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1270FD" w:rsidTr="002F1C7B">
        <w:trPr>
          <w:trHeight w:val="15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Підтвердження відповідності комплексної системи захисту інформації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1270FD" w:rsidTr="002F1C7B">
        <w:trPr>
          <w:trHeight w:val="672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Разом, гривень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Формула: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(сума рядків 1 + 2 + 3 + 4 + 5)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1270FD" w:rsidTr="002F1C7B">
        <w:trPr>
          <w:trHeight w:val="15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4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673</w:t>
            </w:r>
          </w:p>
        </w:tc>
      </w:tr>
      <w:tr w:rsidR="001270FD" w:rsidTr="002F1C7B">
        <w:trPr>
          <w:trHeight w:val="15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Сумарно, гривень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Формула: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відповідний стовпчик «разом» Х 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1270FD" w:rsidTr="002F1C7B">
        <w:trPr>
          <w:trHeight w:val="558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1270FD" w:rsidTr="002F1C7B">
        <w:trPr>
          <w:trHeight w:val="15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Процедури отримання первинної інформації про вимоги регулювання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Формула: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витрати часу на отримання інформації про регулювання, отримання необхідних форм та заявок 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108,63 грн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108,63 грн</w:t>
            </w:r>
          </w:p>
        </w:tc>
      </w:tr>
      <w:tr w:rsidR="001270FD" w:rsidTr="002F1C7B">
        <w:trPr>
          <w:trHeight w:val="15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Процедури організації виконання вимог регулювання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Формула: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1270FD" w:rsidTr="002F1C7B">
        <w:trPr>
          <w:trHeight w:val="34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Інші процедури (уточнити): канцтовари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1270FD" w:rsidTr="002F1C7B">
        <w:trPr>
          <w:trHeight w:val="15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Разом, гривень</w:t>
            </w:r>
          </w:p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Формула: </w:t>
            </w:r>
          </w:p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(сума рядків 9 + 10 + 11 + 12 + 13)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108,63 грн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108,63 грн </w:t>
            </w:r>
          </w:p>
        </w:tc>
      </w:tr>
      <w:tr w:rsidR="001270FD" w:rsidTr="002F1C7B">
        <w:trPr>
          <w:trHeight w:val="15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673</w:t>
            </w:r>
          </w:p>
        </w:tc>
      </w:tr>
      <w:tr w:rsidR="001270FD" w:rsidTr="002F1C7B">
        <w:trPr>
          <w:trHeight w:val="15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Сумарно, гривень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Формула: відповідний стовпчик “разом” Х кількість суб’єктів малого підприємництва, що повинні виконати вимоги регулювання (рядок 14 Х рядок 15)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 w:rsidP="002F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</w:t>
            </w:r>
            <w:r w:rsidR="002F1C7B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107,99 грн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 w:rsidP="002F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</w:t>
            </w:r>
            <w:r w:rsidR="002F1C7B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107,99 грн</w:t>
            </w:r>
          </w:p>
        </w:tc>
      </w:tr>
    </w:tbl>
    <w:p w:rsidR="001270FD" w:rsidRDefault="001270F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270FD" w:rsidRDefault="00043D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Бюджетні витрати на адміністрування регулювання суб’єктів малого підприємництва.</w:t>
      </w:r>
    </w:p>
    <w:p w:rsidR="001270FD" w:rsidRDefault="00043D9F">
      <w:pPr>
        <w:spacing w:before="240" w:after="24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1270FD" w:rsidRDefault="00043D9F">
      <w:pPr>
        <w:spacing w:before="240" w:after="24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Державний орган, для якого здійснюється розрахунок вартості адміністрування регулювання: Міністерство освіти і науки України </w:t>
      </w:r>
    </w:p>
    <w:tbl>
      <w:tblPr>
        <w:tblStyle w:val="af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1"/>
        <w:gridCol w:w="1143"/>
        <w:gridCol w:w="1494"/>
        <w:gridCol w:w="1295"/>
        <w:gridCol w:w="2122"/>
        <w:gridCol w:w="1753"/>
      </w:tblGrid>
      <w:tr w:rsidR="001270FD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Процедура регулювання суб’єктів малого підприємницт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ва (розрахунок на одного типового суб’єкта господарювання малого підприємництва – за потреби окремо для суб’єктів малого та мікро-підприємництва)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Планові витрати часу на процедуру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Вартість часу співробітника органу державної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влади відповідної категорії (заробітна плата)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Оцінка кількості процедур за рік, що припадаю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ть на одного суб’єкта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Оцінка кількості  суб’єктів, що підпадають під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дію процедури регулювання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Витрати на адміністрування регулювання*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(за рік), гривень</w:t>
            </w:r>
          </w:p>
        </w:tc>
      </w:tr>
      <w:tr w:rsidR="001270FD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 Облік суб’єкта господарювання, що перебуває у сфері регулювання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1270FD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1270FD">
        <w:trPr>
          <w:trHeight w:val="321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камеральні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1270FD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виїзні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1270FD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3. Підготовка, затвердження та опрацювання одного окремого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акта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 порушення вимог регулювання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1270FD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4. Реалізація одного окремого рішення щодо порушення вимог регулювання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1270FD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5. Оскарження одного окремого рішення суб’єктами господарювання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</w:tr>
      <w:tr w:rsidR="001270FD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 Підготовка звітності за результатами регулювання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</w:tr>
      <w:tr w:rsidR="001270FD">
        <w:trPr>
          <w:trHeight w:val="2957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7. Інші адміністративні процедури (уточнити):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ознайомлення суб’єкта господарювання  з вимогами регулювання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2F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C7B">
              <w:rPr>
                <w:rFonts w:ascii="Times New Roman" w:eastAsia="Times New Roman" w:hAnsi="Times New Roman"/>
                <w:sz w:val="28"/>
                <w:szCs w:val="28"/>
              </w:rPr>
              <w:t>278,5</w:t>
            </w:r>
            <w:r w:rsidR="00043D9F">
              <w:rPr>
                <w:rFonts w:ascii="Times New Roman" w:eastAsia="Times New Roman" w:hAnsi="Times New Roman"/>
                <w:sz w:val="28"/>
                <w:szCs w:val="28"/>
              </w:rPr>
              <w:t xml:space="preserve"> грн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(онлайн нарада для всіх суб’єктів та публікація)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2F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557</w:t>
            </w:r>
            <w:r w:rsidR="00043D9F">
              <w:rPr>
                <w:rFonts w:ascii="Times New Roman" w:eastAsia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1270FD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Разом за рік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2F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C7B">
              <w:rPr>
                <w:rFonts w:ascii="Times New Roman" w:eastAsia="Times New Roman" w:hAnsi="Times New Roman"/>
                <w:sz w:val="28"/>
                <w:szCs w:val="28"/>
              </w:rPr>
              <w:t>278,5</w:t>
            </w:r>
            <w:r w:rsidR="00043D9F">
              <w:rPr>
                <w:rFonts w:ascii="Times New Roman" w:eastAsia="Times New Roman" w:hAnsi="Times New Roman"/>
                <w:sz w:val="28"/>
                <w:szCs w:val="28"/>
              </w:rPr>
              <w:t xml:space="preserve"> грн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2F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557</w:t>
            </w:r>
            <w:r w:rsidR="00043D9F">
              <w:rPr>
                <w:rFonts w:ascii="Times New Roman" w:eastAsia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1270FD"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Сумарно за п’ять років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2F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1C7B">
              <w:rPr>
                <w:rFonts w:ascii="Times New Roman" w:eastAsia="Times New Roman" w:hAnsi="Times New Roman"/>
                <w:sz w:val="28"/>
                <w:szCs w:val="28"/>
              </w:rPr>
              <w:t>278,5</w:t>
            </w:r>
            <w:r w:rsidR="00043D9F">
              <w:rPr>
                <w:rFonts w:ascii="Times New Roman" w:eastAsia="Times New Roman" w:hAnsi="Times New Roman"/>
                <w:sz w:val="28"/>
                <w:szCs w:val="28"/>
              </w:rPr>
              <w:t xml:space="preserve"> грн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ind w:left="-60" w:right="-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70FD" w:rsidRDefault="002F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557</w:t>
            </w:r>
            <w:r w:rsidR="00043D9F">
              <w:rPr>
                <w:rFonts w:ascii="Times New Roman" w:eastAsia="Times New Roman" w:hAnsi="Times New Roman"/>
                <w:sz w:val="28"/>
                <w:szCs w:val="28"/>
              </w:rPr>
              <w:t xml:space="preserve"> грн</w:t>
            </w:r>
          </w:p>
        </w:tc>
      </w:tr>
    </w:tbl>
    <w:p w:rsidR="001270FD" w:rsidRDefault="00127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1270FD" w:rsidRDefault="00043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Розроблення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корегуючих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(пом’якшувальних) заходів для малого підприємництва щодо запропонованого регулювання.</w:t>
      </w:r>
    </w:p>
    <w:p w:rsidR="001270FD" w:rsidRDefault="00043D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Запропоноване регулювання планується без розроблення компенсаторів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корегуючих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(пом’якшувальних) заходів) для малого підприємництва.</w:t>
      </w:r>
    </w:p>
    <w:p w:rsidR="001270FD" w:rsidRDefault="001270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f8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4385"/>
        <w:gridCol w:w="2360"/>
        <w:gridCol w:w="2290"/>
      </w:tblGrid>
      <w:tr w:rsidR="001270F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Показник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Перший рік регулювання (стартовий)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 п’ять років</w:t>
            </w:r>
          </w:p>
        </w:tc>
      </w:tr>
      <w:tr w:rsidR="001270F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1270F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Оцінка вартості адміністративних процедур для суб’єктів малого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підприємництва щодо виконання регулювання та звітування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 w:rsidP="00694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73</w:t>
            </w:r>
            <w:r w:rsidR="0069450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107,99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 w:rsidP="00694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</w:t>
            </w:r>
            <w:r w:rsidR="0069450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107,99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грн</w:t>
            </w:r>
          </w:p>
        </w:tc>
      </w:tr>
      <w:tr w:rsidR="001270F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 w:rsidP="00694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</w:t>
            </w:r>
            <w:r w:rsidR="0069450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107,99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 w:rsidP="00694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</w:t>
            </w:r>
            <w:r w:rsidR="0069450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107,99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грн</w:t>
            </w:r>
          </w:p>
        </w:tc>
      </w:tr>
      <w:tr w:rsidR="001270F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Pr="00043D9F" w:rsidRDefault="00694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557</w:t>
            </w:r>
            <w:r w:rsidR="00043D9F" w:rsidRPr="00043D9F">
              <w:rPr>
                <w:rFonts w:ascii="Times New Roman" w:eastAsia="Times New Roman" w:hAnsi="Times New Roman"/>
                <w:sz w:val="28"/>
                <w:szCs w:val="28"/>
              </w:rPr>
              <w:t xml:space="preserve"> грн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Pr="00043D9F" w:rsidRDefault="00694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557</w:t>
            </w:r>
            <w:r w:rsidR="00043D9F" w:rsidRPr="00043D9F">
              <w:rPr>
                <w:rFonts w:ascii="Times New Roman" w:eastAsia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1270F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Default="00043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Сумарні витрати на виконання запланованого регулювання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Pr="00043D9F" w:rsidRDefault="00694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4504">
              <w:rPr>
                <w:rFonts w:ascii="Times New Roman" w:eastAsia="Times New Roman" w:hAnsi="Times New Roman"/>
                <w:sz w:val="28"/>
                <w:szCs w:val="28"/>
              </w:rPr>
              <w:t>73 664,99</w:t>
            </w:r>
            <w:r w:rsidR="00043D9F" w:rsidRPr="00043D9F">
              <w:rPr>
                <w:rFonts w:ascii="Times New Roman" w:eastAsia="Times New Roman" w:hAnsi="Times New Roman"/>
                <w:sz w:val="28"/>
                <w:szCs w:val="28"/>
              </w:rPr>
              <w:t xml:space="preserve"> грн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FD" w:rsidRPr="00043D9F" w:rsidRDefault="00694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4504">
              <w:rPr>
                <w:rFonts w:ascii="Times New Roman" w:eastAsia="Times New Roman" w:hAnsi="Times New Roman"/>
                <w:sz w:val="28"/>
                <w:szCs w:val="28"/>
              </w:rPr>
              <w:t>73 664,99</w:t>
            </w:r>
            <w:r w:rsidR="00043D9F" w:rsidRPr="00043D9F">
              <w:rPr>
                <w:rFonts w:ascii="Times New Roman" w:eastAsia="Times New Roman" w:hAnsi="Times New Roman"/>
                <w:sz w:val="28"/>
                <w:szCs w:val="28"/>
              </w:rPr>
              <w:t xml:space="preserve"> грн</w:t>
            </w:r>
          </w:p>
        </w:tc>
      </w:tr>
    </w:tbl>
    <w:p w:rsidR="001270FD" w:rsidRDefault="001270FD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_heading=h.90yiy8s49id7" w:colFirst="0" w:colLast="0"/>
      <w:bookmarkEnd w:id="3"/>
    </w:p>
    <w:p w:rsidR="001270FD" w:rsidRDefault="00043D9F">
      <w:pPr>
        <w:spacing w:before="240" w:after="240"/>
        <w:ind w:firstLine="20"/>
        <w:jc w:val="both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sz w:val="28"/>
          <w:szCs w:val="28"/>
          <w:highlight w:val="white"/>
        </w:rPr>
        <w:t xml:space="preserve">VII. Обґрунтування запропонованого строку дії регуляторного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highlight w:val="white"/>
        </w:rPr>
        <w:t>акта</w:t>
      </w:r>
      <w:proofErr w:type="spellEnd"/>
    </w:p>
    <w:p w:rsidR="001270FD" w:rsidRDefault="00043D9F">
      <w:pPr>
        <w:spacing w:before="240" w:after="24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Строк дії регуляторного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не обмежується в часі, що дасть змогу досягти цілей державного регулювання.</w:t>
      </w:r>
    </w:p>
    <w:p w:rsidR="001270FD" w:rsidRDefault="00043D9F">
      <w:pPr>
        <w:spacing w:before="240" w:after="24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Зміна строку дії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можлива в разі зміни правових актів, на вимогах яких базується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регуляторного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1270FD" w:rsidRDefault="00043D9F">
      <w:pPr>
        <w:spacing w:before="240" w:after="24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Термін набрання чинності регуляторним актом – відповідно до законодавства з дня його офіційного оприлюднення.</w:t>
      </w:r>
    </w:p>
    <w:p w:rsidR="001270FD" w:rsidRDefault="00043D9F">
      <w:pPr>
        <w:spacing w:before="240" w:after="240"/>
        <w:jc w:val="both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sz w:val="28"/>
          <w:szCs w:val="28"/>
          <w:highlight w:val="white"/>
        </w:rPr>
        <w:t xml:space="preserve"> </w:t>
      </w:r>
    </w:p>
    <w:p w:rsidR="001270FD" w:rsidRDefault="00043D9F">
      <w:pPr>
        <w:spacing w:before="240" w:after="240"/>
        <w:ind w:firstLine="20"/>
        <w:jc w:val="both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sz w:val="28"/>
          <w:szCs w:val="28"/>
          <w:highlight w:val="white"/>
        </w:rPr>
        <w:t xml:space="preserve">VIII. Визначення показників результативності дії регуляторного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highlight w:val="white"/>
        </w:rPr>
        <w:t>акта</w:t>
      </w:r>
      <w:proofErr w:type="spellEnd"/>
    </w:p>
    <w:p w:rsidR="001270FD" w:rsidRDefault="00043D9F" w:rsidP="00043D9F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Дія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поширюється на суб'єктів освітньої діяльності.</w:t>
      </w:r>
    </w:p>
    <w:p w:rsidR="001270FD" w:rsidRDefault="00043D9F" w:rsidP="00043D9F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Прогнозними значеннями показників результативності регуляторного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є:</w:t>
      </w:r>
    </w:p>
    <w:p w:rsidR="001270FD" w:rsidRDefault="00043D9F" w:rsidP="00043D9F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кількість суб’єктів господарювання, на яких поширюватиметься дія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1270FD" w:rsidRDefault="00043D9F" w:rsidP="00043D9F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розмір коштів і час, що витрачатиметься суб’єктами господарювання на дії, пов’язані з виконанням вимог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1270FD" w:rsidRDefault="00043D9F" w:rsidP="00043D9F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розмір надходжень до державного і місцевого бюджетів, пов’язаних з дією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1270FD" w:rsidRDefault="00043D9F" w:rsidP="00043D9F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кількість підключених до ЄДЕБО суб’єктів освітньої діяльності.</w:t>
      </w:r>
    </w:p>
    <w:p w:rsidR="001270FD" w:rsidRDefault="00043D9F">
      <w:pPr>
        <w:spacing w:before="240" w:after="24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Рівень поінформованості суб’єктів господарювання та/або фізичних осіб з основних положень регуляторного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середній. Міністерством освіти і науки України забезпечується оприлюднення його у встановленому законодавством порядку, зокрема, на офіційному веб-сайті Міністерства освіти і науки (http://mon.gov.ua) у розділі «Регуляторна політика».</w:t>
      </w:r>
    </w:p>
    <w:p w:rsidR="001270FD" w:rsidRDefault="00043D9F">
      <w:pPr>
        <w:spacing w:before="240" w:after="24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270FD" w:rsidRDefault="00043D9F">
      <w:pPr>
        <w:spacing w:before="240" w:after="240"/>
        <w:ind w:firstLine="20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sz w:val="28"/>
          <w:szCs w:val="28"/>
          <w:highlight w:val="white"/>
        </w:rPr>
        <w:lastRenderedPageBreak/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highlight w:val="white"/>
        </w:rPr>
        <w:t>акта</w:t>
      </w:r>
      <w:proofErr w:type="spellEnd"/>
    </w:p>
    <w:p w:rsidR="001270FD" w:rsidRDefault="00043D9F">
      <w:pPr>
        <w:spacing w:before="240" w:after="240"/>
        <w:ind w:firstLine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Відстеження результативності дії регуляторного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буде проводитися за допомогою заходів, спрямованих на оцінку стану впровадження регуляторного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 визначення ефективності та доцільності впровадженого регулювання, шляхом аналізу статистичних показників.</w:t>
      </w:r>
    </w:p>
    <w:p w:rsidR="001270FD" w:rsidRDefault="00043D9F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Базове відстеження результативності регуляторного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буде здійснюватися після набрання чинності цим регуляторним актом, але не пізніше дня, з якого починається проведення повторного відстеження результативності цього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1270FD" w:rsidRDefault="00043D9F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Повторне відстеження результативності регуляторного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проводитиметься через три роки після набрання чинності цього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1270FD" w:rsidRDefault="00043D9F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Періодичне відстеження здійснюватиметься раз на три роки, починаючи з дня виконання заходів з повторного відстеження.</w:t>
      </w:r>
    </w:p>
    <w:p w:rsidR="001270FD" w:rsidRDefault="00043D9F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 разі виявлення неврегульованих та проблемних питань шляхом аналізу кількісних показників дії цього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питання будуть врегульовані шляхом внесення відповідних змін.</w:t>
      </w:r>
    </w:p>
    <w:p w:rsidR="001270FD" w:rsidRDefault="001270FD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</w:p>
    <w:p w:rsidR="001270FD" w:rsidRDefault="001270FD">
      <w:pPr>
        <w:spacing w:after="0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</w:p>
    <w:p w:rsidR="001270FD" w:rsidRDefault="00043D9F" w:rsidP="00043D9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Міністр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>Оксен ЛІСОВИЙ</w:t>
      </w:r>
    </w:p>
    <w:p w:rsidR="001270FD" w:rsidRDefault="00043D9F" w:rsidP="00043D9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270FD" w:rsidRDefault="00043D9F" w:rsidP="00043D9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«____» _____________ 2025 р.</w:t>
      </w:r>
    </w:p>
    <w:p w:rsidR="001270FD" w:rsidRDefault="001270FD">
      <w:pPr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_heading=h.147n2zr" w:colFirst="0" w:colLast="0"/>
      <w:bookmarkEnd w:id="4"/>
    </w:p>
    <w:sectPr w:rsidR="001270FD" w:rsidSect="00043D9F">
      <w:pgSz w:w="11906" w:h="16838"/>
      <w:pgMar w:top="709" w:right="850" w:bottom="1418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FD"/>
    <w:rsid w:val="00043D9F"/>
    <w:rsid w:val="001270FD"/>
    <w:rsid w:val="002F1C7B"/>
    <w:rsid w:val="00532DE7"/>
    <w:rsid w:val="0069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6194"/>
  <w15:docId w15:val="{4A1C3521-B21D-4B10-B40B-3F8BDB38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20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unhideWhenUsed/>
    <w:rsid w:val="00DB5D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DB5D77"/>
    <w:rPr>
      <w:rFonts w:ascii="Calibri" w:eastAsia="Calibri" w:hAnsi="Calibri" w:cs="Times New Roman"/>
    </w:rPr>
  </w:style>
  <w:style w:type="paragraph" w:customStyle="1" w:styleId="rvps21">
    <w:name w:val="rvps21"/>
    <w:basedOn w:val="a"/>
    <w:rsid w:val="00DB5D77"/>
    <w:pPr>
      <w:spacing w:after="125" w:line="240" w:lineRule="auto"/>
      <w:ind w:firstLine="376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DB5D77"/>
  </w:style>
  <w:style w:type="paragraph" w:styleId="a6">
    <w:name w:val="footer"/>
    <w:basedOn w:val="a"/>
    <w:link w:val="a7"/>
    <w:uiPriority w:val="99"/>
    <w:unhideWhenUsed/>
    <w:rsid w:val="00B30E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30EA7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30EA7"/>
    <w:pPr>
      <w:ind w:left="720"/>
      <w:contextualSpacing/>
    </w:pPr>
  </w:style>
  <w:style w:type="paragraph" w:styleId="a9">
    <w:name w:val="No Spacing"/>
    <w:uiPriority w:val="1"/>
    <w:qFormat/>
    <w:rsid w:val="0017540D"/>
    <w:pPr>
      <w:spacing w:after="0" w:line="240" w:lineRule="auto"/>
    </w:pPr>
    <w:rPr>
      <w:rFonts w:cs="Times New Roman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Zs9B/hzbSjykhe/+uk2TTVtDjQ==">CgMxLjAyCmlkLjJibjZ3c3gyCmlkLjN3aHdtbDQyDmguOTB5aXk4czQ5aWQ3MgloLjE0N24yenIyCWguMTQ3bjJ6cjIJaC4xNDduMnpyMgloLjE0N24yenIyCWguMTQ3bjJ6cjIJaC4xNDduMnpyMgloLjE0N24yenIyCWguMTQ3bjJ6cjIJaC4xNDduMnpyMgloLjE0N24yenIyCWguMTQ3bjJ6cjIJaC4xNDduMnpyMgloLjE0N24yenIyCWguMTQ3bjJ6cjIJaC4xNDduMnpyMgloLjE0N24yenIyCWguMTQ3bjJ6cjIJaC4xNDduMnpyMgloLjE0N24yenIyCWguMTQ3bjJ6cjIJaC4xNDduMnpyMgloLjE0N24yenIyCWguMTQ3bjJ6cjIJaC4xNDduMnpyMgloLjE0N24yenIyCWguMTQ3bjJ6cjgAciExVlB0Y25pdlE0SW5aYzJsbVlNdi1QNkpqUG9valdXN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13228</Words>
  <Characters>7540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 Олег Володимирович</dc:creator>
  <cp:lastModifiedBy>Далєвська Тетяна</cp:lastModifiedBy>
  <cp:revision>5</cp:revision>
  <dcterms:created xsi:type="dcterms:W3CDTF">2025-02-19T15:03:00Z</dcterms:created>
  <dcterms:modified xsi:type="dcterms:W3CDTF">2025-02-21T10:53:00Z</dcterms:modified>
</cp:coreProperties>
</file>