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8DE" w:rsidRP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АНАЛІЗ РЕГУЛЯТОРНОГО ВПЛИВУ</w:t>
      </w:r>
    </w:p>
    <w:p w:rsidR="009C0407" w:rsidRP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 xml:space="preserve">проєкту Закону України «Про внесення змін до деяких законів України </w:t>
      </w:r>
    </w:p>
    <w:p w:rsidR="009C0407" w:rsidRDefault="009C0407" w:rsidP="009C0407">
      <w:pPr>
        <w:spacing w:after="0"/>
        <w:jc w:val="center"/>
        <w:rPr>
          <w:rFonts w:ascii="Times New Roman" w:hAnsi="Times New Roman" w:cs="Times New Roman"/>
          <w:b/>
          <w:sz w:val="28"/>
          <w:szCs w:val="28"/>
        </w:rPr>
      </w:pPr>
      <w:r w:rsidRPr="009C0407">
        <w:rPr>
          <w:rFonts w:ascii="Times New Roman" w:hAnsi="Times New Roman" w:cs="Times New Roman"/>
          <w:b/>
          <w:sz w:val="28"/>
          <w:szCs w:val="28"/>
        </w:rPr>
        <w:t>(щодо створення передумов для модернізації мережі закладів освіти)»</w:t>
      </w:r>
    </w:p>
    <w:p w:rsidR="009C0407" w:rsidRDefault="009C0407" w:rsidP="009C0407">
      <w:pPr>
        <w:spacing w:after="0"/>
        <w:jc w:val="both"/>
        <w:rPr>
          <w:rFonts w:ascii="Times New Roman" w:hAnsi="Times New Roman" w:cs="Times New Roman"/>
          <w:b/>
          <w:sz w:val="28"/>
          <w:szCs w:val="28"/>
        </w:rPr>
      </w:pPr>
    </w:p>
    <w:p w:rsidR="009C0407" w:rsidRDefault="009C0407" w:rsidP="009C0407">
      <w:pPr>
        <w:spacing w:after="0"/>
        <w:jc w:val="center"/>
        <w:rPr>
          <w:rFonts w:ascii="Times New Roman" w:hAnsi="Times New Roman" w:cs="Times New Roman"/>
          <w:b/>
          <w:sz w:val="28"/>
          <w:szCs w:val="28"/>
        </w:rPr>
      </w:pPr>
      <w:r>
        <w:rPr>
          <w:rFonts w:ascii="Times New Roman" w:hAnsi="Times New Roman" w:cs="Times New Roman"/>
          <w:b/>
          <w:sz w:val="28"/>
          <w:szCs w:val="28"/>
        </w:rPr>
        <w:t>І. Визначення проблеми</w:t>
      </w:r>
    </w:p>
    <w:p w:rsidR="009C0407" w:rsidRPr="009C0407" w:rsidRDefault="009C0407" w:rsidP="009C0407">
      <w:pPr>
        <w:spacing w:after="0"/>
        <w:jc w:val="both"/>
        <w:rPr>
          <w:rFonts w:ascii="Times New Roman" w:hAnsi="Times New Roman" w:cs="Times New Roman"/>
          <w:sz w:val="28"/>
          <w:szCs w:val="28"/>
        </w:rPr>
      </w:pPr>
    </w:p>
    <w:p w:rsidR="00D240A6" w:rsidRPr="00796D25"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lang w:val="uk-UA"/>
        </w:rPr>
        <w:t xml:space="preserve">Мережа закладів вищої освіти в Україні є великою за кількістю закладів та широкою за географічним розташуванням </w:t>
      </w:r>
      <w:r w:rsidR="00BA6B78">
        <w:rPr>
          <w:rFonts w:ascii="Times New Roman" w:hAnsi="Times New Roman" w:cs="Times New Roman"/>
          <w:color w:val="000000" w:themeColor="text1"/>
          <w:sz w:val="28"/>
          <w:szCs w:val="28"/>
          <w:lang w:val="uk-UA"/>
        </w:rPr>
        <w:t>–</w:t>
      </w:r>
      <w:r w:rsidRPr="00796D25">
        <w:rPr>
          <w:rFonts w:ascii="Times New Roman" w:hAnsi="Times New Roman" w:cs="Times New Roman"/>
          <w:color w:val="000000" w:themeColor="text1"/>
          <w:sz w:val="28"/>
          <w:szCs w:val="28"/>
          <w:lang w:val="uk-UA"/>
        </w:rPr>
        <w:t xml:space="preserve"> без урахування відокремлених структурних підрозділів на початок повномасштабного вторгнення на 1 млн. населення припадало близько семи закладів вищої освіти </w:t>
      </w:r>
      <w:r w:rsidR="00BA6B78">
        <w:rPr>
          <w:rFonts w:ascii="Times New Roman" w:hAnsi="Times New Roman" w:cs="Times New Roman"/>
          <w:color w:val="000000" w:themeColor="text1"/>
          <w:sz w:val="28"/>
          <w:szCs w:val="28"/>
          <w:lang w:val="uk-UA"/>
        </w:rPr>
        <w:t>–</w:t>
      </w:r>
      <w:r w:rsidRPr="00796D25">
        <w:rPr>
          <w:rFonts w:ascii="Times New Roman" w:hAnsi="Times New Roman" w:cs="Times New Roman"/>
          <w:color w:val="000000" w:themeColor="text1"/>
          <w:sz w:val="28"/>
          <w:szCs w:val="28"/>
          <w:lang w:val="uk-UA"/>
        </w:rPr>
        <w:t xml:space="preserve"> університетів, академій та інститутів. Демографічні тенденції скорочення кількості вступників, починаючи з кінця нульових років, посилювали концентрацію здобувачів вищої освіти у невеликій кількості провідних закладів вищої освіти мм. Києва, Львова та Харкова. Проблема скорочення контингенту погіршувалася дублюванням напрямів підготовки, що призводило до розпорошення вступників серед закладів в межах одного невеликого міста, утворення неповних академічних груп та, відповідно, до перенавантаження </w:t>
      </w:r>
      <w:r w:rsidRPr="00796D25">
        <w:rPr>
          <w:rFonts w:ascii="Times New Roman" w:hAnsi="Times New Roman" w:cs="Times New Roman"/>
          <w:color w:val="000000" w:themeColor="text1"/>
          <w:sz w:val="28"/>
          <w:szCs w:val="28"/>
          <w:shd w:val="clear" w:color="auto" w:fill="FFFFFF"/>
          <w:lang w:val="uk-UA"/>
        </w:rPr>
        <w:t>наукового, науково-педагогічних та</w:t>
      </w:r>
      <w:r w:rsidRPr="00796D25">
        <w:rPr>
          <w:rFonts w:ascii="Times New Roman" w:hAnsi="Times New Roman" w:cs="Times New Roman"/>
          <w:color w:val="000000" w:themeColor="text1"/>
          <w:sz w:val="28"/>
          <w:szCs w:val="28"/>
          <w:shd w:val="clear" w:color="auto" w:fill="FFFFFF"/>
          <w:lang w:val="ru-RU"/>
        </w:rPr>
        <w:t xml:space="preserve"> </w:t>
      </w:r>
      <w:r w:rsidRPr="00796D25">
        <w:rPr>
          <w:rFonts w:ascii="Times New Roman" w:hAnsi="Times New Roman" w:cs="Times New Roman"/>
          <w:color w:val="000000" w:themeColor="text1"/>
          <w:sz w:val="28"/>
          <w:szCs w:val="28"/>
          <w:shd w:val="clear" w:color="auto" w:fill="FFFFFF"/>
          <w:lang w:val="uk-UA"/>
        </w:rPr>
        <w:t>педагогічних працівників. Обмежен</w:t>
      </w:r>
      <w:r>
        <w:rPr>
          <w:rFonts w:ascii="Times New Roman" w:hAnsi="Times New Roman" w:cs="Times New Roman"/>
          <w:color w:val="000000" w:themeColor="text1"/>
          <w:sz w:val="28"/>
          <w:szCs w:val="28"/>
          <w:shd w:val="clear" w:color="auto" w:fill="FFFFFF"/>
          <w:lang w:val="uk-UA"/>
        </w:rPr>
        <w:t>ня</w:t>
      </w:r>
      <w:r w:rsidRPr="00796D25">
        <w:rPr>
          <w:rFonts w:ascii="Times New Roman" w:hAnsi="Times New Roman" w:cs="Times New Roman"/>
          <w:color w:val="000000" w:themeColor="text1"/>
          <w:sz w:val="28"/>
          <w:szCs w:val="28"/>
          <w:shd w:val="clear" w:color="auto" w:fill="FFFFFF"/>
          <w:lang w:val="uk-UA"/>
        </w:rPr>
        <w:t xml:space="preserve"> наявного 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масштабів та структури наявної мережі закладів вищої освіти фінансовій спроможності держави щодо забезпечення її функціонування та обсягам інвестування у необхідну модернізацію системи вищої освіти. Наявна проблема вимагає стратегічних та системних кроків щодо її вирішення, які мають очевидну прерогативу у порівнянні із ситуативними та поодинокими кейсами щодо реорганізації окремих конкретних закладів освіти.</w:t>
      </w:r>
    </w:p>
    <w:p w:rsidR="00D240A6" w:rsidRPr="00B5191E"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szCs w:val="28"/>
          <w:shd w:val="clear" w:color="auto" w:fill="FFFFFF"/>
          <w:lang w:val="uk-UA"/>
        </w:rPr>
      </w:pPr>
      <w:r w:rsidRPr="00796D25">
        <w:rPr>
          <w:rFonts w:ascii="Times New Roman" w:hAnsi="Times New Roman" w:cs="Times New Roman"/>
          <w:color w:val="000000" w:themeColor="text1"/>
          <w:sz w:val="28"/>
          <w:szCs w:val="28"/>
          <w:shd w:val="clear" w:color="auto" w:fill="FFFFFF"/>
          <w:lang w:val="uk-UA"/>
        </w:rPr>
        <w:t xml:space="preserve">Законодавчі підвалини модернізації мережі закладів вищої освіти відповідно до </w:t>
      </w:r>
      <w:proofErr w:type="spellStart"/>
      <w:r w:rsidRPr="00796D25">
        <w:rPr>
          <w:rFonts w:ascii="Times New Roman" w:hAnsi="Times New Roman" w:cs="Times New Roman"/>
          <w:color w:val="000000" w:themeColor="text1"/>
          <w:sz w:val="28"/>
          <w:szCs w:val="28"/>
          <w:shd w:val="clear" w:color="auto" w:fill="FFFFFF"/>
          <w:lang w:val="uk-UA"/>
        </w:rPr>
        <w:t>законопроєкту</w:t>
      </w:r>
      <w:proofErr w:type="spellEnd"/>
      <w:r w:rsidRPr="00796D25">
        <w:rPr>
          <w:rFonts w:ascii="Times New Roman" w:hAnsi="Times New Roman" w:cs="Times New Roman"/>
          <w:color w:val="000000" w:themeColor="text1"/>
          <w:sz w:val="28"/>
          <w:szCs w:val="28"/>
          <w:shd w:val="clear" w:color="auto" w:fill="FFFFFF"/>
          <w:lang w:val="uk-UA"/>
        </w:rPr>
        <w:t xml:space="preserve"> охоплюють декілька її </w:t>
      </w:r>
      <w:proofErr w:type="spellStart"/>
      <w:r w:rsidRPr="00796D25">
        <w:rPr>
          <w:rFonts w:ascii="Times New Roman" w:hAnsi="Times New Roman" w:cs="Times New Roman"/>
          <w:color w:val="000000" w:themeColor="text1"/>
          <w:sz w:val="28"/>
          <w:szCs w:val="28"/>
          <w:shd w:val="clear" w:color="auto" w:fill="FFFFFF"/>
          <w:lang w:val="uk-UA"/>
        </w:rPr>
        <w:t>системоутворюючих</w:t>
      </w:r>
      <w:proofErr w:type="spellEnd"/>
      <w:r w:rsidRPr="00796D25">
        <w:rPr>
          <w:rFonts w:ascii="Times New Roman" w:hAnsi="Times New Roman" w:cs="Times New Roman"/>
          <w:color w:val="000000" w:themeColor="text1"/>
          <w:sz w:val="28"/>
          <w:szCs w:val="28"/>
          <w:shd w:val="clear" w:color="auto" w:fill="FFFFFF"/>
          <w:lang w:val="uk-UA"/>
        </w:rPr>
        <w:t xml:space="preserve"> елементів: </w:t>
      </w:r>
      <w:r w:rsidRPr="00B5191E">
        <w:rPr>
          <w:rFonts w:ascii="Times New Roman" w:hAnsi="Times New Roman" w:cs="Times New Roman"/>
          <w:color w:val="000000" w:themeColor="text1"/>
          <w:sz w:val="28"/>
          <w:lang w:val="uk-UA"/>
        </w:rPr>
        <w:t>територіально відокремлені структурні підрозділи, органи управління, коледжі як заклади вищої освіти, фахові коледжі в структурі закладів вищої освіти</w:t>
      </w:r>
      <w:r w:rsidR="007A7080" w:rsidRPr="00B5191E">
        <w:rPr>
          <w:rFonts w:ascii="Times New Roman" w:hAnsi="Times New Roman" w:cs="Times New Roman"/>
          <w:color w:val="000000" w:themeColor="text1"/>
          <w:sz w:val="28"/>
          <w:lang w:val="uk-UA"/>
        </w:rPr>
        <w:t xml:space="preserve">, </w:t>
      </w:r>
      <w:r w:rsidR="00684D8A" w:rsidRPr="00B5191E">
        <w:rPr>
          <w:rFonts w:ascii="Times New Roman" w:hAnsi="Times New Roman" w:cs="Times New Roman"/>
          <w:color w:val="000000" w:themeColor="text1"/>
          <w:sz w:val="28"/>
          <w:lang w:val="uk-UA"/>
        </w:rPr>
        <w:t xml:space="preserve">відмінності між </w:t>
      </w:r>
      <w:r w:rsidR="00684D8A" w:rsidRPr="00B5191E">
        <w:rPr>
          <w:rFonts w:ascii="Times New Roman" w:hAnsi="Times New Roman" w:cs="Times New Roman"/>
          <w:sz w:val="28"/>
          <w:szCs w:val="28"/>
          <w:lang w:val="uk-UA"/>
        </w:rPr>
        <w:t>різними</w:t>
      </w:r>
      <w:r w:rsidR="00684D8A" w:rsidRPr="00B5191E">
        <w:rPr>
          <w:rFonts w:ascii="Times New Roman" w:hAnsi="Times New Roman" w:cs="Times New Roman"/>
          <w:sz w:val="28"/>
          <w:szCs w:val="28"/>
        </w:rPr>
        <w:t xml:space="preserve"> </w:t>
      </w:r>
      <w:r w:rsidR="00684D8A" w:rsidRPr="00B5191E">
        <w:rPr>
          <w:rFonts w:ascii="Times New Roman" w:hAnsi="Times New Roman" w:cs="Times New Roman"/>
          <w:sz w:val="28"/>
          <w:szCs w:val="28"/>
          <w:lang w:val="uk-UA"/>
        </w:rPr>
        <w:t>типами</w:t>
      </w:r>
      <w:r w:rsidR="007A7080" w:rsidRPr="00B5191E">
        <w:rPr>
          <w:rFonts w:ascii="Times New Roman" w:hAnsi="Times New Roman" w:cs="Times New Roman"/>
          <w:sz w:val="28"/>
          <w:szCs w:val="28"/>
          <w:lang w:val="uk-UA"/>
        </w:rPr>
        <w:t xml:space="preserve"> закладів вищої освіти</w:t>
      </w:r>
      <w:r w:rsidRPr="00B5191E">
        <w:rPr>
          <w:rFonts w:ascii="Times New Roman" w:hAnsi="Times New Roman" w:cs="Times New Roman"/>
          <w:color w:val="000000" w:themeColor="text1"/>
          <w:sz w:val="28"/>
          <w:lang w:val="uk-UA"/>
        </w:rPr>
        <w:t xml:space="preserve"> та умови набору на </w:t>
      </w:r>
      <w:proofErr w:type="spellStart"/>
      <w:r w:rsidRPr="00B5191E">
        <w:rPr>
          <w:rFonts w:ascii="Times New Roman" w:hAnsi="Times New Roman" w:cs="Times New Roman"/>
          <w:color w:val="000000" w:themeColor="text1"/>
          <w:sz w:val="28"/>
          <w:lang w:val="uk-UA"/>
        </w:rPr>
        <w:t>освітньо</w:t>
      </w:r>
      <w:proofErr w:type="spellEnd"/>
      <w:r w:rsidRPr="00B5191E">
        <w:rPr>
          <w:rFonts w:ascii="Times New Roman" w:hAnsi="Times New Roman" w:cs="Times New Roman"/>
          <w:color w:val="000000" w:themeColor="text1"/>
          <w:sz w:val="28"/>
          <w:lang w:val="uk-UA"/>
        </w:rPr>
        <w:t>-наукові програми третього рівня освіти.</w:t>
      </w:r>
    </w:p>
    <w:p w:rsidR="00D240A6" w:rsidRPr="00796D25"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szCs w:val="28"/>
          <w:lang w:val="uk-UA"/>
        </w:rPr>
      </w:pPr>
      <w:r w:rsidRPr="00796D25">
        <w:rPr>
          <w:rFonts w:ascii="Times New Roman" w:hAnsi="Times New Roman" w:cs="Times New Roman"/>
          <w:color w:val="000000" w:themeColor="text1"/>
          <w:sz w:val="28"/>
          <w:lang w:val="uk-UA"/>
        </w:rPr>
        <w:t xml:space="preserve">Найбільш суперечливою частиною системи вищої освіти є територіально відокремлені структурні підрозділи (ТВСП) закладів вищої освіти. Їх створення було виправдано наближенням освітніх послуг до місця проживання здобувачів освіти. Сучасний розвиток інформаційних технологій та досвід організації дистанційного навчання в 2020-2023 роках довели доступність освітніх послуг закладів вищої освіти в будь-якій точці України та світу. Коледжі в системі вищої освіти не отримали значного поширення порівняно з закладами фахової передвищої освіти. </w:t>
      </w:r>
      <w:r w:rsidRPr="00C925FB">
        <w:rPr>
          <w:rFonts w:ascii="Times New Roman" w:hAnsi="Times New Roman" w:cs="Times New Roman"/>
          <w:color w:val="000000" w:themeColor="text1"/>
          <w:sz w:val="28"/>
          <w:lang w:val="uk-UA"/>
        </w:rPr>
        <w:t xml:space="preserve">Більшість ТВСП і коледжів є невеликими, дублюють </w:t>
      </w:r>
      <w:r w:rsidRPr="00C925FB">
        <w:rPr>
          <w:rFonts w:ascii="Times New Roman" w:hAnsi="Times New Roman" w:cs="Times New Roman"/>
          <w:color w:val="000000" w:themeColor="text1"/>
          <w:sz w:val="28"/>
          <w:lang w:val="uk-UA"/>
        </w:rPr>
        <w:lastRenderedPageBreak/>
        <w:t xml:space="preserve">спеціальності місцевих закладів вищої освіти та мають обмежені кадрові і матеріально-технічні ресурси для забезпечення високої якості вищої освіти. </w:t>
      </w:r>
      <w:r w:rsidRPr="00C925FB">
        <w:rPr>
          <w:rFonts w:ascii="Times New Roman" w:hAnsi="Times New Roman" w:cs="Times New Roman"/>
          <w:color w:val="000000" w:themeColor="text1"/>
          <w:sz w:val="28"/>
          <w:szCs w:val="28"/>
          <w:shd w:val="clear" w:color="auto" w:fill="FFFFFF"/>
          <w:lang w:val="uk-UA"/>
        </w:rPr>
        <w:t xml:space="preserve">Для вирішення цієї проблеми в законопроєкті пропонується </w:t>
      </w:r>
      <w:r w:rsidRPr="00C925FB">
        <w:rPr>
          <w:rFonts w:ascii="Times New Roman" w:hAnsi="Times New Roman" w:cs="Times New Roman"/>
          <w:color w:val="000000" w:themeColor="text1"/>
          <w:sz w:val="28"/>
          <w:lang w:val="uk-UA"/>
        </w:rPr>
        <w:t>реорганізація або припинення ТВСП, які здійснюють освітню діяльність у сфері вищої та фахової передвищої освіти, з одно-дворічним перехідним періодом, що дозволить трансформувати найбільш розвинені ТВСП і коледжі в самостійні та відповідальні університети, академії чи інститути, решту трансформувати в заклади фахової передвищої освіти, приєднати до місцевих ЗВО або припинити</w:t>
      </w:r>
      <w:r w:rsidR="00506147" w:rsidRPr="00C925FB">
        <w:rPr>
          <w:rFonts w:ascii="Times New Roman" w:hAnsi="Times New Roman" w:cs="Times New Roman"/>
          <w:color w:val="000000" w:themeColor="text1"/>
          <w:sz w:val="28"/>
          <w:lang w:val="uk-UA"/>
        </w:rPr>
        <w:t xml:space="preserve"> їх </w:t>
      </w:r>
      <w:r w:rsidR="00E35251" w:rsidRPr="00C925FB">
        <w:rPr>
          <w:rFonts w:ascii="Times New Roman" w:hAnsi="Times New Roman" w:cs="Times New Roman"/>
          <w:color w:val="000000" w:themeColor="text1"/>
          <w:sz w:val="28"/>
          <w:lang w:val="uk-UA"/>
        </w:rPr>
        <w:t>діяльність</w:t>
      </w:r>
      <w:r w:rsidRPr="00C925FB">
        <w:rPr>
          <w:rFonts w:ascii="Times New Roman" w:hAnsi="Times New Roman" w:cs="Times New Roman"/>
          <w:color w:val="000000" w:themeColor="text1"/>
          <w:sz w:val="28"/>
          <w:lang w:val="uk-UA"/>
        </w:rPr>
        <w:t>.</w:t>
      </w:r>
    </w:p>
    <w:p w:rsidR="00D240A6" w:rsidRPr="008816AB" w:rsidRDefault="00D240A6" w:rsidP="00ED421B">
      <w:pPr>
        <w:spacing w:after="0"/>
        <w:ind w:firstLine="709"/>
        <w:jc w:val="both"/>
        <w:rPr>
          <w:rFonts w:ascii="Times New Roman" w:hAnsi="Times New Roman" w:cs="Times New Roman"/>
          <w:sz w:val="28"/>
        </w:rPr>
      </w:pPr>
      <w:r w:rsidRPr="00C925FB">
        <w:rPr>
          <w:rFonts w:ascii="Times New Roman" w:hAnsi="Times New Roman" w:cs="Times New Roman"/>
          <w:sz w:val="28"/>
        </w:rPr>
        <w:t>На початок 202</w:t>
      </w:r>
      <w:r w:rsidR="00C925FB" w:rsidRPr="00C925FB">
        <w:rPr>
          <w:rFonts w:ascii="Times New Roman" w:hAnsi="Times New Roman" w:cs="Times New Roman"/>
          <w:sz w:val="28"/>
        </w:rPr>
        <w:t>4</w:t>
      </w:r>
      <w:r w:rsidRPr="00C925FB">
        <w:rPr>
          <w:rFonts w:ascii="Times New Roman" w:hAnsi="Times New Roman" w:cs="Times New Roman"/>
          <w:sz w:val="28"/>
        </w:rPr>
        <w:t xml:space="preserve"> року</w:t>
      </w:r>
      <w:r w:rsidRPr="008816AB">
        <w:rPr>
          <w:rFonts w:ascii="Times New Roman" w:hAnsi="Times New Roman" w:cs="Times New Roman"/>
          <w:sz w:val="28"/>
        </w:rPr>
        <w:t xml:space="preserve"> в Україні налічувалось </w:t>
      </w:r>
      <w:r w:rsidRPr="00021BDE">
        <w:rPr>
          <w:rFonts w:ascii="Times New Roman" w:hAnsi="Times New Roman" w:cs="Times New Roman"/>
          <w:sz w:val="28"/>
        </w:rPr>
        <w:t>47</w:t>
      </w:r>
      <w:r w:rsidR="00453FF9">
        <w:rPr>
          <w:rFonts w:ascii="Times New Roman" w:hAnsi="Times New Roman" w:cs="Times New Roman"/>
          <w:sz w:val="28"/>
        </w:rPr>
        <w:t>2</w:t>
      </w:r>
      <w:r w:rsidRPr="008816AB">
        <w:rPr>
          <w:rFonts w:ascii="Times New Roman" w:hAnsi="Times New Roman" w:cs="Times New Roman"/>
          <w:sz w:val="28"/>
        </w:rPr>
        <w:t xml:space="preserve"> суб’єкт</w:t>
      </w:r>
      <w:r w:rsidR="00453FF9">
        <w:rPr>
          <w:rFonts w:ascii="Times New Roman" w:hAnsi="Times New Roman" w:cs="Times New Roman"/>
          <w:sz w:val="28"/>
        </w:rPr>
        <w:t>и</w:t>
      </w:r>
      <w:r w:rsidRPr="008816AB">
        <w:rPr>
          <w:rFonts w:ascii="Times New Roman" w:hAnsi="Times New Roman" w:cs="Times New Roman"/>
          <w:sz w:val="28"/>
        </w:rPr>
        <w:t xml:space="preserve"> освітньої діяльності у сфері вищої освіти, які здійснювали набір здобувачів вищої освіти ступенів молодшого бакалавра, бакалавра та магістра, з яких було 87 ТВСП і 4 ТВСП ЗВО із специфічними умовами навчання. Середня чисельність здобувачів, які навчаються на базі одного ТВСП – 385 осіб (державного ТВСП – 448, приватного – 230). Така кількість здобувачів позначається на навантаженні викладачів, оскільки в середньому тільки 7 здобувач</w:t>
      </w:r>
      <w:r w:rsidR="00E35251">
        <w:rPr>
          <w:rFonts w:ascii="Times New Roman" w:hAnsi="Times New Roman" w:cs="Times New Roman"/>
          <w:sz w:val="28"/>
        </w:rPr>
        <w:t>ів припадає на одного викладача</w:t>
      </w:r>
      <w:r w:rsidRPr="008816AB">
        <w:rPr>
          <w:rFonts w:ascii="Times New Roman" w:hAnsi="Times New Roman" w:cs="Times New Roman"/>
          <w:sz w:val="28"/>
        </w:rPr>
        <w:t xml:space="preserve">, що не може не впливати на якість освіти та створення освітнього простору для навчання. Щодо ситуації з коледжами, слід зазначити, що в цих закладах вищої освіти здобувають освіту 2,5 тис. здобувачів, зокрема вищу освіту </w:t>
      </w:r>
      <w:r w:rsidR="00BA6B78">
        <w:rPr>
          <w:rFonts w:ascii="Times New Roman" w:hAnsi="Times New Roman" w:cs="Times New Roman"/>
          <w:sz w:val="28"/>
        </w:rPr>
        <w:t>–</w:t>
      </w:r>
      <w:r w:rsidR="007A4DAF">
        <w:rPr>
          <w:rFonts w:ascii="Times New Roman" w:hAnsi="Times New Roman" w:cs="Times New Roman"/>
          <w:sz w:val="28"/>
        </w:rPr>
        <w:t xml:space="preserve"> 43</w:t>
      </w:r>
      <w:r w:rsidRPr="008816AB">
        <w:rPr>
          <w:rFonts w:ascii="Times New Roman" w:hAnsi="Times New Roman" w:cs="Times New Roman"/>
          <w:sz w:val="28"/>
        </w:rPr>
        <w:t xml:space="preserve">%, фахову </w:t>
      </w:r>
      <w:proofErr w:type="spellStart"/>
      <w:r w:rsidRPr="008816AB">
        <w:rPr>
          <w:rFonts w:ascii="Times New Roman" w:hAnsi="Times New Roman" w:cs="Times New Roman"/>
          <w:sz w:val="28"/>
        </w:rPr>
        <w:t>передвищу</w:t>
      </w:r>
      <w:proofErr w:type="spellEnd"/>
      <w:r w:rsidRPr="008816AB">
        <w:rPr>
          <w:rFonts w:ascii="Times New Roman" w:hAnsi="Times New Roman" w:cs="Times New Roman"/>
          <w:sz w:val="28"/>
        </w:rPr>
        <w:t xml:space="preserve"> – 57% контингенту здобувачів (в державних коледжах частка здобувачів вищої освіти є меншою – 39%).</w:t>
      </w:r>
    </w:p>
    <w:p w:rsidR="00D240A6" w:rsidRPr="00D240A6" w:rsidRDefault="00D240A6" w:rsidP="00ED421B">
      <w:pPr>
        <w:spacing w:after="0"/>
        <w:ind w:firstLine="709"/>
        <w:jc w:val="both"/>
        <w:rPr>
          <w:rFonts w:ascii="Times New Roman" w:hAnsi="Times New Roman" w:cs="Times New Roman"/>
          <w:sz w:val="28"/>
        </w:rPr>
      </w:pPr>
      <w:r w:rsidRPr="008816AB">
        <w:rPr>
          <w:rFonts w:ascii="Times New Roman" w:hAnsi="Times New Roman" w:cs="Times New Roman"/>
          <w:sz w:val="28"/>
        </w:rPr>
        <w:t>Створення та функціонування фахових коледжів</w:t>
      </w:r>
      <w:r w:rsidRPr="00D240A6">
        <w:rPr>
          <w:rFonts w:ascii="Times New Roman" w:hAnsi="Times New Roman" w:cs="Times New Roman"/>
          <w:sz w:val="28"/>
        </w:rPr>
        <w:t xml:space="preserve"> за своєю ідеєю передусім має забезпечувати регіональний ринок праці та задовольняти відповідні потреби регіону у підготовці кадрів на основі </w:t>
      </w:r>
      <w:r w:rsidR="00E35251" w:rsidRPr="00D240A6">
        <w:rPr>
          <w:rFonts w:ascii="Times New Roman" w:hAnsi="Times New Roman" w:cs="Times New Roman"/>
          <w:sz w:val="28"/>
        </w:rPr>
        <w:t>практико</w:t>
      </w:r>
      <w:r w:rsidR="00E35251">
        <w:rPr>
          <w:rFonts w:ascii="Times New Roman" w:hAnsi="Times New Roman" w:cs="Times New Roman"/>
          <w:sz w:val="28"/>
        </w:rPr>
        <w:t>-</w:t>
      </w:r>
      <w:r w:rsidR="00E35251" w:rsidRPr="00D240A6">
        <w:rPr>
          <w:rFonts w:ascii="Times New Roman" w:hAnsi="Times New Roman" w:cs="Times New Roman"/>
          <w:sz w:val="28"/>
        </w:rPr>
        <w:t>орієнтованого</w:t>
      </w:r>
      <w:r w:rsidRPr="00D240A6">
        <w:rPr>
          <w:rFonts w:ascii="Times New Roman" w:hAnsi="Times New Roman" w:cs="Times New Roman"/>
          <w:sz w:val="28"/>
        </w:rPr>
        <w:t xml:space="preserve"> навчання. Наявний поділ фахових коледжів на самостійні юридичні особи (</w:t>
      </w:r>
      <w:r w:rsidR="000D7C4E">
        <w:rPr>
          <w:rFonts w:ascii="Times New Roman" w:hAnsi="Times New Roman" w:cs="Times New Roman"/>
          <w:sz w:val="28"/>
        </w:rPr>
        <w:t>362</w:t>
      </w:r>
      <w:r w:rsidRPr="00D240A6">
        <w:rPr>
          <w:rFonts w:ascii="Times New Roman" w:hAnsi="Times New Roman" w:cs="Times New Roman"/>
          <w:sz w:val="28"/>
        </w:rPr>
        <w:t>) та фахові коледжі в структурі університетів (</w:t>
      </w:r>
      <w:r w:rsidR="000D7C4E">
        <w:rPr>
          <w:rFonts w:ascii="Times New Roman" w:hAnsi="Times New Roman" w:cs="Times New Roman"/>
          <w:sz w:val="28"/>
        </w:rPr>
        <w:t>37</w:t>
      </w:r>
      <w:r w:rsidR="00021BDE">
        <w:rPr>
          <w:rFonts w:ascii="Times New Roman" w:hAnsi="Times New Roman" w:cs="Times New Roman"/>
          <w:sz w:val="28"/>
        </w:rPr>
        <w:t>7</w:t>
      </w:r>
      <w:r w:rsidRPr="00D240A6">
        <w:rPr>
          <w:rFonts w:ascii="Times New Roman" w:hAnsi="Times New Roman" w:cs="Times New Roman"/>
          <w:sz w:val="28"/>
        </w:rPr>
        <w:t>) унеможливлює системну модернізацію мережі фахових коледжів і закладів професійної (професійно-технічної) освіти та її прив’язку до нового адміністративно-територіального устрою. Водночас, управління багатьма фаховими коледжами з боку університетів носить формальний характер, особливо в разі суттєвої відстані між ними, критерієм успішності фахового коледжу для більшості університетів є лише продовження навчання в них випускників коледжів, що прямо суперечить державному пріоритету пришвидшення виходу молоді на ринок праці. Важливою передумовою модернізації мереж</w:t>
      </w:r>
      <w:r w:rsidR="00715576">
        <w:rPr>
          <w:rFonts w:ascii="Times New Roman" w:hAnsi="Times New Roman" w:cs="Times New Roman"/>
          <w:sz w:val="28"/>
        </w:rPr>
        <w:t>і</w:t>
      </w:r>
      <w:r w:rsidRPr="00D240A6">
        <w:rPr>
          <w:rFonts w:ascii="Times New Roman" w:hAnsi="Times New Roman" w:cs="Times New Roman"/>
          <w:sz w:val="28"/>
        </w:rPr>
        <w:t xml:space="preserve"> закладів вищої та фахової передвищої освіти буде </w:t>
      </w:r>
      <w:r w:rsidRPr="00B5191E">
        <w:rPr>
          <w:rFonts w:ascii="Times New Roman" w:hAnsi="Times New Roman" w:cs="Times New Roman"/>
          <w:sz w:val="28"/>
        </w:rPr>
        <w:t>виокремлення фахових коледжів із структури закладів вищої освіти</w:t>
      </w:r>
      <w:r w:rsidRPr="00D240A6">
        <w:rPr>
          <w:rFonts w:ascii="Times New Roman" w:hAnsi="Times New Roman" w:cs="Times New Roman"/>
          <w:sz w:val="28"/>
        </w:rPr>
        <w:t xml:space="preserve"> в самостійні юридичні особи з перспективою передачі до комунальної власності. Водночас, виникає необхідність внесення змін до Закону України «Про фахову передвищу освіту» з метою спрощення процедури виокремлення фахових коледжів із структури закладів вищої освіти, зокрема зі статусом національного, в самостійні юридичні особи.</w:t>
      </w:r>
    </w:p>
    <w:p w:rsidR="00D240A6" w:rsidRDefault="00D240A6" w:rsidP="00ED421B">
      <w:pPr>
        <w:pStyle w:val="1"/>
        <w:suppressAutoHyphens w:val="0"/>
        <w:spacing w:line="259" w:lineRule="auto"/>
        <w:ind w:firstLine="709"/>
        <w:contextualSpacing/>
        <w:jc w:val="both"/>
        <w:rPr>
          <w:rFonts w:ascii="Times New Roman" w:hAnsi="Times New Roman" w:cs="Times New Roman"/>
          <w:color w:val="000000" w:themeColor="text1"/>
          <w:sz w:val="28"/>
          <w:lang w:val="uk-UA"/>
        </w:rPr>
      </w:pPr>
      <w:r w:rsidRPr="00796D25">
        <w:rPr>
          <w:rFonts w:ascii="Times New Roman" w:hAnsi="Times New Roman" w:cs="Times New Roman"/>
          <w:color w:val="000000" w:themeColor="text1"/>
          <w:sz w:val="28"/>
          <w:lang w:val="uk-UA"/>
        </w:rPr>
        <w:lastRenderedPageBreak/>
        <w:t>Найбільш чисельною складовою системи вищої освіти є цивільні державні заклади вищої освіти</w:t>
      </w:r>
      <w:r w:rsidR="00715576">
        <w:rPr>
          <w:rFonts w:ascii="Times New Roman" w:hAnsi="Times New Roman" w:cs="Times New Roman"/>
          <w:color w:val="000000" w:themeColor="text1"/>
          <w:sz w:val="28"/>
          <w:lang w:val="uk-UA"/>
        </w:rPr>
        <w:t>, я</w:t>
      </w:r>
      <w:r w:rsidRPr="00796D25">
        <w:rPr>
          <w:rFonts w:ascii="Times New Roman" w:hAnsi="Times New Roman" w:cs="Times New Roman"/>
          <w:color w:val="000000" w:themeColor="text1"/>
          <w:sz w:val="28"/>
          <w:lang w:val="uk-UA"/>
        </w:rPr>
        <w:t>ких налічується 172. Саме укрупнення цих закладів має стати центральним пунктом модернізації мережі закладів вищої освіти. Проте, перепоною на цьому шляху є подрібненість між сферами управління різних державних органів, що унеможливлює значну частину трансформацій. Більшість ЗВО знаходиться у сфері управління МОН (1</w:t>
      </w:r>
      <w:r w:rsidR="00BC2AB3">
        <w:rPr>
          <w:rFonts w:ascii="Times New Roman" w:hAnsi="Times New Roman" w:cs="Times New Roman"/>
          <w:color w:val="000000" w:themeColor="text1"/>
          <w:sz w:val="28"/>
          <w:lang w:val="uk-UA"/>
        </w:rPr>
        <w:t>28</w:t>
      </w:r>
      <w:r w:rsidRPr="00796D25">
        <w:rPr>
          <w:rFonts w:ascii="Times New Roman" w:hAnsi="Times New Roman" w:cs="Times New Roman"/>
          <w:color w:val="000000" w:themeColor="text1"/>
          <w:sz w:val="28"/>
          <w:lang w:val="uk-UA"/>
        </w:rPr>
        <w:t>), але власні мережі ЗВО мають також МК</w:t>
      </w:r>
      <w:r w:rsidR="004B4B84">
        <w:rPr>
          <w:rFonts w:ascii="Times New Roman" w:hAnsi="Times New Roman" w:cs="Times New Roman"/>
          <w:color w:val="000000" w:themeColor="text1"/>
          <w:sz w:val="28"/>
          <w:lang w:val="uk-UA"/>
        </w:rPr>
        <w:t>СК</w:t>
      </w:r>
      <w:r w:rsidRPr="00796D25">
        <w:rPr>
          <w:rFonts w:ascii="Times New Roman" w:hAnsi="Times New Roman" w:cs="Times New Roman"/>
          <w:color w:val="000000" w:themeColor="text1"/>
          <w:sz w:val="28"/>
          <w:lang w:val="uk-UA"/>
        </w:rPr>
        <w:t xml:space="preserve"> (13) та МОЗ (1</w:t>
      </w:r>
      <w:r w:rsidR="00BC2AB3">
        <w:rPr>
          <w:rFonts w:ascii="Times New Roman" w:hAnsi="Times New Roman" w:cs="Times New Roman"/>
          <w:color w:val="000000" w:themeColor="text1"/>
          <w:sz w:val="28"/>
          <w:lang w:val="uk-UA"/>
        </w:rPr>
        <w:t>5</w:t>
      </w:r>
      <w:r w:rsidRPr="00796D25">
        <w:rPr>
          <w:rFonts w:ascii="Times New Roman" w:hAnsi="Times New Roman" w:cs="Times New Roman"/>
          <w:color w:val="000000" w:themeColor="text1"/>
          <w:sz w:val="28"/>
          <w:lang w:val="uk-UA"/>
        </w:rPr>
        <w:t>). Окремі заклади вищої освіти знаходяться у сфері управління Міністерства фінансів, Державної служби статистики, Національної академії педагогічних наук. Найкращим рішенням видається консолідація управління цивільними закладами вищої освіти державної форми власності шляхом віднесення їх до сфери управління одного державного органу, що забезпечить єдність державного управління, необхідні умови маневрування їх функціями та власністю, уникнення спекулятивних управлінських дій у межах системи, а до цього делегувати цьому органу повноваження щодо внесення до Кабінету Міністрів України пропозицій стосовно утворення, реорганізації та ліквідації закладів вищої освіти державної форми власності усіх сфер управління (крім вищих військових навчальних закладів, закладів вищої освіти із специфічними умовами навчання).</w:t>
      </w:r>
    </w:p>
    <w:p w:rsidR="005964A5" w:rsidRDefault="00145D67" w:rsidP="00145D67">
      <w:pPr>
        <w:pStyle w:val="a9"/>
        <w:shd w:val="clear" w:color="auto" w:fill="FFFFFF"/>
        <w:spacing w:before="0" w:beforeAutospacing="0" w:after="0" w:afterAutospacing="0" w:line="259" w:lineRule="auto"/>
        <w:ind w:firstLine="709"/>
        <w:jc w:val="both"/>
        <w:rPr>
          <w:sz w:val="28"/>
        </w:rPr>
      </w:pPr>
      <w:r w:rsidRPr="00145D67">
        <w:rPr>
          <w:sz w:val="28"/>
        </w:rPr>
        <w:t>Наразі мережу закладів вищої освіти складають університети (63%), академії (20%) та інститути (16%), які провадять фундаментальні наукові дослідження, здійснюють професійну підготовку кадрів, міжнародну, інноваційну діяльність тощо.</w:t>
      </w:r>
      <w:r>
        <w:rPr>
          <w:sz w:val="28"/>
        </w:rPr>
        <w:t xml:space="preserve"> </w:t>
      </w:r>
      <w:r w:rsidR="009A3745">
        <w:rPr>
          <w:sz w:val="28"/>
        </w:rPr>
        <w:t>Водночас між університетом, академією та інститутом існує принципова відмінність, яка стосується</w:t>
      </w:r>
      <w:r w:rsidR="005964A5">
        <w:rPr>
          <w:sz w:val="28"/>
        </w:rPr>
        <w:t xml:space="preserve"> насамперед ролі та місця наукової та інноваційної діяльності в них.</w:t>
      </w:r>
      <w:r w:rsidR="009A3745">
        <w:rPr>
          <w:sz w:val="28"/>
        </w:rPr>
        <w:t xml:space="preserve"> </w:t>
      </w:r>
      <w:r w:rsidR="005964A5">
        <w:rPr>
          <w:sz w:val="28"/>
        </w:rPr>
        <w:t xml:space="preserve">Саме в університеті відбувається найбільша інтеграція освіти і науки, де здобувачі </w:t>
      </w:r>
      <w:r w:rsidR="00963701">
        <w:rPr>
          <w:sz w:val="28"/>
        </w:rPr>
        <w:t>вищої освіти здобувають освіту</w:t>
      </w:r>
      <w:r w:rsidR="005964A5">
        <w:rPr>
          <w:sz w:val="28"/>
        </w:rPr>
        <w:t xml:space="preserve"> через дослідження. Крім того, університет дає можливість максимально реалізувати індивідуальну освітню траєкторію</w:t>
      </w:r>
      <w:r w:rsidR="00963701">
        <w:rPr>
          <w:sz w:val="28"/>
        </w:rPr>
        <w:t xml:space="preserve">. </w:t>
      </w:r>
    </w:p>
    <w:p w:rsidR="00145D67" w:rsidRPr="00B74EB8" w:rsidRDefault="001A4B1F" w:rsidP="00145D67">
      <w:pPr>
        <w:pStyle w:val="a9"/>
        <w:shd w:val="clear" w:color="auto" w:fill="FFFFFF"/>
        <w:spacing w:before="0" w:beforeAutospacing="0" w:after="0" w:afterAutospacing="0" w:line="259" w:lineRule="auto"/>
        <w:ind w:firstLine="709"/>
        <w:jc w:val="both"/>
        <w:rPr>
          <w:sz w:val="28"/>
          <w:szCs w:val="28"/>
        </w:rPr>
      </w:pPr>
      <w:r>
        <w:rPr>
          <w:sz w:val="28"/>
        </w:rPr>
        <w:t>В академіях та інститутах мова більш йде про набуття знань та вмінь, що можуть бути використані в конкретній галузі професійної діяльності. Разом з тим</w:t>
      </w:r>
      <w:r w:rsidRPr="00054BDE">
        <w:rPr>
          <w:sz w:val="28"/>
        </w:rPr>
        <w:t>,</w:t>
      </w:r>
      <w:r w:rsidR="00935E92" w:rsidRPr="00054BDE">
        <w:rPr>
          <w:sz w:val="28"/>
        </w:rPr>
        <w:t xml:space="preserve"> більшість </w:t>
      </w:r>
      <w:r w:rsidR="00935E92">
        <w:rPr>
          <w:color w:val="000000" w:themeColor="text1"/>
          <w:sz w:val="28"/>
        </w:rPr>
        <w:t xml:space="preserve">галузевих закладів вищої освіти, крім власне профільних спеціальностей, здійснюють підготовку фахівців за спеціальностями інших галузей, </w:t>
      </w:r>
      <w:r w:rsidR="00145D67">
        <w:rPr>
          <w:color w:val="000000" w:themeColor="text1"/>
          <w:sz w:val="28"/>
        </w:rPr>
        <w:t>де</w:t>
      </w:r>
      <w:r w:rsidR="00935E92">
        <w:rPr>
          <w:color w:val="000000" w:themeColor="text1"/>
          <w:sz w:val="28"/>
        </w:rPr>
        <w:t xml:space="preserve"> частка таких непрофільних напрямів підготовки є більшою, ніж частка саме галузевої підготовки. </w:t>
      </w:r>
      <w:r w:rsidR="00054BDE">
        <w:rPr>
          <w:color w:val="000000" w:themeColor="text1"/>
          <w:sz w:val="28"/>
        </w:rPr>
        <w:t>При цьому</w:t>
      </w:r>
      <w:r w:rsidR="00935E92">
        <w:rPr>
          <w:color w:val="000000" w:themeColor="text1"/>
          <w:sz w:val="28"/>
        </w:rPr>
        <w:t xml:space="preserve"> якість підготовки у міжгалузевому форматі вимагає певної критичної маси </w:t>
      </w:r>
      <w:r w:rsidR="007A4DAF">
        <w:rPr>
          <w:color w:val="000000" w:themeColor="text1"/>
          <w:sz w:val="28"/>
        </w:rPr>
        <w:t>здобувачів, достатньої для того, щоб забезпечити вибір дисциплін, мінімальну чисельність груп, множину наукових шкіл</w:t>
      </w:r>
      <w:r w:rsidR="00145D67">
        <w:rPr>
          <w:color w:val="000000" w:themeColor="text1"/>
          <w:sz w:val="28"/>
        </w:rPr>
        <w:t xml:space="preserve"> тощо</w:t>
      </w:r>
      <w:r w:rsidR="007A4DAF">
        <w:rPr>
          <w:color w:val="000000" w:themeColor="text1"/>
          <w:sz w:val="28"/>
        </w:rPr>
        <w:t>.</w:t>
      </w:r>
      <w:r w:rsidR="00145D67">
        <w:rPr>
          <w:color w:val="000000" w:themeColor="text1"/>
          <w:sz w:val="28"/>
        </w:rPr>
        <w:t xml:space="preserve"> </w:t>
      </w:r>
      <w:r w:rsidR="00054BDE">
        <w:rPr>
          <w:color w:val="000000" w:themeColor="text1"/>
          <w:sz w:val="28"/>
        </w:rPr>
        <w:t>Тому н</w:t>
      </w:r>
      <w:r w:rsidR="00145D67">
        <w:rPr>
          <w:color w:val="000000" w:themeColor="text1"/>
          <w:sz w:val="28"/>
        </w:rPr>
        <w:t xml:space="preserve">айкращим рішенням </w:t>
      </w:r>
      <w:r w:rsidR="00AD2695" w:rsidRPr="00E45B94">
        <w:rPr>
          <w:sz w:val="28"/>
        </w:rPr>
        <w:t>уникнути дублювання та підвищити ефективність роботи кожного типу закладів</w:t>
      </w:r>
      <w:r w:rsidR="00AD2695" w:rsidRPr="00B74EB8">
        <w:rPr>
          <w:sz w:val="28"/>
          <w:szCs w:val="28"/>
        </w:rPr>
        <w:t xml:space="preserve"> </w:t>
      </w:r>
      <w:r w:rsidR="00145D67" w:rsidRPr="00B74EB8">
        <w:rPr>
          <w:sz w:val="28"/>
          <w:szCs w:val="28"/>
        </w:rPr>
        <w:t>для створення ефективної, якісної та конкурентоспроможної системи вищої освіти, яка відповідала б як національним, так і міжнародним викликам</w:t>
      </w:r>
      <w:r w:rsidR="00145D67">
        <w:rPr>
          <w:sz w:val="28"/>
          <w:szCs w:val="28"/>
        </w:rPr>
        <w:t xml:space="preserve"> </w:t>
      </w:r>
      <w:r w:rsidR="00AD2695">
        <w:rPr>
          <w:color w:val="000000" w:themeColor="text1"/>
          <w:sz w:val="28"/>
        </w:rPr>
        <w:t>вбачається</w:t>
      </w:r>
      <w:r w:rsidR="00AD2695" w:rsidRPr="00B74EB8">
        <w:rPr>
          <w:sz w:val="28"/>
          <w:szCs w:val="28"/>
        </w:rPr>
        <w:t xml:space="preserve"> встановлення </w:t>
      </w:r>
      <w:r w:rsidR="00AD2695">
        <w:rPr>
          <w:sz w:val="28"/>
          <w:szCs w:val="28"/>
        </w:rPr>
        <w:t>вимог до того чи іншого</w:t>
      </w:r>
      <w:r w:rsidR="00AD2695" w:rsidRPr="00B74EB8">
        <w:rPr>
          <w:sz w:val="28"/>
          <w:szCs w:val="28"/>
        </w:rPr>
        <w:t xml:space="preserve"> тип</w:t>
      </w:r>
      <w:r w:rsidR="00AD2695">
        <w:rPr>
          <w:sz w:val="28"/>
          <w:szCs w:val="28"/>
        </w:rPr>
        <w:t>у</w:t>
      </w:r>
      <w:r w:rsidR="00AD2695" w:rsidRPr="00B74EB8">
        <w:rPr>
          <w:sz w:val="28"/>
          <w:szCs w:val="28"/>
        </w:rPr>
        <w:t xml:space="preserve"> закладів вищої освіти.</w:t>
      </w:r>
    </w:p>
    <w:p w:rsidR="00CA62D9" w:rsidRDefault="00CA62D9" w:rsidP="00ED421B">
      <w:pPr>
        <w:spacing w:after="0"/>
        <w:ind w:firstLine="709"/>
        <w:jc w:val="both"/>
        <w:rPr>
          <w:rFonts w:ascii="Times New Roman" w:hAnsi="Times New Roman" w:cs="Times New Roman"/>
          <w:color w:val="000000" w:themeColor="text1"/>
          <w:sz w:val="28"/>
        </w:rPr>
      </w:pPr>
      <w:r w:rsidRPr="004B4B84">
        <w:rPr>
          <w:rFonts w:ascii="Times New Roman" w:hAnsi="Times New Roman" w:cs="Times New Roman"/>
          <w:sz w:val="28"/>
          <w:szCs w:val="28"/>
        </w:rPr>
        <w:lastRenderedPageBreak/>
        <w:t xml:space="preserve">Наступною проблемою, на вирішення якої спрямовано законопроєкт, є </w:t>
      </w:r>
      <w:r w:rsidRPr="004B4B84">
        <w:rPr>
          <w:rFonts w:ascii="Times New Roman" w:hAnsi="Times New Roman" w:cs="Times New Roman"/>
          <w:sz w:val="28"/>
        </w:rPr>
        <w:t xml:space="preserve">забезпечення якісного виконання освітньої складової освітньо-наукових та освітньо-творчих програм третього рівня вищої освіти. На </w:t>
      </w:r>
      <w:r w:rsidR="00021BDE">
        <w:rPr>
          <w:rFonts w:ascii="Times New Roman" w:hAnsi="Times New Roman" w:cs="Times New Roman"/>
          <w:sz w:val="28"/>
        </w:rPr>
        <w:t>початок</w:t>
      </w:r>
      <w:r w:rsidRPr="004B4B84">
        <w:rPr>
          <w:rFonts w:ascii="Times New Roman" w:hAnsi="Times New Roman" w:cs="Times New Roman"/>
          <w:sz w:val="28"/>
        </w:rPr>
        <w:t xml:space="preserve"> 202</w:t>
      </w:r>
      <w:r w:rsidR="00021BDE">
        <w:rPr>
          <w:rFonts w:ascii="Times New Roman" w:hAnsi="Times New Roman" w:cs="Times New Roman"/>
          <w:sz w:val="28"/>
        </w:rPr>
        <w:t>4</w:t>
      </w:r>
      <w:r w:rsidRPr="004B4B84">
        <w:rPr>
          <w:rFonts w:ascii="Times New Roman" w:hAnsi="Times New Roman" w:cs="Times New Roman"/>
          <w:sz w:val="28"/>
        </w:rPr>
        <w:t xml:space="preserve"> року існувало майже </w:t>
      </w:r>
      <w:r w:rsidR="00C05C28" w:rsidRPr="004B4B84">
        <w:rPr>
          <w:rFonts w:ascii="Times New Roman" w:hAnsi="Times New Roman" w:cs="Times New Roman"/>
          <w:sz w:val="28"/>
        </w:rPr>
        <w:t>1</w:t>
      </w:r>
      <w:r w:rsidRPr="004B4B84">
        <w:rPr>
          <w:rFonts w:ascii="Times New Roman" w:hAnsi="Times New Roman" w:cs="Times New Roman"/>
          <w:sz w:val="28"/>
        </w:rPr>
        <w:t>70</w:t>
      </w:r>
      <w:r w:rsidR="00CD33F4" w:rsidRPr="004B4B84">
        <w:rPr>
          <w:rFonts w:ascii="Times New Roman" w:hAnsi="Times New Roman" w:cs="Times New Roman"/>
          <w:sz w:val="28"/>
        </w:rPr>
        <w:t xml:space="preserve"> </w:t>
      </w:r>
      <w:r w:rsidRPr="004B4B84">
        <w:rPr>
          <w:rFonts w:ascii="Times New Roman" w:hAnsi="Times New Roman" w:cs="Times New Roman"/>
          <w:sz w:val="28"/>
        </w:rPr>
        <w:t xml:space="preserve">освітньо-наукових програм рівня доктора філософії зі спеціальностей, за якими не відкриті освітні програми магістерського рівня освіти, з них майже 40% - це освітньо-наукові програми наукових установ. Найчастіше, за цими програмами здобувають освіту від 1 до 4 здобувачів, що суттєво ускладнює якісне забезпечення її освітньої компоненти. Проєктом акта  пропонується встановити умовою прийому на навчання для здобуття ступеня доктора філософії або доктора мистецтва наявність акредитованих за другим (магістерським) рівнем освітніх програми відповідної спеціальності (усіх спеціальностей галузі або спеціальностей, що входять до міждисциплінарної освітньо-наукової програми). Заклади вищої освіти та наукові установи, що не </w:t>
      </w:r>
      <w:r w:rsidRPr="004B4B84">
        <w:rPr>
          <w:rFonts w:ascii="Times New Roman" w:hAnsi="Times New Roman" w:cs="Times New Roman"/>
          <w:color w:val="000000" w:themeColor="text1"/>
          <w:sz w:val="28"/>
        </w:rPr>
        <w:t>здійснюють відповідну підготовку магістрів, зможуть продовжити підготовку докторів філософії за освітньо-науковою програмою, окремі елементи якої забезпечуються іншими науковими установами та/або закладами вищої освіти, відповідно до абзацу четвертого частини шостої статті 5 цього Закону.</w:t>
      </w:r>
    </w:p>
    <w:p w:rsidR="006849DE" w:rsidRDefault="006849DE" w:rsidP="006849DE">
      <w:pPr>
        <w:spacing w:after="0"/>
        <w:ind w:firstLine="709"/>
        <w:jc w:val="both"/>
        <w:rPr>
          <w:rFonts w:ascii="Times New Roman" w:hAnsi="Times New Roman"/>
          <w:sz w:val="28"/>
          <w:szCs w:val="28"/>
        </w:rPr>
      </w:pPr>
      <w:r>
        <w:rPr>
          <w:rFonts w:ascii="Times New Roman" w:hAnsi="Times New Roman" w:cs="Times New Roman"/>
          <w:color w:val="000000" w:themeColor="text1"/>
          <w:sz w:val="28"/>
        </w:rPr>
        <w:t xml:space="preserve">Отже, існує потреба у врегулюванні вищезазначених проблем та </w:t>
      </w:r>
      <w:r>
        <w:rPr>
          <w:rFonts w:ascii="Times New Roman" w:hAnsi="Times New Roman"/>
          <w:sz w:val="28"/>
          <w:szCs w:val="28"/>
        </w:rPr>
        <w:t xml:space="preserve">законодавчому забезпеченні модернізації мережі закладів освіти. </w:t>
      </w:r>
    </w:p>
    <w:p w:rsidR="00D55A06" w:rsidRDefault="00D55A06" w:rsidP="00ED421B">
      <w:pPr>
        <w:pStyle w:val="a9"/>
        <w:shd w:val="clear" w:color="auto" w:fill="FFFFFF"/>
        <w:spacing w:before="0" w:beforeAutospacing="0" w:after="0" w:afterAutospacing="0" w:line="259" w:lineRule="auto"/>
        <w:ind w:firstLine="709"/>
        <w:jc w:val="both"/>
        <w:rPr>
          <w:sz w:val="28"/>
          <w:szCs w:val="28"/>
        </w:rPr>
      </w:pPr>
      <w:r w:rsidRPr="00D55A06">
        <w:rPr>
          <w:sz w:val="28"/>
          <w:szCs w:val="28"/>
        </w:rPr>
        <w:t xml:space="preserve">Розробку </w:t>
      </w:r>
      <w:proofErr w:type="spellStart"/>
      <w:r w:rsidRPr="00D55A06">
        <w:rPr>
          <w:sz w:val="28"/>
          <w:szCs w:val="28"/>
        </w:rPr>
        <w:t>проєкту</w:t>
      </w:r>
      <w:proofErr w:type="spellEnd"/>
      <w:r w:rsidRPr="00D55A06">
        <w:rPr>
          <w:sz w:val="28"/>
          <w:szCs w:val="28"/>
        </w:rPr>
        <w:t xml:space="preserve"> </w:t>
      </w:r>
      <w:proofErr w:type="spellStart"/>
      <w:r w:rsidRPr="00D55A06">
        <w:rPr>
          <w:sz w:val="28"/>
          <w:szCs w:val="28"/>
        </w:rPr>
        <w:t>акта</w:t>
      </w:r>
      <w:proofErr w:type="spellEnd"/>
      <w:r w:rsidRPr="00D55A06">
        <w:rPr>
          <w:sz w:val="28"/>
          <w:szCs w:val="28"/>
        </w:rPr>
        <w:t xml:space="preserve"> передбачено Плано</w:t>
      </w:r>
      <w:r>
        <w:rPr>
          <w:sz w:val="28"/>
          <w:szCs w:val="28"/>
        </w:rPr>
        <w:t xml:space="preserve">м пріоритетних дій </w:t>
      </w:r>
      <w:r w:rsidR="00B077AF">
        <w:rPr>
          <w:sz w:val="28"/>
          <w:szCs w:val="28"/>
        </w:rPr>
        <w:t>У</w:t>
      </w:r>
      <w:r>
        <w:rPr>
          <w:sz w:val="28"/>
          <w:szCs w:val="28"/>
        </w:rPr>
        <w:t>ряду на 2024</w:t>
      </w:r>
      <w:r w:rsidRPr="00D55A06">
        <w:rPr>
          <w:sz w:val="28"/>
          <w:szCs w:val="28"/>
        </w:rPr>
        <w:t xml:space="preserve"> рік, затвердженим </w:t>
      </w:r>
      <w:r w:rsidR="00B077AF">
        <w:rPr>
          <w:sz w:val="28"/>
          <w:szCs w:val="28"/>
        </w:rPr>
        <w:t>р</w:t>
      </w:r>
      <w:r w:rsidRPr="00D55A06">
        <w:rPr>
          <w:sz w:val="28"/>
          <w:szCs w:val="28"/>
        </w:rPr>
        <w:t>озпорядженням Кабінету Міністрів України від 1</w:t>
      </w:r>
      <w:r>
        <w:rPr>
          <w:sz w:val="28"/>
          <w:szCs w:val="28"/>
        </w:rPr>
        <w:t>6</w:t>
      </w:r>
      <w:r w:rsidRPr="00D55A06">
        <w:rPr>
          <w:sz w:val="28"/>
          <w:szCs w:val="28"/>
        </w:rPr>
        <w:t xml:space="preserve"> </w:t>
      </w:r>
      <w:r>
        <w:rPr>
          <w:sz w:val="28"/>
          <w:szCs w:val="28"/>
        </w:rPr>
        <w:t>лютого</w:t>
      </w:r>
      <w:r w:rsidRPr="00D55A06">
        <w:rPr>
          <w:sz w:val="28"/>
          <w:szCs w:val="28"/>
        </w:rPr>
        <w:t xml:space="preserve"> 202</w:t>
      </w:r>
      <w:r>
        <w:rPr>
          <w:sz w:val="28"/>
          <w:szCs w:val="28"/>
        </w:rPr>
        <w:t>4</w:t>
      </w:r>
      <w:r w:rsidRPr="00D55A06">
        <w:rPr>
          <w:sz w:val="28"/>
          <w:szCs w:val="28"/>
        </w:rPr>
        <w:t xml:space="preserve"> р. № </w:t>
      </w:r>
      <w:r>
        <w:rPr>
          <w:sz w:val="28"/>
          <w:szCs w:val="28"/>
        </w:rPr>
        <w:t>137</w:t>
      </w:r>
      <w:r w:rsidRPr="00D55A06">
        <w:rPr>
          <w:sz w:val="28"/>
          <w:szCs w:val="28"/>
        </w:rPr>
        <w:t xml:space="preserve">-р (пункт </w:t>
      </w:r>
      <w:r>
        <w:rPr>
          <w:sz w:val="28"/>
          <w:szCs w:val="28"/>
        </w:rPr>
        <w:t>139</w:t>
      </w:r>
      <w:r w:rsidRPr="00D55A06">
        <w:rPr>
          <w:sz w:val="28"/>
          <w:szCs w:val="28"/>
        </w:rPr>
        <w:t>). Крім того, розробка проєкту акта відповідає рекомендаціям Європейської комісії в рамках Пакету розширення 2023, що передбачають імплементацію плану опт</w:t>
      </w:r>
      <w:r>
        <w:rPr>
          <w:sz w:val="28"/>
          <w:szCs w:val="28"/>
        </w:rPr>
        <w:t xml:space="preserve">имізації мережі закладів освіти </w:t>
      </w:r>
      <w:r w:rsidRPr="002E4085">
        <w:rPr>
          <w:sz w:val="28"/>
          <w:szCs w:val="28"/>
        </w:rPr>
        <w:t>(пункт 92.1 Плану заходів з 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 133-р).</w:t>
      </w:r>
    </w:p>
    <w:p w:rsidR="009C0407" w:rsidRPr="00186CC6" w:rsidRDefault="0021302D" w:rsidP="00866469">
      <w:pPr>
        <w:spacing w:before="160" w:after="120"/>
        <w:jc w:val="both"/>
        <w:rPr>
          <w:rFonts w:ascii="Times New Roman" w:hAnsi="Times New Roman" w:cs="Times New Roman"/>
          <w:b/>
          <w:sz w:val="28"/>
          <w:szCs w:val="28"/>
        </w:rPr>
      </w:pPr>
      <w:r w:rsidRPr="00186CC6">
        <w:rPr>
          <w:rFonts w:ascii="Times New Roman" w:hAnsi="Times New Roman" w:cs="Times New Roman"/>
          <w:b/>
          <w:sz w:val="28"/>
          <w:szCs w:val="28"/>
        </w:rPr>
        <w:t>Основні групи</w:t>
      </w:r>
      <w:r w:rsidR="00186CC6" w:rsidRPr="00186CC6">
        <w:rPr>
          <w:rFonts w:ascii="Times New Roman" w:hAnsi="Times New Roman" w:cs="Times New Roman"/>
          <w:b/>
          <w:sz w:val="28"/>
          <w:szCs w:val="28"/>
        </w:rPr>
        <w:t xml:space="preserve"> (підгрупи), на які проблема справляє вплив:</w:t>
      </w:r>
    </w:p>
    <w:tbl>
      <w:tblPr>
        <w:tblStyle w:val="a3"/>
        <w:tblW w:w="0" w:type="auto"/>
        <w:tblLook w:val="04A0" w:firstRow="1" w:lastRow="0" w:firstColumn="1" w:lastColumn="0" w:noHBand="0" w:noVBand="1"/>
      </w:tblPr>
      <w:tblGrid>
        <w:gridCol w:w="3539"/>
        <w:gridCol w:w="3044"/>
        <w:gridCol w:w="3044"/>
      </w:tblGrid>
      <w:tr w:rsidR="00186CC6" w:rsidTr="008816AB">
        <w:trPr>
          <w:trHeight w:val="451"/>
        </w:trPr>
        <w:tc>
          <w:tcPr>
            <w:tcW w:w="3539" w:type="dxa"/>
          </w:tcPr>
          <w:p w:rsidR="00186CC6" w:rsidRPr="002E6F51" w:rsidRDefault="00186CC6" w:rsidP="009C0407">
            <w:pPr>
              <w:jc w:val="both"/>
              <w:rPr>
                <w:rFonts w:ascii="Times New Roman" w:hAnsi="Times New Roman" w:cs="Times New Roman"/>
                <w:b/>
                <w:sz w:val="24"/>
                <w:szCs w:val="24"/>
              </w:rPr>
            </w:pPr>
            <w:r w:rsidRPr="002E6F51">
              <w:rPr>
                <w:rFonts w:ascii="Times New Roman" w:hAnsi="Times New Roman" w:cs="Times New Roman"/>
                <w:b/>
                <w:sz w:val="24"/>
                <w:szCs w:val="24"/>
              </w:rPr>
              <w:t>Групи (підгрупи)</w:t>
            </w:r>
          </w:p>
        </w:tc>
        <w:tc>
          <w:tcPr>
            <w:tcW w:w="3045" w:type="dxa"/>
          </w:tcPr>
          <w:p w:rsidR="00186CC6" w:rsidRPr="002E6F51" w:rsidRDefault="00186CC6" w:rsidP="00186CC6">
            <w:pPr>
              <w:jc w:val="center"/>
              <w:rPr>
                <w:rFonts w:ascii="Times New Roman" w:hAnsi="Times New Roman" w:cs="Times New Roman"/>
                <w:b/>
                <w:sz w:val="24"/>
                <w:szCs w:val="24"/>
              </w:rPr>
            </w:pPr>
            <w:r w:rsidRPr="002E6F51">
              <w:rPr>
                <w:rFonts w:ascii="Times New Roman" w:hAnsi="Times New Roman" w:cs="Times New Roman"/>
                <w:b/>
                <w:sz w:val="24"/>
                <w:szCs w:val="24"/>
              </w:rPr>
              <w:t>Так</w:t>
            </w:r>
          </w:p>
        </w:tc>
        <w:tc>
          <w:tcPr>
            <w:tcW w:w="3045" w:type="dxa"/>
          </w:tcPr>
          <w:p w:rsidR="00186CC6" w:rsidRPr="002E6F51" w:rsidRDefault="00186CC6" w:rsidP="00186CC6">
            <w:pPr>
              <w:jc w:val="center"/>
              <w:rPr>
                <w:rFonts w:ascii="Times New Roman" w:hAnsi="Times New Roman" w:cs="Times New Roman"/>
                <w:b/>
                <w:sz w:val="24"/>
                <w:szCs w:val="24"/>
              </w:rPr>
            </w:pPr>
            <w:r w:rsidRPr="002E6F51">
              <w:rPr>
                <w:rFonts w:ascii="Times New Roman" w:hAnsi="Times New Roman" w:cs="Times New Roman"/>
                <w:b/>
                <w:sz w:val="24"/>
                <w:szCs w:val="24"/>
              </w:rPr>
              <w:t>Ні</w:t>
            </w:r>
          </w:p>
        </w:tc>
      </w:tr>
      <w:tr w:rsidR="00186CC6" w:rsidTr="008816AB">
        <w:trPr>
          <w:trHeight w:val="412"/>
        </w:trPr>
        <w:tc>
          <w:tcPr>
            <w:tcW w:w="3539" w:type="dxa"/>
          </w:tcPr>
          <w:p w:rsidR="00186CC6" w:rsidRPr="002E6F51" w:rsidRDefault="00DF606F" w:rsidP="009C0407">
            <w:pPr>
              <w:jc w:val="both"/>
              <w:rPr>
                <w:rFonts w:ascii="Times New Roman" w:hAnsi="Times New Roman" w:cs="Times New Roman"/>
                <w:sz w:val="24"/>
                <w:szCs w:val="24"/>
              </w:rPr>
            </w:pPr>
            <w:r>
              <w:rPr>
                <w:rFonts w:ascii="Times New Roman" w:hAnsi="Times New Roman" w:cs="Times New Roman"/>
                <w:sz w:val="24"/>
                <w:szCs w:val="24"/>
              </w:rPr>
              <w:t>Громадяни</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186CC6" w:rsidTr="008816AB">
        <w:trPr>
          <w:trHeight w:val="412"/>
        </w:trPr>
        <w:tc>
          <w:tcPr>
            <w:tcW w:w="3539" w:type="dxa"/>
          </w:tcPr>
          <w:p w:rsidR="00186CC6" w:rsidRPr="002E6F51" w:rsidRDefault="00DF606F" w:rsidP="009C0407">
            <w:pPr>
              <w:jc w:val="both"/>
              <w:rPr>
                <w:rFonts w:ascii="Times New Roman" w:hAnsi="Times New Roman" w:cs="Times New Roman"/>
                <w:sz w:val="24"/>
                <w:szCs w:val="24"/>
              </w:rPr>
            </w:pPr>
            <w:r w:rsidRPr="002E6F51">
              <w:rPr>
                <w:rFonts w:ascii="Times New Roman" w:hAnsi="Times New Roman" w:cs="Times New Roman"/>
                <w:sz w:val="24"/>
                <w:szCs w:val="24"/>
              </w:rPr>
              <w:t>Держава</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186CC6" w:rsidTr="008816AB">
        <w:trPr>
          <w:trHeight w:val="412"/>
        </w:trPr>
        <w:tc>
          <w:tcPr>
            <w:tcW w:w="3539" w:type="dxa"/>
          </w:tcPr>
          <w:p w:rsidR="00186CC6" w:rsidRPr="002E6F51" w:rsidRDefault="00186CC6" w:rsidP="009C0407">
            <w:pPr>
              <w:jc w:val="both"/>
              <w:rPr>
                <w:rFonts w:ascii="Times New Roman" w:hAnsi="Times New Roman" w:cs="Times New Roman"/>
                <w:sz w:val="24"/>
                <w:szCs w:val="24"/>
              </w:rPr>
            </w:pPr>
            <w:r w:rsidRPr="002E6F51">
              <w:rPr>
                <w:rFonts w:ascii="Times New Roman" w:hAnsi="Times New Roman" w:cs="Times New Roman"/>
                <w:sz w:val="24"/>
                <w:szCs w:val="24"/>
              </w:rPr>
              <w:t>Суб’єкти господарювання</w:t>
            </w:r>
            <w:r w:rsidR="00DF606F">
              <w:rPr>
                <w:rFonts w:ascii="Times New Roman" w:hAnsi="Times New Roman" w:cs="Times New Roman"/>
                <w:sz w:val="24"/>
                <w:szCs w:val="24"/>
              </w:rPr>
              <w:t>,</w:t>
            </w:r>
          </w:p>
        </w:tc>
        <w:tc>
          <w:tcPr>
            <w:tcW w:w="3045" w:type="dxa"/>
          </w:tcPr>
          <w:p w:rsidR="00186CC6" w:rsidRPr="002E6F51" w:rsidRDefault="00186CC6" w:rsidP="00186CC6">
            <w:pPr>
              <w:jc w:val="center"/>
              <w:rPr>
                <w:rFonts w:ascii="Times New Roman" w:hAnsi="Times New Roman" w:cs="Times New Roman"/>
                <w:sz w:val="24"/>
                <w:szCs w:val="24"/>
              </w:rPr>
            </w:pPr>
            <w:r w:rsidRPr="002E6F51">
              <w:rPr>
                <w:rFonts w:ascii="Times New Roman" w:hAnsi="Times New Roman" w:cs="Times New Roman"/>
                <w:sz w:val="24"/>
                <w:szCs w:val="24"/>
              </w:rPr>
              <w:t>+</w:t>
            </w:r>
          </w:p>
        </w:tc>
        <w:tc>
          <w:tcPr>
            <w:tcW w:w="3045" w:type="dxa"/>
          </w:tcPr>
          <w:p w:rsidR="00186CC6"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r w:rsidR="00DF606F" w:rsidTr="008816AB">
        <w:trPr>
          <w:trHeight w:val="412"/>
        </w:trPr>
        <w:tc>
          <w:tcPr>
            <w:tcW w:w="3539" w:type="dxa"/>
          </w:tcPr>
          <w:p w:rsidR="00DF606F" w:rsidRPr="00DF606F" w:rsidRDefault="00DF606F" w:rsidP="009C0407">
            <w:pPr>
              <w:jc w:val="both"/>
              <w:rPr>
                <w:rFonts w:ascii="Times New Roman" w:hAnsi="Times New Roman" w:cs="Times New Roman"/>
                <w:sz w:val="24"/>
                <w:szCs w:val="24"/>
              </w:rPr>
            </w:pPr>
            <w:r w:rsidRPr="00DF606F">
              <w:rPr>
                <w:rFonts w:ascii="Times New Roman" w:hAnsi="Times New Roman" w:cs="Times New Roman"/>
                <w:sz w:val="24"/>
                <w:szCs w:val="24"/>
              </w:rPr>
              <w:t>у тому числі суб’єкти малого підприємництва</w:t>
            </w:r>
          </w:p>
        </w:tc>
        <w:tc>
          <w:tcPr>
            <w:tcW w:w="3045" w:type="dxa"/>
          </w:tcPr>
          <w:p w:rsidR="00DF606F" w:rsidRPr="002E6F51" w:rsidRDefault="000F0E17" w:rsidP="00186CC6">
            <w:pPr>
              <w:jc w:val="center"/>
              <w:rPr>
                <w:rFonts w:ascii="Times New Roman" w:hAnsi="Times New Roman" w:cs="Times New Roman"/>
                <w:sz w:val="24"/>
                <w:szCs w:val="24"/>
              </w:rPr>
            </w:pPr>
            <w:r>
              <w:rPr>
                <w:rFonts w:ascii="Times New Roman" w:hAnsi="Times New Roman" w:cs="Times New Roman"/>
                <w:sz w:val="24"/>
                <w:szCs w:val="24"/>
              </w:rPr>
              <w:t>-</w:t>
            </w:r>
          </w:p>
        </w:tc>
        <w:tc>
          <w:tcPr>
            <w:tcW w:w="3045" w:type="dxa"/>
          </w:tcPr>
          <w:p w:rsidR="00DF606F" w:rsidRPr="002E6F51" w:rsidRDefault="00DF606F" w:rsidP="00186CC6">
            <w:pPr>
              <w:jc w:val="center"/>
              <w:rPr>
                <w:rFonts w:ascii="Times New Roman" w:hAnsi="Times New Roman" w:cs="Times New Roman"/>
                <w:sz w:val="24"/>
                <w:szCs w:val="24"/>
              </w:rPr>
            </w:pPr>
            <w:r>
              <w:rPr>
                <w:rFonts w:ascii="Times New Roman" w:hAnsi="Times New Roman" w:cs="Times New Roman"/>
                <w:sz w:val="24"/>
                <w:szCs w:val="24"/>
              </w:rPr>
              <w:t>-</w:t>
            </w:r>
          </w:p>
        </w:tc>
      </w:tr>
    </w:tbl>
    <w:p w:rsidR="00186CC6" w:rsidRDefault="00186CC6" w:rsidP="009C0407">
      <w:pPr>
        <w:spacing w:after="0"/>
        <w:jc w:val="both"/>
        <w:rPr>
          <w:rFonts w:ascii="Times New Roman" w:hAnsi="Times New Roman" w:cs="Times New Roman"/>
          <w:sz w:val="28"/>
          <w:szCs w:val="28"/>
        </w:rPr>
      </w:pPr>
    </w:p>
    <w:p w:rsidR="00186CC6" w:rsidRPr="00186CC6" w:rsidRDefault="00186CC6" w:rsidP="00866469">
      <w:pPr>
        <w:spacing w:before="240" w:after="0"/>
        <w:ind w:firstLine="709"/>
        <w:jc w:val="both"/>
        <w:rPr>
          <w:rFonts w:ascii="Times New Roman" w:hAnsi="Times New Roman" w:cs="Times New Roman"/>
          <w:b/>
          <w:sz w:val="28"/>
          <w:szCs w:val="28"/>
        </w:rPr>
      </w:pPr>
      <w:r w:rsidRPr="00186CC6">
        <w:rPr>
          <w:rFonts w:ascii="Times New Roman" w:hAnsi="Times New Roman" w:cs="Times New Roman"/>
          <w:b/>
          <w:sz w:val="28"/>
          <w:szCs w:val="28"/>
        </w:rPr>
        <w:lastRenderedPageBreak/>
        <w:t xml:space="preserve">Обґрунтування неможливості вирішення проблеми за допомогою ринкових механізмів: </w:t>
      </w:r>
    </w:p>
    <w:p w:rsidR="00186CC6" w:rsidRDefault="00186CC6" w:rsidP="00ED421B">
      <w:pPr>
        <w:spacing w:after="0"/>
        <w:ind w:firstLine="709"/>
        <w:jc w:val="both"/>
        <w:rPr>
          <w:rFonts w:ascii="Times New Roman" w:hAnsi="Times New Roman" w:cs="Times New Roman"/>
          <w:sz w:val="28"/>
          <w:szCs w:val="28"/>
        </w:rPr>
      </w:pPr>
      <w:r w:rsidRPr="00186CC6">
        <w:rPr>
          <w:rFonts w:ascii="Times New Roman" w:hAnsi="Times New Roman" w:cs="Times New Roman"/>
          <w:sz w:val="28"/>
          <w:szCs w:val="28"/>
        </w:rPr>
        <w:t>Проблема не може бути розв’язана за допомогою ринкових механізмів, оскільки мережа закладів вищої освіти як ключовий елемент ринку освітніх послуг не може бути об’єктом впливу суто ринкових сил і механізмів внаслідок опосередкованого характеру попиту на освітні послуги (з боку роботодавців через споживачів – здобувачів о</w:t>
      </w:r>
      <w:r>
        <w:rPr>
          <w:rFonts w:ascii="Times New Roman" w:hAnsi="Times New Roman" w:cs="Times New Roman"/>
          <w:sz w:val="28"/>
          <w:szCs w:val="28"/>
        </w:rPr>
        <w:t>світи, які мають свої інтереси</w:t>
      </w:r>
      <w:r w:rsidRPr="00186CC6">
        <w:rPr>
          <w:rFonts w:ascii="Times New Roman" w:hAnsi="Times New Roman" w:cs="Times New Roman"/>
          <w:sz w:val="28"/>
          <w:szCs w:val="28"/>
        </w:rPr>
        <w:t xml:space="preserve"> часто не сфокусовані на якості здобутої освіти), негнучкості ринку праці для НПП, що породжує модель пристосування до перенавантаження та лояльної поведінки, наявним значним попитом в Україні на суто формальні ознаки здобутої вищої освіти – диплом, суттєвий публічний ефект від недоброчесної конкуренції з боку окремих закладів вищої освіти у вигляді недовіри до системи в цілому, значною залежністю держави від результатів функціонування мережі внаслідок одночасного виконання нею функцій споживача та надавача (засновн</w:t>
      </w:r>
      <w:r w:rsidR="00961371">
        <w:rPr>
          <w:rFonts w:ascii="Times New Roman" w:hAnsi="Times New Roman" w:cs="Times New Roman"/>
          <w:sz w:val="28"/>
          <w:szCs w:val="28"/>
        </w:rPr>
        <w:t xml:space="preserve">ика) на ринку освітніх послуг. Як </w:t>
      </w:r>
      <w:r w:rsidRPr="00186CC6">
        <w:rPr>
          <w:rFonts w:ascii="Times New Roman" w:hAnsi="Times New Roman" w:cs="Times New Roman"/>
          <w:sz w:val="28"/>
          <w:szCs w:val="28"/>
        </w:rPr>
        <w:t>наслідок питання мережі</w:t>
      </w:r>
      <w:r>
        <w:rPr>
          <w:rFonts w:ascii="Times New Roman" w:hAnsi="Times New Roman" w:cs="Times New Roman"/>
          <w:sz w:val="28"/>
          <w:szCs w:val="28"/>
        </w:rPr>
        <w:t xml:space="preserve"> закладів вищої освіти</w:t>
      </w:r>
      <w:r w:rsidRPr="00186CC6">
        <w:rPr>
          <w:rFonts w:ascii="Times New Roman" w:hAnsi="Times New Roman" w:cs="Times New Roman"/>
          <w:sz w:val="28"/>
          <w:szCs w:val="28"/>
        </w:rPr>
        <w:t xml:space="preserve"> потребують законодавчого унормування умов та стимулів для її модернізації з урахуванням інтересів усіх залучених сторін. </w:t>
      </w:r>
    </w:p>
    <w:p w:rsidR="00961371" w:rsidRDefault="00186CC6" w:rsidP="00866469">
      <w:pPr>
        <w:spacing w:before="240" w:after="0"/>
        <w:ind w:firstLine="709"/>
        <w:jc w:val="both"/>
        <w:rPr>
          <w:rFonts w:ascii="Times New Roman" w:hAnsi="Times New Roman" w:cs="Times New Roman"/>
          <w:sz w:val="28"/>
          <w:szCs w:val="28"/>
        </w:rPr>
      </w:pPr>
      <w:r w:rsidRPr="00961371">
        <w:rPr>
          <w:rFonts w:ascii="Times New Roman" w:hAnsi="Times New Roman" w:cs="Times New Roman"/>
          <w:b/>
          <w:sz w:val="28"/>
          <w:szCs w:val="28"/>
        </w:rPr>
        <w:t>Обґрунтування неможливості вирішення проблеми за допомогою діючих регуляторних актів:</w:t>
      </w:r>
      <w:r w:rsidRPr="00186CC6">
        <w:rPr>
          <w:rFonts w:ascii="Times New Roman" w:hAnsi="Times New Roman" w:cs="Times New Roman"/>
          <w:sz w:val="28"/>
          <w:szCs w:val="28"/>
        </w:rPr>
        <w:t xml:space="preserve"> </w:t>
      </w:r>
    </w:p>
    <w:p w:rsidR="00186CC6" w:rsidRDefault="00186CC6" w:rsidP="00ED421B">
      <w:pPr>
        <w:tabs>
          <w:tab w:val="left" w:pos="301"/>
          <w:tab w:val="left" w:pos="915"/>
        </w:tabs>
        <w:spacing w:after="0"/>
        <w:ind w:firstLine="709"/>
        <w:jc w:val="both"/>
        <w:rPr>
          <w:rFonts w:ascii="Arial" w:hAnsi="Arial" w:cs="Arial"/>
          <w:color w:val="000000"/>
          <w:sz w:val="21"/>
          <w:szCs w:val="21"/>
          <w:shd w:val="clear" w:color="auto" w:fill="E7EEF8"/>
        </w:rPr>
      </w:pPr>
      <w:r w:rsidRPr="00186CC6">
        <w:rPr>
          <w:rFonts w:ascii="Times New Roman" w:hAnsi="Times New Roman" w:cs="Times New Roman"/>
          <w:sz w:val="28"/>
          <w:szCs w:val="28"/>
        </w:rPr>
        <w:t>Проблема не може бути розв’язана за допомогою чинних актів, оскільки системний підхід до модернізації мережі ЗВО, що стосується функціонування ТВСП, закладів фахової передвищої освіти в структурі ЗВО, коледжів як ЗВО, органів управління вищої освіти</w:t>
      </w:r>
      <w:r w:rsidR="005E3204">
        <w:rPr>
          <w:rFonts w:ascii="Times New Roman" w:hAnsi="Times New Roman" w:cs="Times New Roman"/>
          <w:sz w:val="28"/>
          <w:szCs w:val="28"/>
        </w:rPr>
        <w:t xml:space="preserve">, визначення критеріїв належності ЗВО до того </w:t>
      </w:r>
      <w:r w:rsidRPr="00186CC6">
        <w:rPr>
          <w:rFonts w:ascii="Times New Roman" w:hAnsi="Times New Roman" w:cs="Times New Roman"/>
          <w:sz w:val="28"/>
          <w:szCs w:val="28"/>
        </w:rPr>
        <w:t xml:space="preserve"> </w:t>
      </w:r>
      <w:r w:rsidR="00E702FC">
        <w:rPr>
          <w:rFonts w:ascii="Times New Roman" w:hAnsi="Times New Roman" w:cs="Times New Roman"/>
          <w:sz w:val="28"/>
          <w:szCs w:val="28"/>
        </w:rPr>
        <w:t xml:space="preserve">чи іншого типу </w:t>
      </w:r>
      <w:r w:rsidRPr="00186CC6">
        <w:rPr>
          <w:rFonts w:ascii="Times New Roman" w:hAnsi="Times New Roman" w:cs="Times New Roman"/>
          <w:sz w:val="28"/>
          <w:szCs w:val="28"/>
        </w:rPr>
        <w:t xml:space="preserve">передбачає внесення змін у Закон України «Про вищу </w:t>
      </w:r>
      <w:r w:rsidRPr="005E3204">
        <w:rPr>
          <w:rFonts w:ascii="Times New Roman" w:hAnsi="Times New Roman" w:cs="Times New Roman"/>
          <w:sz w:val="28"/>
          <w:szCs w:val="28"/>
        </w:rPr>
        <w:t>освіту».</w:t>
      </w:r>
      <w:r w:rsidR="003675F0" w:rsidRPr="005E3204">
        <w:rPr>
          <w:rFonts w:ascii="Arial" w:hAnsi="Arial" w:cs="Arial"/>
          <w:color w:val="000000"/>
          <w:sz w:val="21"/>
          <w:szCs w:val="21"/>
          <w:shd w:val="clear" w:color="auto" w:fill="E7EEF8"/>
        </w:rPr>
        <w:t xml:space="preserve"> </w:t>
      </w:r>
    </w:p>
    <w:p w:rsidR="00ED290F" w:rsidRPr="00F4016D" w:rsidRDefault="00ED290F" w:rsidP="00D73041">
      <w:pPr>
        <w:tabs>
          <w:tab w:val="left" w:pos="301"/>
          <w:tab w:val="left" w:pos="915"/>
        </w:tabs>
        <w:spacing w:after="0" w:line="240" w:lineRule="auto"/>
        <w:ind w:firstLine="709"/>
        <w:jc w:val="both"/>
        <w:rPr>
          <w:rFonts w:ascii="Times New Roman" w:hAnsi="Times New Roman" w:cs="Times New Roman"/>
          <w:sz w:val="28"/>
          <w:szCs w:val="28"/>
        </w:rPr>
      </w:pPr>
    </w:p>
    <w:p w:rsidR="009C0407" w:rsidRDefault="009C0407" w:rsidP="00ED290F">
      <w:pPr>
        <w:spacing w:after="0"/>
        <w:ind w:firstLine="709"/>
        <w:jc w:val="center"/>
        <w:rPr>
          <w:rFonts w:ascii="Times New Roman" w:hAnsi="Times New Roman" w:cs="Times New Roman"/>
          <w:b/>
          <w:sz w:val="28"/>
          <w:szCs w:val="28"/>
        </w:rPr>
      </w:pPr>
      <w:r w:rsidRPr="00186CC6">
        <w:rPr>
          <w:rFonts w:ascii="Times New Roman" w:hAnsi="Times New Roman" w:cs="Times New Roman"/>
          <w:b/>
          <w:sz w:val="28"/>
          <w:szCs w:val="28"/>
        </w:rPr>
        <w:t>ІІ</w:t>
      </w:r>
      <w:r>
        <w:rPr>
          <w:rFonts w:ascii="Times New Roman" w:hAnsi="Times New Roman" w:cs="Times New Roman"/>
          <w:b/>
          <w:sz w:val="28"/>
          <w:szCs w:val="28"/>
        </w:rPr>
        <w:t>. Цілі державного регулювання</w:t>
      </w:r>
    </w:p>
    <w:p w:rsidR="00ED290F" w:rsidRDefault="00ED290F" w:rsidP="00D73041">
      <w:pPr>
        <w:spacing w:after="0" w:line="240" w:lineRule="auto"/>
        <w:ind w:firstLine="709"/>
        <w:jc w:val="center"/>
        <w:rPr>
          <w:rFonts w:ascii="Times New Roman" w:hAnsi="Times New Roman" w:cs="Times New Roman"/>
          <w:b/>
          <w:sz w:val="28"/>
          <w:szCs w:val="28"/>
        </w:rPr>
      </w:pPr>
    </w:p>
    <w:p w:rsidR="00CF79DE" w:rsidRPr="00E70725" w:rsidRDefault="00CF79DE" w:rsidP="00D33003">
      <w:pPr>
        <w:spacing w:after="0"/>
        <w:ind w:firstLine="709"/>
        <w:jc w:val="both"/>
        <w:rPr>
          <w:rFonts w:ascii="Times New Roman" w:hAnsi="Times New Roman" w:cs="Times New Roman"/>
          <w:color w:val="000000" w:themeColor="text1"/>
          <w:sz w:val="28"/>
          <w:szCs w:val="28"/>
        </w:rPr>
      </w:pPr>
      <w:r w:rsidRPr="00E70725">
        <w:rPr>
          <w:rFonts w:ascii="Times New Roman" w:hAnsi="Times New Roman"/>
          <w:color w:val="000000" w:themeColor="text1"/>
          <w:sz w:val="28"/>
          <w:szCs w:val="28"/>
        </w:rPr>
        <w:t xml:space="preserve">Основною ціллю державного регулювання є створення передумов для виконання вимог до євроінтеграції, зокрема </w:t>
      </w:r>
      <w:r w:rsidR="00B5191E" w:rsidRPr="00E70725">
        <w:rPr>
          <w:rFonts w:ascii="Times New Roman" w:eastAsia="Segoe UI" w:hAnsi="Times New Roman" w:cs="Times New Roman"/>
          <w:color w:val="000000" w:themeColor="text1"/>
          <w:sz w:val="28"/>
          <w:szCs w:val="28"/>
        </w:rPr>
        <w:t>реалізації плану з оптимізації мережі закладів освіти.</w:t>
      </w:r>
    </w:p>
    <w:p w:rsidR="00963701" w:rsidRPr="00E70725" w:rsidRDefault="00A077D6" w:rsidP="005964A5">
      <w:pPr>
        <w:pStyle w:val="1"/>
        <w:suppressAutoHyphens w:val="0"/>
        <w:spacing w:line="259" w:lineRule="auto"/>
        <w:ind w:firstLine="709"/>
        <w:contextualSpacing/>
        <w:jc w:val="both"/>
        <w:rPr>
          <w:rFonts w:ascii="Times New Roman" w:hAnsi="Times New Roman" w:cs="Times New Roman"/>
          <w:color w:val="000000" w:themeColor="text1"/>
          <w:sz w:val="28"/>
          <w:szCs w:val="28"/>
          <w:lang w:val="uk-UA"/>
        </w:rPr>
      </w:pPr>
      <w:r w:rsidRPr="00E70725">
        <w:rPr>
          <w:rFonts w:ascii="Times New Roman" w:hAnsi="Times New Roman" w:cs="Times New Roman"/>
          <w:color w:val="000000" w:themeColor="text1"/>
          <w:sz w:val="28"/>
          <w:szCs w:val="28"/>
          <w:lang w:val="uk-UA"/>
        </w:rPr>
        <w:t xml:space="preserve">Прийняття </w:t>
      </w:r>
      <w:proofErr w:type="spellStart"/>
      <w:r w:rsidRPr="00E70725">
        <w:rPr>
          <w:rFonts w:ascii="Times New Roman" w:hAnsi="Times New Roman" w:cs="Times New Roman"/>
          <w:color w:val="000000" w:themeColor="text1"/>
          <w:sz w:val="28"/>
          <w:szCs w:val="28"/>
          <w:lang w:val="uk-UA"/>
        </w:rPr>
        <w:t>п</w:t>
      </w:r>
      <w:r w:rsidR="00FC71D1" w:rsidRPr="00E70725">
        <w:rPr>
          <w:rFonts w:ascii="Times New Roman" w:hAnsi="Times New Roman" w:cs="Times New Roman"/>
          <w:color w:val="000000" w:themeColor="text1"/>
          <w:sz w:val="28"/>
          <w:szCs w:val="28"/>
          <w:lang w:val="uk-UA"/>
        </w:rPr>
        <w:t>роє</w:t>
      </w:r>
      <w:r w:rsidR="00963701" w:rsidRPr="00E70725">
        <w:rPr>
          <w:rFonts w:ascii="Times New Roman" w:hAnsi="Times New Roman" w:cs="Times New Roman"/>
          <w:color w:val="000000" w:themeColor="text1"/>
          <w:sz w:val="28"/>
          <w:szCs w:val="28"/>
          <w:lang w:val="uk-UA"/>
        </w:rPr>
        <w:t>кту</w:t>
      </w:r>
      <w:proofErr w:type="spellEnd"/>
      <w:r w:rsidR="00FC71D1" w:rsidRPr="00E70725">
        <w:rPr>
          <w:rFonts w:ascii="Times New Roman" w:hAnsi="Times New Roman" w:cs="Times New Roman"/>
          <w:color w:val="000000" w:themeColor="text1"/>
          <w:sz w:val="28"/>
          <w:szCs w:val="28"/>
          <w:lang w:val="uk-UA"/>
        </w:rPr>
        <w:t xml:space="preserve"> </w:t>
      </w:r>
      <w:proofErr w:type="spellStart"/>
      <w:r w:rsidR="00FC71D1" w:rsidRPr="00E70725">
        <w:rPr>
          <w:rFonts w:ascii="Times New Roman" w:hAnsi="Times New Roman" w:cs="Times New Roman"/>
          <w:color w:val="000000" w:themeColor="text1"/>
          <w:sz w:val="28"/>
          <w:szCs w:val="28"/>
          <w:lang w:val="uk-UA"/>
        </w:rPr>
        <w:t>акта</w:t>
      </w:r>
      <w:proofErr w:type="spellEnd"/>
      <w:r w:rsidR="00FC71D1" w:rsidRPr="00E70725">
        <w:rPr>
          <w:rFonts w:ascii="Times New Roman" w:hAnsi="Times New Roman" w:cs="Times New Roman"/>
          <w:color w:val="000000" w:themeColor="text1"/>
          <w:sz w:val="28"/>
          <w:szCs w:val="28"/>
          <w:lang w:val="uk-UA"/>
        </w:rPr>
        <w:t xml:space="preserve"> </w:t>
      </w:r>
      <w:r w:rsidRPr="00E70725">
        <w:rPr>
          <w:rFonts w:ascii="Times New Roman" w:hAnsi="Times New Roman" w:cs="Times New Roman"/>
          <w:color w:val="000000" w:themeColor="text1"/>
          <w:sz w:val="28"/>
          <w:szCs w:val="28"/>
          <w:lang w:val="uk-UA"/>
        </w:rPr>
        <w:t>дозволить</w:t>
      </w:r>
      <w:r w:rsidR="00963701" w:rsidRPr="00E70725">
        <w:rPr>
          <w:rFonts w:ascii="Times New Roman" w:hAnsi="Times New Roman" w:cs="Times New Roman"/>
          <w:color w:val="000000" w:themeColor="text1"/>
          <w:sz w:val="28"/>
          <w:szCs w:val="28"/>
          <w:lang w:val="uk-UA"/>
        </w:rPr>
        <w:t>:</w:t>
      </w:r>
    </w:p>
    <w:p w:rsidR="00963701" w:rsidRPr="00E70725" w:rsidRDefault="00963701" w:rsidP="005964A5">
      <w:pPr>
        <w:pStyle w:val="1"/>
        <w:suppressAutoHyphens w:val="0"/>
        <w:spacing w:line="259" w:lineRule="auto"/>
        <w:ind w:firstLine="709"/>
        <w:contextualSpacing/>
        <w:jc w:val="both"/>
        <w:rPr>
          <w:rFonts w:ascii="Times New Roman" w:hAnsi="Times New Roman" w:cs="Times New Roman"/>
          <w:color w:val="000000" w:themeColor="text1"/>
          <w:sz w:val="28"/>
          <w:lang w:val="uk-UA"/>
        </w:rPr>
      </w:pPr>
      <w:r w:rsidRPr="00E70725">
        <w:rPr>
          <w:rFonts w:ascii="Times New Roman" w:hAnsi="Times New Roman" w:cs="Times New Roman"/>
          <w:color w:val="000000" w:themeColor="text1"/>
          <w:sz w:val="28"/>
          <w:szCs w:val="28"/>
          <w:lang w:val="uk-UA"/>
        </w:rPr>
        <w:t>-</w:t>
      </w:r>
      <w:r w:rsidR="005964A5" w:rsidRPr="00E70725">
        <w:rPr>
          <w:rFonts w:ascii="Times New Roman" w:hAnsi="Times New Roman" w:cs="Times New Roman"/>
          <w:color w:val="000000" w:themeColor="text1"/>
          <w:sz w:val="28"/>
          <w:szCs w:val="28"/>
          <w:lang w:val="uk-UA"/>
        </w:rPr>
        <w:t xml:space="preserve"> </w:t>
      </w:r>
      <w:r w:rsidR="00A077D6" w:rsidRPr="00E70725">
        <w:rPr>
          <w:rFonts w:ascii="Times New Roman" w:hAnsi="Times New Roman" w:cs="Times New Roman"/>
          <w:color w:val="000000" w:themeColor="text1"/>
          <w:sz w:val="28"/>
          <w:lang w:val="uk-UA"/>
        </w:rPr>
        <w:t>реорганізувати</w:t>
      </w:r>
      <w:r w:rsidR="00FC71D1" w:rsidRPr="00E70725">
        <w:rPr>
          <w:rFonts w:ascii="Times New Roman" w:hAnsi="Times New Roman" w:cs="Times New Roman"/>
          <w:color w:val="000000" w:themeColor="text1"/>
          <w:sz w:val="28"/>
          <w:lang w:val="uk-UA"/>
        </w:rPr>
        <w:t xml:space="preserve"> найбільш розвинені ТВСП і коледжі в самостійні та відпові</w:t>
      </w:r>
      <w:r w:rsidR="00A077D6" w:rsidRPr="00E70725">
        <w:rPr>
          <w:rFonts w:ascii="Times New Roman" w:hAnsi="Times New Roman" w:cs="Times New Roman"/>
          <w:color w:val="000000" w:themeColor="text1"/>
          <w:sz w:val="28"/>
          <w:lang w:val="uk-UA"/>
        </w:rPr>
        <w:t xml:space="preserve">дальні </w:t>
      </w:r>
      <w:r w:rsidRPr="00E70725">
        <w:rPr>
          <w:rFonts w:ascii="Times New Roman" w:hAnsi="Times New Roman" w:cs="Times New Roman"/>
          <w:color w:val="000000" w:themeColor="text1"/>
          <w:sz w:val="28"/>
          <w:lang w:val="uk-UA"/>
        </w:rPr>
        <w:t xml:space="preserve">університети, академії чи інститути, </w:t>
      </w:r>
      <w:r w:rsidR="00B126DB" w:rsidRPr="00E70725">
        <w:rPr>
          <w:rFonts w:ascii="Times New Roman" w:hAnsi="Times New Roman" w:cs="Times New Roman"/>
          <w:color w:val="000000" w:themeColor="text1"/>
          <w:sz w:val="28"/>
          <w:lang w:val="uk-UA"/>
        </w:rPr>
        <w:t xml:space="preserve">решту реорганізувати в заклади фахової </w:t>
      </w:r>
      <w:proofErr w:type="spellStart"/>
      <w:r w:rsidR="00B126DB" w:rsidRPr="00E70725">
        <w:rPr>
          <w:rFonts w:ascii="Times New Roman" w:hAnsi="Times New Roman" w:cs="Times New Roman"/>
          <w:color w:val="000000" w:themeColor="text1"/>
          <w:sz w:val="28"/>
          <w:lang w:val="uk-UA"/>
        </w:rPr>
        <w:t>передвищої</w:t>
      </w:r>
      <w:proofErr w:type="spellEnd"/>
      <w:r w:rsidR="00B126DB" w:rsidRPr="00E70725">
        <w:rPr>
          <w:rFonts w:ascii="Times New Roman" w:hAnsi="Times New Roman" w:cs="Times New Roman"/>
          <w:color w:val="000000" w:themeColor="text1"/>
          <w:sz w:val="28"/>
          <w:lang w:val="uk-UA"/>
        </w:rPr>
        <w:t xml:space="preserve"> освіти, приєднати до місцевих ЗВО або припинити їх діяльність;</w:t>
      </w:r>
    </w:p>
    <w:p w:rsidR="00054BDE" w:rsidRPr="00E70725" w:rsidRDefault="00B126DB" w:rsidP="005964A5">
      <w:pPr>
        <w:pStyle w:val="1"/>
        <w:suppressAutoHyphens w:val="0"/>
        <w:spacing w:line="259" w:lineRule="auto"/>
        <w:ind w:firstLine="709"/>
        <w:contextualSpacing/>
        <w:jc w:val="both"/>
        <w:rPr>
          <w:rFonts w:ascii="Times New Roman" w:hAnsi="Times New Roman" w:cs="Times New Roman"/>
          <w:color w:val="000000" w:themeColor="text1"/>
          <w:sz w:val="28"/>
          <w:lang w:val="uk-UA"/>
        </w:rPr>
      </w:pPr>
      <w:r w:rsidRPr="00E70725">
        <w:rPr>
          <w:rFonts w:ascii="Times New Roman" w:hAnsi="Times New Roman" w:cs="Times New Roman"/>
          <w:color w:val="000000" w:themeColor="text1"/>
          <w:sz w:val="28"/>
          <w:lang w:val="uk-UA"/>
        </w:rPr>
        <w:t xml:space="preserve">- </w:t>
      </w:r>
      <w:r w:rsidR="00054BDE" w:rsidRPr="00E70725">
        <w:rPr>
          <w:rFonts w:ascii="Times New Roman" w:hAnsi="Times New Roman" w:cs="Times New Roman"/>
          <w:color w:val="000000" w:themeColor="text1"/>
          <w:sz w:val="28"/>
          <w:lang w:val="uk-UA"/>
        </w:rPr>
        <w:t>виокремити фахові коледжі із структури закладів вищої освіти в самостійні юридичні особи</w:t>
      </w:r>
      <w:r w:rsidR="00626FCB" w:rsidRPr="00E70725">
        <w:rPr>
          <w:rFonts w:ascii="Times New Roman" w:hAnsi="Times New Roman" w:cs="Times New Roman"/>
          <w:color w:val="000000" w:themeColor="text1"/>
          <w:sz w:val="28"/>
          <w:lang w:val="uk-UA"/>
        </w:rPr>
        <w:t xml:space="preserve"> – заклади фахової </w:t>
      </w:r>
      <w:proofErr w:type="spellStart"/>
      <w:r w:rsidR="00626FCB" w:rsidRPr="00E70725">
        <w:rPr>
          <w:rFonts w:ascii="Times New Roman" w:hAnsi="Times New Roman" w:cs="Times New Roman"/>
          <w:color w:val="000000" w:themeColor="text1"/>
          <w:sz w:val="28"/>
          <w:lang w:val="uk-UA"/>
        </w:rPr>
        <w:t>передвищої</w:t>
      </w:r>
      <w:proofErr w:type="spellEnd"/>
      <w:r w:rsidR="00626FCB" w:rsidRPr="00E70725">
        <w:rPr>
          <w:rFonts w:ascii="Times New Roman" w:hAnsi="Times New Roman" w:cs="Times New Roman"/>
          <w:color w:val="000000" w:themeColor="text1"/>
          <w:sz w:val="28"/>
          <w:lang w:val="uk-UA"/>
        </w:rPr>
        <w:t xml:space="preserve"> такої самої форми власності</w:t>
      </w:r>
      <w:r w:rsidR="00054BDE" w:rsidRPr="00E70725">
        <w:rPr>
          <w:rFonts w:ascii="Times New Roman" w:hAnsi="Times New Roman" w:cs="Times New Roman"/>
          <w:color w:val="000000" w:themeColor="text1"/>
          <w:sz w:val="28"/>
          <w:lang w:val="uk-UA"/>
        </w:rPr>
        <w:t xml:space="preserve">, залишивши у складі закладу вищої освіти тільки один заклад фахової </w:t>
      </w:r>
      <w:proofErr w:type="spellStart"/>
      <w:r w:rsidR="00054BDE" w:rsidRPr="00E70725">
        <w:rPr>
          <w:rFonts w:ascii="Times New Roman" w:hAnsi="Times New Roman" w:cs="Times New Roman"/>
          <w:color w:val="000000" w:themeColor="text1"/>
          <w:sz w:val="28"/>
          <w:lang w:val="uk-UA"/>
        </w:rPr>
        <w:lastRenderedPageBreak/>
        <w:t>передвищої</w:t>
      </w:r>
      <w:proofErr w:type="spellEnd"/>
      <w:r w:rsidR="00054BDE" w:rsidRPr="00E70725">
        <w:rPr>
          <w:rFonts w:ascii="Times New Roman" w:hAnsi="Times New Roman" w:cs="Times New Roman"/>
          <w:color w:val="000000" w:themeColor="text1"/>
          <w:sz w:val="28"/>
          <w:lang w:val="uk-UA"/>
        </w:rPr>
        <w:t xml:space="preserve"> освіти, що розташований у тій же або суміжній громаді, тому самому або суміжному районі із закладом вищої освіти.</w:t>
      </w:r>
    </w:p>
    <w:p w:rsidR="00B126DB" w:rsidRPr="00E70725" w:rsidRDefault="00B246CC" w:rsidP="001E7404">
      <w:pPr>
        <w:spacing w:after="0"/>
        <w:ind w:firstLine="709"/>
        <w:jc w:val="both"/>
        <w:rPr>
          <w:rFonts w:ascii="Times New Roman" w:hAnsi="Times New Roman" w:cs="Times New Roman"/>
          <w:color w:val="000000" w:themeColor="text1"/>
          <w:sz w:val="28"/>
          <w:szCs w:val="28"/>
        </w:rPr>
      </w:pPr>
      <w:r w:rsidRPr="00E70725">
        <w:rPr>
          <w:rFonts w:ascii="Times New Roman" w:hAnsi="Times New Roman" w:cs="Times New Roman"/>
          <w:color w:val="000000" w:themeColor="text1"/>
          <w:sz w:val="28"/>
          <w:szCs w:val="28"/>
        </w:rPr>
        <w:t xml:space="preserve">Прийняття </w:t>
      </w:r>
      <w:proofErr w:type="spellStart"/>
      <w:r w:rsidRPr="00E70725">
        <w:rPr>
          <w:rFonts w:ascii="Times New Roman" w:hAnsi="Times New Roman" w:cs="Times New Roman"/>
          <w:color w:val="000000" w:themeColor="text1"/>
          <w:sz w:val="28"/>
          <w:szCs w:val="28"/>
        </w:rPr>
        <w:t>проєкта</w:t>
      </w:r>
      <w:proofErr w:type="spellEnd"/>
      <w:r w:rsidRPr="00E70725">
        <w:rPr>
          <w:rFonts w:ascii="Times New Roman" w:hAnsi="Times New Roman" w:cs="Times New Roman"/>
          <w:color w:val="000000" w:themeColor="text1"/>
          <w:sz w:val="28"/>
          <w:szCs w:val="28"/>
        </w:rPr>
        <w:t xml:space="preserve"> </w:t>
      </w:r>
      <w:proofErr w:type="spellStart"/>
      <w:r w:rsidRPr="00E70725">
        <w:rPr>
          <w:rFonts w:ascii="Times New Roman" w:hAnsi="Times New Roman" w:cs="Times New Roman"/>
          <w:color w:val="000000" w:themeColor="text1"/>
          <w:sz w:val="28"/>
          <w:szCs w:val="28"/>
        </w:rPr>
        <w:t>акта</w:t>
      </w:r>
      <w:proofErr w:type="spellEnd"/>
      <w:r w:rsidRPr="00E70725">
        <w:rPr>
          <w:rFonts w:ascii="Times New Roman" w:hAnsi="Times New Roman" w:cs="Times New Roman"/>
          <w:color w:val="000000" w:themeColor="text1"/>
          <w:sz w:val="28"/>
          <w:szCs w:val="28"/>
        </w:rPr>
        <w:t xml:space="preserve"> сприятиме </w:t>
      </w:r>
      <w:r w:rsidR="005964A5" w:rsidRPr="00E70725">
        <w:rPr>
          <w:rFonts w:ascii="Times New Roman" w:hAnsi="Times New Roman" w:cs="Times New Roman"/>
          <w:color w:val="000000" w:themeColor="text1"/>
          <w:sz w:val="28"/>
          <w:szCs w:val="28"/>
        </w:rPr>
        <w:t>формуванню</w:t>
      </w:r>
      <w:r w:rsidR="00054BDE" w:rsidRPr="00E70725">
        <w:rPr>
          <w:rFonts w:ascii="Times New Roman" w:hAnsi="Times New Roman" w:cs="Times New Roman"/>
          <w:color w:val="000000" w:themeColor="text1"/>
          <w:sz w:val="28"/>
          <w:szCs w:val="28"/>
        </w:rPr>
        <w:t xml:space="preserve"> передумов для повноцінного розвитку різн</w:t>
      </w:r>
      <w:r w:rsidR="005964A5" w:rsidRPr="00E70725">
        <w:rPr>
          <w:rFonts w:ascii="Times New Roman" w:hAnsi="Times New Roman" w:cs="Times New Roman"/>
          <w:color w:val="000000" w:themeColor="text1"/>
          <w:sz w:val="28"/>
          <w:szCs w:val="28"/>
        </w:rPr>
        <w:t>их типів</w:t>
      </w:r>
      <w:r w:rsidR="00054BDE" w:rsidRPr="00E70725">
        <w:rPr>
          <w:rFonts w:ascii="Times New Roman" w:hAnsi="Times New Roman" w:cs="Times New Roman"/>
          <w:color w:val="000000" w:themeColor="text1"/>
          <w:sz w:val="28"/>
          <w:szCs w:val="28"/>
        </w:rPr>
        <w:t xml:space="preserve"> закладів вищої освіти, де</w:t>
      </w:r>
      <w:r w:rsidR="005964A5" w:rsidRPr="00E70725">
        <w:rPr>
          <w:rFonts w:ascii="Times New Roman" w:hAnsi="Times New Roman" w:cs="Times New Roman"/>
          <w:color w:val="000000" w:themeColor="text1"/>
          <w:sz w:val="28"/>
          <w:szCs w:val="28"/>
        </w:rPr>
        <w:t xml:space="preserve"> навколо </w:t>
      </w:r>
      <w:r w:rsidR="00054BDE" w:rsidRPr="00E70725">
        <w:rPr>
          <w:rFonts w:ascii="Times New Roman" w:hAnsi="Times New Roman" w:cs="Times New Roman"/>
          <w:color w:val="000000" w:themeColor="text1"/>
          <w:sz w:val="28"/>
          <w:szCs w:val="28"/>
        </w:rPr>
        <w:t>університет</w:t>
      </w:r>
      <w:r w:rsidR="005964A5" w:rsidRPr="00E70725">
        <w:rPr>
          <w:rFonts w:ascii="Times New Roman" w:hAnsi="Times New Roman" w:cs="Times New Roman"/>
          <w:color w:val="000000" w:themeColor="text1"/>
          <w:sz w:val="28"/>
          <w:szCs w:val="28"/>
        </w:rPr>
        <w:t>ів буде сконцентровано максимальний потенціал (</w:t>
      </w:r>
      <w:r w:rsidR="00B126DB" w:rsidRPr="00E70725">
        <w:rPr>
          <w:rFonts w:ascii="Times New Roman" w:hAnsi="Times New Roman" w:cs="Times New Roman"/>
          <w:color w:val="000000" w:themeColor="text1"/>
          <w:sz w:val="28"/>
          <w:szCs w:val="28"/>
        </w:rPr>
        <w:t xml:space="preserve">людський, </w:t>
      </w:r>
      <w:r w:rsidR="005964A5" w:rsidRPr="00E70725">
        <w:rPr>
          <w:rFonts w:ascii="Times New Roman" w:hAnsi="Times New Roman" w:cs="Times New Roman"/>
          <w:color w:val="000000" w:themeColor="text1"/>
          <w:sz w:val="28"/>
          <w:szCs w:val="28"/>
        </w:rPr>
        <w:t xml:space="preserve">фінансовий, ресурсний), який дозволить підвищити їхню </w:t>
      </w:r>
      <w:r w:rsidR="00B126DB" w:rsidRPr="00E70725">
        <w:rPr>
          <w:rFonts w:ascii="Times New Roman" w:hAnsi="Times New Roman" w:cs="Times New Roman"/>
          <w:color w:val="000000" w:themeColor="text1"/>
          <w:sz w:val="28"/>
          <w:szCs w:val="28"/>
        </w:rPr>
        <w:t>конкурентоспроможність</w:t>
      </w:r>
      <w:r w:rsidR="005964A5" w:rsidRPr="00E70725">
        <w:rPr>
          <w:rFonts w:ascii="Times New Roman" w:hAnsi="Times New Roman" w:cs="Times New Roman"/>
          <w:color w:val="000000" w:themeColor="text1"/>
          <w:sz w:val="28"/>
          <w:szCs w:val="28"/>
        </w:rPr>
        <w:t xml:space="preserve"> на ринку освітніх послуг, науковому та ін</w:t>
      </w:r>
      <w:r w:rsidR="00B126DB" w:rsidRPr="00E70725">
        <w:rPr>
          <w:rFonts w:ascii="Times New Roman" w:hAnsi="Times New Roman" w:cs="Times New Roman"/>
          <w:color w:val="000000" w:themeColor="text1"/>
          <w:sz w:val="28"/>
          <w:szCs w:val="28"/>
        </w:rPr>
        <w:t>н</w:t>
      </w:r>
      <w:r w:rsidR="005964A5" w:rsidRPr="00E70725">
        <w:rPr>
          <w:rFonts w:ascii="Times New Roman" w:hAnsi="Times New Roman" w:cs="Times New Roman"/>
          <w:color w:val="000000" w:themeColor="text1"/>
          <w:sz w:val="28"/>
          <w:szCs w:val="28"/>
        </w:rPr>
        <w:t>оваційному світовому просторі</w:t>
      </w:r>
      <w:r w:rsidR="00B126DB" w:rsidRPr="00E70725">
        <w:rPr>
          <w:rFonts w:ascii="Times New Roman" w:hAnsi="Times New Roman" w:cs="Times New Roman"/>
          <w:color w:val="000000" w:themeColor="text1"/>
          <w:sz w:val="28"/>
          <w:szCs w:val="28"/>
        </w:rPr>
        <w:t>.</w:t>
      </w:r>
    </w:p>
    <w:p w:rsidR="009F7DF6" w:rsidRDefault="009F7DF6" w:rsidP="00894135">
      <w:pPr>
        <w:pStyle w:val="a4"/>
        <w:spacing w:after="0" w:line="240" w:lineRule="auto"/>
        <w:ind w:left="40" w:firstLine="709"/>
        <w:jc w:val="both"/>
        <w:rPr>
          <w:rFonts w:ascii="Times New Roman" w:eastAsia="Times New Roman" w:hAnsi="Times New Roman"/>
          <w:color w:val="000000" w:themeColor="text1"/>
          <w:sz w:val="28"/>
        </w:rPr>
      </w:pPr>
    </w:p>
    <w:p w:rsidR="009C0407" w:rsidRDefault="009C0407" w:rsidP="008941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ІІІ. Визначення та оцінка альтернативних способів досягнення цілей</w:t>
      </w:r>
    </w:p>
    <w:p w:rsidR="00ED290F" w:rsidRDefault="00ED290F" w:rsidP="00894135">
      <w:pPr>
        <w:spacing w:after="0" w:line="240" w:lineRule="auto"/>
        <w:jc w:val="center"/>
        <w:rPr>
          <w:rFonts w:ascii="Times New Roman" w:hAnsi="Times New Roman" w:cs="Times New Roman"/>
          <w:b/>
          <w:sz w:val="28"/>
          <w:szCs w:val="28"/>
        </w:rPr>
      </w:pPr>
    </w:p>
    <w:p w:rsidR="00D42DE4" w:rsidRPr="00D42DE4" w:rsidRDefault="00D42DE4" w:rsidP="00ED290F">
      <w:pPr>
        <w:pStyle w:val="a4"/>
        <w:numPr>
          <w:ilvl w:val="0"/>
          <w:numId w:val="1"/>
        </w:numPr>
        <w:spacing w:after="120"/>
        <w:ind w:left="714" w:hanging="357"/>
        <w:rPr>
          <w:rFonts w:ascii="Times New Roman" w:hAnsi="Times New Roman" w:cs="Times New Roman"/>
          <w:b/>
          <w:sz w:val="28"/>
          <w:szCs w:val="28"/>
        </w:rPr>
      </w:pPr>
      <w:r>
        <w:rPr>
          <w:rFonts w:ascii="Times New Roman" w:hAnsi="Times New Roman" w:cs="Times New Roman"/>
          <w:b/>
          <w:sz w:val="28"/>
          <w:szCs w:val="28"/>
        </w:rPr>
        <w:t>Визначення альтернативних способів</w:t>
      </w:r>
    </w:p>
    <w:tbl>
      <w:tblPr>
        <w:tblStyle w:val="a3"/>
        <w:tblW w:w="0" w:type="auto"/>
        <w:tblLook w:val="04A0" w:firstRow="1" w:lastRow="0" w:firstColumn="1" w:lastColumn="0" w:noHBand="0" w:noVBand="1"/>
      </w:tblPr>
      <w:tblGrid>
        <w:gridCol w:w="2249"/>
        <w:gridCol w:w="7378"/>
      </w:tblGrid>
      <w:tr w:rsidR="00506147" w:rsidTr="00807C50">
        <w:tc>
          <w:tcPr>
            <w:tcW w:w="2249" w:type="dxa"/>
          </w:tcPr>
          <w:p w:rsidR="00506147" w:rsidRPr="002E6F51" w:rsidRDefault="00506147" w:rsidP="009C0407">
            <w:pPr>
              <w:jc w:val="both"/>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7380" w:type="dxa"/>
          </w:tcPr>
          <w:p w:rsidR="00506147" w:rsidRPr="002E6F51" w:rsidRDefault="00506147" w:rsidP="009C0407">
            <w:pPr>
              <w:jc w:val="both"/>
              <w:rPr>
                <w:rFonts w:ascii="Times New Roman" w:hAnsi="Times New Roman" w:cs="Times New Roman"/>
                <w:b/>
                <w:sz w:val="24"/>
                <w:szCs w:val="24"/>
              </w:rPr>
            </w:pPr>
            <w:r w:rsidRPr="002E6F51">
              <w:rPr>
                <w:rFonts w:ascii="Times New Roman" w:hAnsi="Times New Roman" w:cs="Times New Roman"/>
                <w:b/>
                <w:sz w:val="24"/>
                <w:szCs w:val="24"/>
              </w:rPr>
              <w:t>Опис альтернативи</w:t>
            </w:r>
          </w:p>
        </w:tc>
      </w:tr>
      <w:tr w:rsidR="00506147" w:rsidTr="00807C50">
        <w:tc>
          <w:tcPr>
            <w:tcW w:w="2249"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1</w:t>
            </w:r>
          </w:p>
        </w:tc>
        <w:tc>
          <w:tcPr>
            <w:tcW w:w="7380"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З</w:t>
            </w:r>
            <w:r w:rsidR="00FF7511">
              <w:rPr>
                <w:rFonts w:ascii="Times New Roman" w:hAnsi="Times New Roman" w:cs="Times New Roman"/>
                <w:sz w:val="24"/>
                <w:szCs w:val="24"/>
              </w:rPr>
              <w:t>алишення</w:t>
            </w:r>
            <w:r w:rsidRPr="002E6F51">
              <w:rPr>
                <w:rFonts w:ascii="Times New Roman" w:hAnsi="Times New Roman" w:cs="Times New Roman"/>
                <w:sz w:val="24"/>
                <w:szCs w:val="24"/>
              </w:rPr>
              <w:t xml:space="preserve"> існуючо</w:t>
            </w:r>
            <w:r w:rsidR="00FF7511">
              <w:rPr>
                <w:rFonts w:ascii="Times New Roman" w:hAnsi="Times New Roman" w:cs="Times New Roman"/>
                <w:sz w:val="24"/>
                <w:szCs w:val="24"/>
              </w:rPr>
              <w:t>ї</w:t>
            </w:r>
            <w:r w:rsidRPr="002E6F51">
              <w:rPr>
                <w:rFonts w:ascii="Times New Roman" w:hAnsi="Times New Roman" w:cs="Times New Roman"/>
                <w:sz w:val="24"/>
                <w:szCs w:val="24"/>
              </w:rPr>
              <w:t xml:space="preserve"> </w:t>
            </w:r>
            <w:r w:rsidR="00FF7511">
              <w:rPr>
                <w:rFonts w:ascii="Times New Roman" w:hAnsi="Times New Roman" w:cs="Times New Roman"/>
                <w:sz w:val="24"/>
                <w:szCs w:val="24"/>
              </w:rPr>
              <w:t>ситуації без змін.</w:t>
            </w:r>
            <w:r w:rsidRPr="002E6F51">
              <w:rPr>
                <w:rFonts w:ascii="Times New Roman" w:hAnsi="Times New Roman" w:cs="Times New Roman"/>
                <w:sz w:val="24"/>
                <w:szCs w:val="24"/>
              </w:rPr>
              <w:t xml:space="preserve"> </w:t>
            </w:r>
          </w:p>
          <w:p w:rsidR="0073054F" w:rsidRPr="0073054F" w:rsidRDefault="007608C4" w:rsidP="00BA6B78">
            <w:pPr>
              <w:spacing w:before="40" w:after="120"/>
              <w:jc w:val="both"/>
              <w:rPr>
                <w:rFonts w:ascii="Times New Roman" w:hAnsi="Times New Roman" w:cs="Times New Roman"/>
                <w:sz w:val="24"/>
                <w:szCs w:val="24"/>
              </w:rPr>
            </w:pPr>
            <w:r>
              <w:rPr>
                <w:rFonts w:ascii="Times New Roman" w:hAnsi="Times New Roman" w:cs="Times New Roman"/>
                <w:sz w:val="24"/>
                <w:szCs w:val="24"/>
              </w:rPr>
              <w:t xml:space="preserve">Не прийняття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w:t>
            </w:r>
            <w:r w:rsidRPr="002E6F51">
              <w:rPr>
                <w:rFonts w:ascii="Times New Roman" w:hAnsi="Times New Roman" w:cs="Times New Roman"/>
                <w:sz w:val="24"/>
                <w:szCs w:val="24"/>
              </w:rPr>
              <w:t>Закону України «Про внесення змін до деяких законів України (щодо створення передумов для модернізації мережі закладів освіти)»</w:t>
            </w:r>
            <w:r>
              <w:rPr>
                <w:rFonts w:ascii="Times New Roman" w:hAnsi="Times New Roman" w:cs="Times New Roman"/>
                <w:sz w:val="24"/>
                <w:szCs w:val="24"/>
              </w:rPr>
              <w:t xml:space="preserve"> призводить до невиконання рекомендацій Європейської комісії, представлених у Звіті</w:t>
            </w:r>
            <w:r w:rsidR="00A73437">
              <w:rPr>
                <w:rFonts w:ascii="Times New Roman" w:hAnsi="Times New Roman" w:cs="Times New Roman"/>
                <w:sz w:val="24"/>
                <w:szCs w:val="24"/>
              </w:rPr>
              <w:t xml:space="preserve"> про прогрес України в рамках Пакета розширення Європейського Союзу 2023 року, затвердженого розпорядженням Кабінету Міністрів України від 09 лютого 2024 № 133-р</w:t>
            </w:r>
            <w:r w:rsidR="0001645E">
              <w:rPr>
                <w:rFonts w:ascii="Times New Roman" w:hAnsi="Times New Roman" w:cs="Times New Roman"/>
                <w:sz w:val="24"/>
                <w:szCs w:val="24"/>
              </w:rPr>
              <w:t xml:space="preserve">; </w:t>
            </w:r>
            <w:r w:rsidR="0073054F">
              <w:rPr>
                <w:rFonts w:ascii="Times New Roman" w:hAnsi="Times New Roman" w:cs="Times New Roman"/>
                <w:color w:val="000000" w:themeColor="text1"/>
                <w:sz w:val="24"/>
                <w:szCs w:val="24"/>
                <w:shd w:val="clear" w:color="auto" w:fill="FFFFFF"/>
              </w:rPr>
              <w:t>о</w:t>
            </w:r>
            <w:r w:rsidR="0073054F" w:rsidRPr="0073054F">
              <w:rPr>
                <w:rFonts w:ascii="Times New Roman" w:hAnsi="Times New Roman" w:cs="Times New Roman"/>
                <w:color w:val="000000" w:themeColor="text1"/>
                <w:sz w:val="24"/>
                <w:szCs w:val="24"/>
                <w:shd w:val="clear" w:color="auto" w:fill="FFFFFF"/>
              </w:rPr>
              <w:t>бмеження наявного фінансування із Державного бюджету із потенційними ризиками щодо погіршення цієї ситуації у повоєнний час та після війни на етапі відновлення економіки країни призводить до неефективності та недостатності фінансового забезпечення підготовки кадрів, неадекватності масштабів та структури наявної мережі закладів вищої освіти фінансовій спроможності держави щодо забезпечення її функціонування та обсягам інвестування у необхідну модернізацію системи вищої освіти</w:t>
            </w:r>
            <w:r w:rsidR="00C360A8">
              <w:rPr>
                <w:rFonts w:ascii="Times New Roman" w:hAnsi="Times New Roman" w:cs="Times New Roman"/>
                <w:color w:val="000000" w:themeColor="text1"/>
                <w:sz w:val="24"/>
                <w:szCs w:val="24"/>
                <w:shd w:val="clear" w:color="auto" w:fill="FFFFFF"/>
              </w:rPr>
              <w:t>;</w:t>
            </w:r>
            <w:r w:rsidR="0073054F">
              <w:rPr>
                <w:rFonts w:ascii="Times New Roman" w:hAnsi="Times New Roman" w:cs="Times New Roman"/>
                <w:color w:val="000000" w:themeColor="text1"/>
                <w:sz w:val="24"/>
                <w:szCs w:val="24"/>
                <w:shd w:val="clear" w:color="auto" w:fill="FFFFFF"/>
              </w:rPr>
              <w:t xml:space="preserve"> </w:t>
            </w:r>
            <w:r w:rsidR="0001645E">
              <w:rPr>
                <w:rFonts w:ascii="Times New Roman" w:hAnsi="Times New Roman" w:cs="Times New Roman"/>
                <w:sz w:val="24"/>
                <w:szCs w:val="24"/>
              </w:rPr>
              <w:t xml:space="preserve">демографічні тенденції </w:t>
            </w:r>
            <w:r w:rsidR="00506147" w:rsidRPr="002E6F51">
              <w:rPr>
                <w:rFonts w:ascii="Times New Roman" w:hAnsi="Times New Roman" w:cs="Times New Roman"/>
                <w:sz w:val="24"/>
                <w:szCs w:val="24"/>
              </w:rPr>
              <w:t xml:space="preserve">скорочення контингенту </w:t>
            </w:r>
            <w:r w:rsidR="006F6BE8">
              <w:rPr>
                <w:rFonts w:ascii="Times New Roman" w:hAnsi="Times New Roman" w:cs="Times New Roman"/>
                <w:sz w:val="24"/>
                <w:szCs w:val="24"/>
              </w:rPr>
              <w:t>посилить проблему</w:t>
            </w:r>
            <w:r w:rsidR="00506147" w:rsidRPr="002E6F51">
              <w:rPr>
                <w:rFonts w:ascii="Times New Roman" w:hAnsi="Times New Roman" w:cs="Times New Roman"/>
                <w:sz w:val="24"/>
                <w:szCs w:val="24"/>
              </w:rPr>
              <w:t xml:space="preserve"> перенавантаження науков</w:t>
            </w:r>
            <w:r w:rsidR="0037731E">
              <w:rPr>
                <w:rFonts w:ascii="Times New Roman" w:hAnsi="Times New Roman" w:cs="Times New Roman"/>
                <w:sz w:val="24"/>
                <w:szCs w:val="24"/>
              </w:rPr>
              <w:t>их</w:t>
            </w:r>
            <w:r w:rsidR="00506147" w:rsidRPr="002E6F51">
              <w:rPr>
                <w:rFonts w:ascii="Times New Roman" w:hAnsi="Times New Roman" w:cs="Times New Roman"/>
                <w:sz w:val="24"/>
                <w:szCs w:val="24"/>
              </w:rPr>
              <w:t xml:space="preserve">, науково-педагогічних </w:t>
            </w:r>
            <w:r w:rsidR="00C360A8">
              <w:rPr>
                <w:rFonts w:ascii="Times New Roman" w:hAnsi="Times New Roman" w:cs="Times New Roman"/>
                <w:sz w:val="24"/>
                <w:szCs w:val="24"/>
              </w:rPr>
              <w:t xml:space="preserve">працівників </w:t>
            </w:r>
            <w:r w:rsidR="00506147" w:rsidRPr="002E6F51">
              <w:rPr>
                <w:rFonts w:ascii="Times New Roman" w:hAnsi="Times New Roman" w:cs="Times New Roman"/>
                <w:sz w:val="24"/>
                <w:szCs w:val="24"/>
              </w:rPr>
              <w:t>внаслідок утворення неповних академічних груп та дублювання напрямів підготовки кадрів у ЗВО</w:t>
            </w:r>
            <w:r w:rsidR="006F6BE8">
              <w:rPr>
                <w:rFonts w:ascii="Times New Roman" w:hAnsi="Times New Roman" w:cs="Times New Roman"/>
                <w:sz w:val="24"/>
                <w:szCs w:val="24"/>
              </w:rPr>
              <w:t>/ЗФПВО</w:t>
            </w:r>
            <w:r w:rsidR="00506147" w:rsidRPr="002E6F51">
              <w:rPr>
                <w:rFonts w:ascii="Times New Roman" w:hAnsi="Times New Roman" w:cs="Times New Roman"/>
                <w:sz w:val="24"/>
                <w:szCs w:val="24"/>
              </w:rPr>
              <w:t xml:space="preserve"> територіально, неефективності системи державного та регіонального замовлення, погірш</w:t>
            </w:r>
            <w:r w:rsidR="006F6BE8">
              <w:rPr>
                <w:rFonts w:ascii="Times New Roman" w:hAnsi="Times New Roman" w:cs="Times New Roman"/>
                <w:sz w:val="24"/>
                <w:szCs w:val="24"/>
              </w:rPr>
              <w:t>ує</w:t>
            </w:r>
            <w:r w:rsidR="00506147" w:rsidRPr="002E6F51">
              <w:rPr>
                <w:rFonts w:ascii="Times New Roman" w:hAnsi="Times New Roman" w:cs="Times New Roman"/>
                <w:sz w:val="24"/>
                <w:szCs w:val="24"/>
              </w:rPr>
              <w:t xml:space="preserve"> як</w:t>
            </w:r>
            <w:r w:rsidR="006F6BE8">
              <w:rPr>
                <w:rFonts w:ascii="Times New Roman" w:hAnsi="Times New Roman" w:cs="Times New Roman"/>
                <w:sz w:val="24"/>
                <w:szCs w:val="24"/>
              </w:rPr>
              <w:t>і</w:t>
            </w:r>
            <w:r w:rsidR="00506147" w:rsidRPr="002E6F51">
              <w:rPr>
                <w:rFonts w:ascii="Times New Roman" w:hAnsi="Times New Roman" w:cs="Times New Roman"/>
                <w:sz w:val="24"/>
                <w:szCs w:val="24"/>
              </w:rPr>
              <w:t>ст</w:t>
            </w:r>
            <w:r w:rsidR="006F6BE8">
              <w:rPr>
                <w:rFonts w:ascii="Times New Roman" w:hAnsi="Times New Roman" w:cs="Times New Roman"/>
                <w:sz w:val="24"/>
                <w:szCs w:val="24"/>
              </w:rPr>
              <w:t>ь</w:t>
            </w:r>
            <w:r w:rsidR="00506147" w:rsidRPr="002E6F51">
              <w:rPr>
                <w:rFonts w:ascii="Times New Roman" w:hAnsi="Times New Roman" w:cs="Times New Roman"/>
                <w:sz w:val="24"/>
                <w:szCs w:val="24"/>
              </w:rPr>
              <w:t xml:space="preserve"> вищої освіти.</w:t>
            </w:r>
          </w:p>
        </w:tc>
      </w:tr>
      <w:tr w:rsidR="00506147" w:rsidTr="00807C50">
        <w:tc>
          <w:tcPr>
            <w:tcW w:w="2249" w:type="dxa"/>
          </w:tcPr>
          <w:p w:rsidR="00506147" w:rsidRPr="002E6F51" w:rsidRDefault="00506147" w:rsidP="009C0407">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2</w:t>
            </w:r>
          </w:p>
        </w:tc>
        <w:tc>
          <w:tcPr>
            <w:tcW w:w="7380" w:type="dxa"/>
          </w:tcPr>
          <w:p w:rsidR="002E6F51" w:rsidRDefault="00506147" w:rsidP="00866469">
            <w:pPr>
              <w:jc w:val="both"/>
              <w:rPr>
                <w:rFonts w:ascii="Times New Roman" w:hAnsi="Times New Roman" w:cs="Times New Roman"/>
                <w:sz w:val="24"/>
                <w:szCs w:val="24"/>
              </w:rPr>
            </w:pPr>
            <w:r w:rsidRPr="002E6F51">
              <w:rPr>
                <w:rFonts w:ascii="Times New Roman" w:hAnsi="Times New Roman" w:cs="Times New Roman"/>
                <w:sz w:val="24"/>
                <w:szCs w:val="24"/>
              </w:rPr>
              <w:t xml:space="preserve">Прийняття Закону України «Про внесення змін до деяких законів України (щодо створення передумов для модернізації мережі закладів освіти)» </w:t>
            </w:r>
            <w:r w:rsidR="00FF7511">
              <w:rPr>
                <w:rFonts w:ascii="Times New Roman" w:hAnsi="Times New Roman" w:cs="Times New Roman"/>
                <w:sz w:val="24"/>
                <w:szCs w:val="24"/>
              </w:rPr>
              <w:t xml:space="preserve"> забезпечує досягнення цілей.</w:t>
            </w:r>
          </w:p>
          <w:p w:rsidR="00506147" w:rsidRDefault="00506147" w:rsidP="00866469">
            <w:pPr>
              <w:spacing w:before="40"/>
              <w:jc w:val="both"/>
              <w:rPr>
                <w:rFonts w:ascii="Times New Roman" w:hAnsi="Times New Roman" w:cs="Times New Roman"/>
                <w:sz w:val="24"/>
                <w:szCs w:val="24"/>
              </w:rPr>
            </w:pPr>
            <w:r w:rsidRPr="002E6F51">
              <w:rPr>
                <w:rFonts w:ascii="Times New Roman" w:hAnsi="Times New Roman" w:cs="Times New Roman"/>
                <w:sz w:val="24"/>
                <w:szCs w:val="24"/>
              </w:rPr>
              <w:t>Реорганізації ТВСП, коледжів із трансформацією найбільш розвинених в самостійні та відповідальні університети, академії чи інститути або в заклади фахової передвищої освіти з приєднанням до місцевих ЗВО, або припинення їх діяльності. За цією альтернативою принаймні 50% продовжать свою діяльність та 40% з них залишаться ЗВО. Виокремлення фахових коледжів із структури закладів вищої освіти в самостійні юридичні особи з перспективою їх передачі до комунальної власності – принаймні 80% продовжать свою діяльність як окремі юридичні особи або приєдна</w:t>
            </w:r>
            <w:r w:rsidR="003B6CEA" w:rsidRPr="002E6F51">
              <w:rPr>
                <w:rFonts w:ascii="Times New Roman" w:hAnsi="Times New Roman" w:cs="Times New Roman"/>
                <w:sz w:val="24"/>
                <w:szCs w:val="24"/>
              </w:rPr>
              <w:t>ються</w:t>
            </w:r>
            <w:r w:rsidRPr="002E6F51">
              <w:rPr>
                <w:rFonts w:ascii="Times New Roman" w:hAnsi="Times New Roman" w:cs="Times New Roman"/>
                <w:sz w:val="24"/>
                <w:szCs w:val="24"/>
              </w:rPr>
              <w:t xml:space="preserve"> до місцевих закладів </w:t>
            </w:r>
            <w:r w:rsidRPr="002E6F51">
              <w:rPr>
                <w:rFonts w:ascii="Times New Roman" w:hAnsi="Times New Roman" w:cs="Times New Roman"/>
                <w:sz w:val="24"/>
                <w:szCs w:val="24"/>
              </w:rPr>
              <w:lastRenderedPageBreak/>
              <w:t xml:space="preserve">освіти (крім </w:t>
            </w:r>
            <w:r w:rsidR="003B6CEA" w:rsidRPr="002E6F51">
              <w:rPr>
                <w:rFonts w:ascii="Times New Roman" w:hAnsi="Times New Roman" w:cs="Times New Roman"/>
                <w:sz w:val="24"/>
                <w:szCs w:val="24"/>
              </w:rPr>
              <w:t>закладів фахової передвищої освіти</w:t>
            </w:r>
            <w:r w:rsidRPr="002E6F51">
              <w:rPr>
                <w:rFonts w:ascii="Times New Roman" w:hAnsi="Times New Roman" w:cs="Times New Roman"/>
                <w:sz w:val="24"/>
                <w:szCs w:val="24"/>
              </w:rPr>
              <w:t>, що знаходяться в одній територіальній громаді з ЗВО). Випускники таких ЗФПО (80%), отримавши рівень фахового молодшого бакалавра, вийдуть на ринок праці та розпочнуть свою економічну активність, інші 20% вступлять у ЗВО для здобуття рівня вищої освіти. Крім того, єдність державного управління цивільними ЗВО та умов маневрування їх функціями та власністю буде забезпечено завдяки консолідації управління цивільними закладами вищої освіти державної форми власності (крім управління медичними закладами вищої освіти) на базі одного державного органу – центрального органу виконавчої влади у сфері освіти і науки. Це передбачає, що 13 ЗВО у сфері культури перейдуть під управління МОН України.</w:t>
            </w:r>
          </w:p>
          <w:p w:rsidR="00FB48EC" w:rsidRDefault="00FB48EC" w:rsidP="00866469">
            <w:pPr>
              <w:spacing w:before="40"/>
              <w:jc w:val="both"/>
              <w:rPr>
                <w:rFonts w:ascii="Times New Roman" w:hAnsi="Times New Roman" w:cs="Times New Roman"/>
                <w:sz w:val="24"/>
                <w:szCs w:val="24"/>
              </w:rPr>
            </w:pPr>
            <w:r w:rsidRPr="00E702FC">
              <w:rPr>
                <w:rFonts w:ascii="Times New Roman" w:hAnsi="Times New Roman" w:cs="Times New Roman"/>
                <w:sz w:val="24"/>
                <w:szCs w:val="24"/>
              </w:rPr>
              <w:t xml:space="preserve">Визначення </w:t>
            </w:r>
            <w:r w:rsidR="00E702FC" w:rsidRPr="00E702FC">
              <w:rPr>
                <w:rFonts w:ascii="Times New Roman" w:hAnsi="Times New Roman" w:cs="Times New Roman"/>
                <w:sz w:val="24"/>
                <w:szCs w:val="24"/>
              </w:rPr>
              <w:t>вимог</w:t>
            </w:r>
            <w:r w:rsidRPr="00E702FC">
              <w:rPr>
                <w:rFonts w:ascii="Times New Roman" w:hAnsi="Times New Roman" w:cs="Times New Roman"/>
                <w:sz w:val="24"/>
                <w:szCs w:val="24"/>
              </w:rPr>
              <w:t xml:space="preserve"> до </w:t>
            </w:r>
            <w:r w:rsidR="00E702FC" w:rsidRPr="00E702FC">
              <w:rPr>
                <w:rFonts w:ascii="Times New Roman" w:hAnsi="Times New Roman" w:cs="Times New Roman"/>
                <w:sz w:val="24"/>
                <w:szCs w:val="24"/>
              </w:rPr>
              <w:t>певного</w:t>
            </w:r>
            <w:r w:rsidRPr="00E702FC">
              <w:rPr>
                <w:rFonts w:ascii="Times New Roman" w:hAnsi="Times New Roman" w:cs="Times New Roman"/>
                <w:sz w:val="24"/>
                <w:szCs w:val="24"/>
              </w:rPr>
              <w:t xml:space="preserve"> типу</w:t>
            </w:r>
            <w:r w:rsidR="00347EA0" w:rsidRPr="00E702FC">
              <w:rPr>
                <w:rFonts w:ascii="Times New Roman" w:hAnsi="Times New Roman" w:cs="Times New Roman"/>
                <w:sz w:val="24"/>
                <w:szCs w:val="24"/>
              </w:rPr>
              <w:t xml:space="preserve"> </w:t>
            </w:r>
            <w:r w:rsidR="00E702FC" w:rsidRPr="00E702FC">
              <w:rPr>
                <w:rFonts w:ascii="Times New Roman" w:hAnsi="Times New Roman" w:cs="Times New Roman"/>
                <w:sz w:val="24"/>
                <w:szCs w:val="24"/>
              </w:rPr>
              <w:t xml:space="preserve">ЗВО </w:t>
            </w:r>
            <w:r w:rsidR="00347EA0" w:rsidRPr="00E702FC">
              <w:rPr>
                <w:rFonts w:ascii="Times New Roman" w:hAnsi="Times New Roman" w:cs="Times New Roman"/>
                <w:sz w:val="24"/>
                <w:szCs w:val="24"/>
              </w:rPr>
              <w:t>дозволить абітурієнтам обирати заклад освіти залежно від своїх цілей, амбіцій та зацікавленості професією. За цією альтернативою принаймні 40%</w:t>
            </w:r>
            <w:r w:rsidR="00AD1C4D" w:rsidRPr="00E702FC">
              <w:rPr>
                <w:rFonts w:ascii="Times New Roman" w:hAnsi="Times New Roman" w:cs="Times New Roman"/>
                <w:sz w:val="24"/>
                <w:szCs w:val="24"/>
              </w:rPr>
              <w:t xml:space="preserve"> ЗВО</w:t>
            </w:r>
            <w:r w:rsidR="00347EA0" w:rsidRPr="00E702FC">
              <w:rPr>
                <w:rFonts w:ascii="Times New Roman" w:hAnsi="Times New Roman" w:cs="Times New Roman"/>
                <w:sz w:val="24"/>
                <w:szCs w:val="24"/>
              </w:rPr>
              <w:t xml:space="preserve"> за</w:t>
            </w:r>
            <w:r w:rsidR="00AD1C4D" w:rsidRPr="00E702FC">
              <w:rPr>
                <w:rFonts w:ascii="Times New Roman" w:hAnsi="Times New Roman" w:cs="Times New Roman"/>
                <w:sz w:val="24"/>
                <w:szCs w:val="24"/>
              </w:rPr>
              <w:t>лишаться в статусі університету та 60%</w:t>
            </w:r>
            <w:r w:rsidR="00347EA0" w:rsidRPr="00E702FC">
              <w:rPr>
                <w:rFonts w:ascii="Times New Roman" w:hAnsi="Times New Roman" w:cs="Times New Roman"/>
                <w:sz w:val="24"/>
                <w:szCs w:val="24"/>
              </w:rPr>
              <w:t xml:space="preserve"> </w:t>
            </w:r>
            <w:r w:rsidR="00AD1C4D" w:rsidRPr="00E702FC">
              <w:rPr>
                <w:rFonts w:ascii="Times New Roman" w:hAnsi="Times New Roman" w:cs="Times New Roman"/>
                <w:sz w:val="24"/>
                <w:szCs w:val="24"/>
              </w:rPr>
              <w:t xml:space="preserve">в статусі академії чи інституту. </w:t>
            </w:r>
            <w:r w:rsidR="00F84492" w:rsidRPr="00F84492">
              <w:rPr>
                <w:rFonts w:ascii="Times New Roman" w:hAnsi="Times New Roman" w:cs="Times New Roman"/>
                <w:sz w:val="24"/>
                <w:szCs w:val="24"/>
              </w:rPr>
              <w:t>Здобуття освіти в університетах відбувається за основними фундаментальними і прикладними науками, розвиток науки проявляється в науково-дослідній роботі. Українські університети будуть посідати більш високі позиції в міжнародних університетських рейтингах</w:t>
            </w:r>
            <w:r w:rsidR="00F84492">
              <w:rPr>
                <w:rFonts w:ascii="Times New Roman" w:hAnsi="Times New Roman" w:cs="Times New Roman"/>
                <w:sz w:val="24"/>
                <w:szCs w:val="24"/>
              </w:rPr>
              <w:t xml:space="preserve">. </w:t>
            </w:r>
            <w:r w:rsidR="00BA6B78">
              <w:rPr>
                <w:rFonts w:ascii="Times New Roman" w:hAnsi="Times New Roman" w:cs="Times New Roman"/>
                <w:sz w:val="24"/>
                <w:szCs w:val="24"/>
              </w:rPr>
              <w:t xml:space="preserve">Інститути </w:t>
            </w:r>
            <w:r w:rsidR="00E702FC">
              <w:rPr>
                <w:rFonts w:ascii="Times New Roman" w:hAnsi="Times New Roman" w:cs="Times New Roman"/>
                <w:sz w:val="24"/>
                <w:szCs w:val="24"/>
              </w:rPr>
              <w:t>готують</w:t>
            </w:r>
            <w:r w:rsidR="00F84492">
              <w:rPr>
                <w:rFonts w:ascii="Times New Roman" w:hAnsi="Times New Roman" w:cs="Times New Roman"/>
                <w:sz w:val="24"/>
                <w:szCs w:val="24"/>
              </w:rPr>
              <w:t xml:space="preserve"> сильних, творчих та конкурентоспроможних фахівців, що буде позитивно впливати на рівень та стан різних галузей країни та підвищувати престиж країни на світовому ринку. </w:t>
            </w:r>
            <w:r w:rsidR="00E702FC" w:rsidRPr="00E702FC">
              <w:rPr>
                <w:rFonts w:ascii="Times New Roman" w:hAnsi="Times New Roman" w:cs="Times New Roman"/>
                <w:sz w:val="24"/>
                <w:szCs w:val="24"/>
              </w:rPr>
              <w:t>П</w:t>
            </w:r>
            <w:r w:rsidR="00347EA0" w:rsidRPr="00E702FC">
              <w:rPr>
                <w:rFonts w:ascii="Times New Roman" w:hAnsi="Times New Roman" w:cs="Times New Roman"/>
                <w:sz w:val="24"/>
                <w:szCs w:val="24"/>
              </w:rPr>
              <w:t>ри цьому</w:t>
            </w:r>
            <w:r w:rsidR="00AD1C4D" w:rsidRPr="00E702FC">
              <w:rPr>
                <w:rFonts w:ascii="Times New Roman" w:hAnsi="Times New Roman" w:cs="Times New Roman"/>
                <w:sz w:val="24"/>
                <w:szCs w:val="24"/>
              </w:rPr>
              <w:t xml:space="preserve"> спостерігається</w:t>
            </w:r>
            <w:r w:rsidR="00347EA0" w:rsidRPr="00E702FC">
              <w:rPr>
                <w:rFonts w:ascii="Times New Roman" w:hAnsi="Times New Roman" w:cs="Times New Roman"/>
                <w:sz w:val="24"/>
                <w:szCs w:val="24"/>
              </w:rPr>
              <w:t xml:space="preserve"> великий вибір спеціальностей,</w:t>
            </w:r>
            <w:r w:rsidR="00AD1C4D" w:rsidRPr="00E702FC">
              <w:rPr>
                <w:rFonts w:ascii="Times New Roman" w:hAnsi="Times New Roman" w:cs="Times New Roman"/>
                <w:sz w:val="24"/>
                <w:szCs w:val="24"/>
              </w:rPr>
              <w:t xml:space="preserve"> викладацький штат відповідає освітнім вимогам і потребам, що позначається на яко</w:t>
            </w:r>
            <w:r w:rsidR="00347EA0" w:rsidRPr="00E702FC">
              <w:rPr>
                <w:rFonts w:ascii="Times New Roman" w:hAnsi="Times New Roman" w:cs="Times New Roman"/>
                <w:sz w:val="24"/>
                <w:szCs w:val="24"/>
              </w:rPr>
              <w:t>ст</w:t>
            </w:r>
            <w:r w:rsidR="00AD1C4D" w:rsidRPr="00E702FC">
              <w:rPr>
                <w:rFonts w:ascii="Times New Roman" w:hAnsi="Times New Roman" w:cs="Times New Roman"/>
                <w:sz w:val="24"/>
                <w:szCs w:val="24"/>
              </w:rPr>
              <w:t>і</w:t>
            </w:r>
            <w:r w:rsidR="00347EA0" w:rsidRPr="00E702FC">
              <w:rPr>
                <w:rFonts w:ascii="Times New Roman" w:hAnsi="Times New Roman" w:cs="Times New Roman"/>
                <w:sz w:val="24"/>
                <w:szCs w:val="24"/>
              </w:rPr>
              <w:t xml:space="preserve"> </w:t>
            </w:r>
            <w:r w:rsidR="00AD1C4D" w:rsidRPr="00E702FC">
              <w:rPr>
                <w:rFonts w:ascii="Times New Roman" w:hAnsi="Times New Roman" w:cs="Times New Roman"/>
                <w:sz w:val="24"/>
                <w:szCs w:val="24"/>
              </w:rPr>
              <w:t>освіти</w:t>
            </w:r>
            <w:r w:rsidR="00F84492">
              <w:rPr>
                <w:rFonts w:ascii="Times New Roman" w:hAnsi="Times New Roman" w:cs="Times New Roman"/>
                <w:sz w:val="24"/>
                <w:szCs w:val="24"/>
              </w:rPr>
              <w:t>.</w:t>
            </w:r>
          </w:p>
          <w:p w:rsidR="0001645E" w:rsidRPr="002E6F51" w:rsidRDefault="00CA62D9" w:rsidP="00864DDA">
            <w:pPr>
              <w:spacing w:before="40" w:after="240"/>
              <w:jc w:val="both"/>
              <w:rPr>
                <w:rFonts w:ascii="Times New Roman" w:hAnsi="Times New Roman" w:cs="Times New Roman"/>
                <w:sz w:val="24"/>
                <w:szCs w:val="24"/>
              </w:rPr>
            </w:pPr>
            <w:r w:rsidRPr="00796D25">
              <w:rPr>
                <w:rFonts w:ascii="Times New Roman" w:hAnsi="Times New Roman" w:cs="Times New Roman"/>
                <w:color w:val="000000" w:themeColor="text1"/>
                <w:sz w:val="24"/>
                <w:szCs w:val="24"/>
              </w:rPr>
              <w:t xml:space="preserve">Заклади вищої освіти та наукові установи будуть здійснювати </w:t>
            </w:r>
            <w:r w:rsidRPr="00796D25">
              <w:rPr>
                <w:rFonts w:ascii="Times New Roman" w:hAnsi="Times New Roman" w:cs="Times New Roman"/>
                <w:sz w:val="24"/>
                <w:szCs w:val="24"/>
              </w:rPr>
              <w:t xml:space="preserve">прийом на навчання для здобуття ступеня доктора філософії або доктора мистецтва за умови наявності акредитованих за другим (магістерським) рівнем освітніх програм відповідної спеціальності (усіх спеціальностей галузі або спеціальностей, що входять до міждисциплінарної освітньо-наукової програми). В іншому випадку ЗВО </w:t>
            </w:r>
            <w:r w:rsidRPr="00796D25">
              <w:rPr>
                <w:rFonts w:ascii="Times New Roman" w:hAnsi="Times New Roman" w:cs="Times New Roman"/>
                <w:color w:val="000000" w:themeColor="text1"/>
                <w:sz w:val="24"/>
                <w:szCs w:val="24"/>
              </w:rPr>
              <w:t xml:space="preserve">зможуть продовжити підготовку докторів філософії за освітньо-науковою програмою, окремі елементи якої забезпечуються іншими науковими установами та/або ЗВО. Принаймні </w:t>
            </w:r>
            <w:r w:rsidRPr="00FF7511">
              <w:rPr>
                <w:rFonts w:ascii="Times New Roman" w:hAnsi="Times New Roman" w:cs="Times New Roman"/>
                <w:color w:val="000000" w:themeColor="text1"/>
                <w:sz w:val="24"/>
                <w:szCs w:val="24"/>
              </w:rPr>
              <w:t>60% освітньо-наукових програм</w:t>
            </w:r>
            <w:r w:rsidRPr="00796D25">
              <w:rPr>
                <w:rFonts w:ascii="Times New Roman" w:hAnsi="Times New Roman" w:cs="Times New Roman"/>
                <w:color w:val="000000" w:themeColor="text1"/>
                <w:sz w:val="24"/>
                <w:szCs w:val="24"/>
              </w:rPr>
              <w:t xml:space="preserve"> із тих, які не реалізовувалися на рівні магістратури, виконають вимогу щодо наявності магістратури та акредитації таких програм.</w:t>
            </w:r>
            <w:r w:rsidR="00F4541C">
              <w:rPr>
                <w:rFonts w:ascii="Arial" w:hAnsi="Arial" w:cs="Arial"/>
                <w:color w:val="636363"/>
                <w:spacing w:val="5"/>
                <w:sz w:val="27"/>
                <w:szCs w:val="27"/>
              </w:rPr>
              <w:t> </w:t>
            </w:r>
          </w:p>
        </w:tc>
      </w:tr>
    </w:tbl>
    <w:p w:rsidR="009C0407" w:rsidRPr="002E6F51" w:rsidRDefault="00D42DE4" w:rsidP="00894135">
      <w:pPr>
        <w:pStyle w:val="a4"/>
        <w:numPr>
          <w:ilvl w:val="0"/>
          <w:numId w:val="1"/>
        </w:numPr>
        <w:spacing w:before="120" w:after="0"/>
        <w:ind w:left="714" w:hanging="357"/>
        <w:jc w:val="both"/>
        <w:rPr>
          <w:rFonts w:ascii="Times New Roman" w:hAnsi="Times New Roman" w:cs="Times New Roman"/>
          <w:b/>
          <w:sz w:val="28"/>
          <w:szCs w:val="28"/>
        </w:rPr>
      </w:pPr>
      <w:r w:rsidRPr="002E6F51">
        <w:rPr>
          <w:rFonts w:ascii="Times New Roman" w:hAnsi="Times New Roman" w:cs="Times New Roman"/>
          <w:b/>
          <w:sz w:val="28"/>
          <w:szCs w:val="28"/>
        </w:rPr>
        <w:lastRenderedPageBreak/>
        <w:t>Оцінка вибраних альтернативних способів досягнення цілей</w:t>
      </w:r>
    </w:p>
    <w:p w:rsidR="002E6F51" w:rsidRPr="002E6F51" w:rsidRDefault="002E6F51" w:rsidP="002E6F51">
      <w:pPr>
        <w:spacing w:before="120" w:after="120"/>
        <w:ind w:left="357"/>
        <w:jc w:val="both"/>
        <w:rPr>
          <w:rFonts w:ascii="Times New Roman" w:hAnsi="Times New Roman" w:cs="Times New Roman"/>
          <w:b/>
          <w:sz w:val="28"/>
          <w:szCs w:val="28"/>
        </w:rPr>
      </w:pPr>
      <w:r w:rsidRPr="002E6F51">
        <w:rPr>
          <w:rFonts w:ascii="Times New Roman" w:hAnsi="Times New Roman" w:cs="Times New Roman"/>
          <w:b/>
          <w:sz w:val="28"/>
          <w:szCs w:val="28"/>
        </w:rPr>
        <w:t>Оцінка впливу на сферу інтересів держави</w:t>
      </w:r>
    </w:p>
    <w:tbl>
      <w:tblPr>
        <w:tblStyle w:val="a3"/>
        <w:tblW w:w="0" w:type="auto"/>
        <w:tblLook w:val="04A0" w:firstRow="1" w:lastRow="0" w:firstColumn="1" w:lastColumn="0" w:noHBand="0" w:noVBand="1"/>
      </w:tblPr>
      <w:tblGrid>
        <w:gridCol w:w="1885"/>
        <w:gridCol w:w="3871"/>
        <w:gridCol w:w="3871"/>
      </w:tblGrid>
      <w:tr w:rsidR="002E6F51" w:rsidTr="00807C50">
        <w:tc>
          <w:tcPr>
            <w:tcW w:w="1885"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3872"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Вигоди</w:t>
            </w:r>
          </w:p>
        </w:tc>
        <w:tc>
          <w:tcPr>
            <w:tcW w:w="3872" w:type="dxa"/>
          </w:tcPr>
          <w:p w:rsidR="002E6F51" w:rsidRPr="002E6F51" w:rsidRDefault="002E6F51" w:rsidP="002E6F51">
            <w:pPr>
              <w:jc w:val="center"/>
              <w:rPr>
                <w:rFonts w:ascii="Times New Roman" w:hAnsi="Times New Roman" w:cs="Times New Roman"/>
                <w:b/>
                <w:sz w:val="24"/>
                <w:szCs w:val="24"/>
              </w:rPr>
            </w:pPr>
            <w:r w:rsidRPr="002E6F51">
              <w:rPr>
                <w:rFonts w:ascii="Times New Roman" w:hAnsi="Times New Roman" w:cs="Times New Roman"/>
                <w:b/>
                <w:sz w:val="24"/>
                <w:szCs w:val="24"/>
              </w:rPr>
              <w:t>Витрати</w:t>
            </w:r>
          </w:p>
        </w:tc>
      </w:tr>
      <w:tr w:rsidR="002E6F51" w:rsidTr="00807C50">
        <w:tc>
          <w:tcPr>
            <w:tcW w:w="1885"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t xml:space="preserve">Альтернатива 1 </w:t>
            </w:r>
          </w:p>
        </w:tc>
        <w:tc>
          <w:tcPr>
            <w:tcW w:w="3872"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t>Не потрібно нічого змінювати. Вигоди відсутні.</w:t>
            </w:r>
          </w:p>
        </w:tc>
        <w:tc>
          <w:tcPr>
            <w:tcW w:w="3872" w:type="dxa"/>
          </w:tcPr>
          <w:p w:rsidR="00AC4B1D" w:rsidRDefault="00AC4B1D" w:rsidP="00207AC2">
            <w:pPr>
              <w:jc w:val="both"/>
              <w:rPr>
                <w:rFonts w:ascii="Times New Roman" w:hAnsi="Times New Roman" w:cs="Times New Roman"/>
                <w:sz w:val="24"/>
                <w:szCs w:val="24"/>
              </w:rPr>
            </w:pPr>
            <w:r>
              <w:rPr>
                <w:rFonts w:ascii="Times New Roman" w:eastAsia="Times New Roman" w:hAnsi="Times New Roman" w:cs="Times New Roman"/>
                <w:spacing w:val="-6"/>
                <w:sz w:val="24"/>
                <w:szCs w:val="24"/>
                <w:lang w:eastAsia="uk-UA"/>
              </w:rPr>
              <w:t>Ускладнення євроінтеграційних процесів, зокрема в частині модернізації мережі закладів освіти.</w:t>
            </w:r>
          </w:p>
          <w:p w:rsidR="00207AC2" w:rsidRDefault="00E73713" w:rsidP="00207AC2">
            <w:pPr>
              <w:jc w:val="both"/>
              <w:rPr>
                <w:rFonts w:ascii="Times New Roman" w:hAnsi="Times New Roman" w:cs="Times New Roman"/>
                <w:sz w:val="24"/>
                <w:szCs w:val="24"/>
              </w:rPr>
            </w:pPr>
            <w:r w:rsidRPr="00E73713">
              <w:rPr>
                <w:rFonts w:ascii="Times New Roman" w:hAnsi="Times New Roman" w:cs="Times New Roman"/>
                <w:sz w:val="24"/>
                <w:szCs w:val="24"/>
              </w:rPr>
              <w:t xml:space="preserve">Витрати пов’язані з обробкою звернень здобувачів освіти та </w:t>
            </w:r>
            <w:r w:rsidRPr="00E73713">
              <w:rPr>
                <w:rFonts w:ascii="Times New Roman" w:hAnsi="Times New Roman" w:cs="Times New Roman"/>
                <w:sz w:val="24"/>
                <w:szCs w:val="24"/>
              </w:rPr>
              <w:lastRenderedPageBreak/>
              <w:t>інших учасників освітнього процесу щодо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від бізнесу щодо невідповідної якості підготовки кадрів, звернення закладів щодо необхідності переведення здобувачів до інши</w:t>
            </w:r>
            <w:r w:rsidR="00207AC2">
              <w:rPr>
                <w:rFonts w:ascii="Times New Roman" w:hAnsi="Times New Roman" w:cs="Times New Roman"/>
                <w:sz w:val="24"/>
                <w:szCs w:val="24"/>
              </w:rPr>
              <w:t>х</w:t>
            </w:r>
            <w:r w:rsidRPr="00E73713">
              <w:rPr>
                <w:rFonts w:ascii="Times New Roman" w:hAnsi="Times New Roman" w:cs="Times New Roman"/>
                <w:sz w:val="24"/>
                <w:szCs w:val="24"/>
              </w:rPr>
              <w:t xml:space="preserve"> закладів з причини </w:t>
            </w:r>
            <w:r w:rsidR="00207AC2" w:rsidRPr="00E73713">
              <w:rPr>
                <w:rFonts w:ascii="Times New Roman" w:hAnsi="Times New Roman" w:cs="Times New Roman"/>
                <w:sz w:val="24"/>
                <w:szCs w:val="24"/>
              </w:rPr>
              <w:t>не акредитації</w:t>
            </w:r>
            <w:r w:rsidRPr="00E73713">
              <w:rPr>
                <w:rFonts w:ascii="Times New Roman" w:hAnsi="Times New Roman" w:cs="Times New Roman"/>
                <w:sz w:val="24"/>
                <w:szCs w:val="24"/>
              </w:rPr>
              <w:t xml:space="preserve"> освітніх програм та завершення ними навчання в інших ЗВО. </w:t>
            </w:r>
          </w:p>
          <w:p w:rsidR="00815C4F" w:rsidRDefault="00E73713" w:rsidP="001414DC">
            <w:pPr>
              <w:jc w:val="both"/>
              <w:rPr>
                <w:rFonts w:ascii="Times New Roman" w:hAnsi="Times New Roman" w:cs="Times New Roman"/>
                <w:sz w:val="24"/>
                <w:szCs w:val="24"/>
              </w:rPr>
            </w:pPr>
            <w:r w:rsidRPr="00E73713">
              <w:rPr>
                <w:rFonts w:ascii="Times New Roman" w:hAnsi="Times New Roman" w:cs="Times New Roman"/>
                <w:sz w:val="24"/>
                <w:szCs w:val="24"/>
              </w:rPr>
              <w:t>За оцінками</w:t>
            </w:r>
            <w:r w:rsidR="00E179F9" w:rsidRPr="00815C4F">
              <w:rPr>
                <w:rFonts w:ascii="Times New Roman" w:hAnsi="Times New Roman" w:cs="Times New Roman"/>
                <w:sz w:val="24"/>
                <w:szCs w:val="24"/>
              </w:rPr>
              <w:t xml:space="preserve"> на </w:t>
            </w:r>
            <w:r w:rsidR="008127A3">
              <w:rPr>
                <w:rFonts w:ascii="Times New Roman" w:hAnsi="Times New Roman" w:cs="Times New Roman"/>
                <w:sz w:val="24"/>
                <w:szCs w:val="24"/>
              </w:rPr>
              <w:t xml:space="preserve">це витрачається до 1000 годин робочого часу </w:t>
            </w:r>
            <w:r w:rsidRPr="00815C4F">
              <w:rPr>
                <w:rFonts w:ascii="Times New Roman" w:hAnsi="Times New Roman" w:cs="Times New Roman"/>
                <w:sz w:val="24"/>
                <w:szCs w:val="24"/>
              </w:rPr>
              <w:t>співробітник</w:t>
            </w:r>
            <w:r w:rsidR="008127A3">
              <w:rPr>
                <w:rFonts w:ascii="Times New Roman" w:hAnsi="Times New Roman" w:cs="Times New Roman"/>
                <w:sz w:val="24"/>
                <w:szCs w:val="24"/>
              </w:rPr>
              <w:t>ів</w:t>
            </w:r>
            <w:r w:rsidRPr="00815C4F">
              <w:rPr>
                <w:rFonts w:ascii="Times New Roman" w:hAnsi="Times New Roman" w:cs="Times New Roman"/>
                <w:sz w:val="24"/>
                <w:szCs w:val="24"/>
              </w:rPr>
              <w:t xml:space="preserve"> Міністерства освіти і науки України</w:t>
            </w:r>
            <w:r w:rsidR="008127A3">
              <w:rPr>
                <w:rFonts w:ascii="Times New Roman" w:hAnsi="Times New Roman" w:cs="Times New Roman"/>
                <w:sz w:val="24"/>
                <w:szCs w:val="24"/>
              </w:rPr>
              <w:t xml:space="preserve"> на рік</w:t>
            </w:r>
            <w:r w:rsidR="001D758A">
              <w:rPr>
                <w:rFonts w:ascii="Times New Roman" w:hAnsi="Times New Roman" w:cs="Times New Roman"/>
                <w:sz w:val="24"/>
                <w:szCs w:val="24"/>
              </w:rPr>
              <w:t>. Витрати, пов’язані із розглядом звернень закладів освіти становитимуть 1</w:t>
            </w:r>
            <w:r w:rsidR="008127A3">
              <w:rPr>
                <w:rFonts w:ascii="Times New Roman" w:hAnsi="Times New Roman" w:cs="Times New Roman"/>
                <w:sz w:val="24"/>
                <w:szCs w:val="24"/>
              </w:rPr>
              <w:t>71</w:t>
            </w:r>
            <w:r w:rsidR="001D758A">
              <w:rPr>
                <w:rFonts w:ascii="Times New Roman" w:hAnsi="Times New Roman" w:cs="Times New Roman"/>
                <w:sz w:val="24"/>
                <w:szCs w:val="24"/>
              </w:rPr>
              <w:t> </w:t>
            </w:r>
            <w:r w:rsidR="008127A3">
              <w:rPr>
                <w:rFonts w:ascii="Times New Roman" w:hAnsi="Times New Roman" w:cs="Times New Roman"/>
                <w:sz w:val="24"/>
                <w:szCs w:val="24"/>
              </w:rPr>
              <w:t>010</w:t>
            </w:r>
            <w:r w:rsidR="001D758A">
              <w:rPr>
                <w:rFonts w:ascii="Times New Roman" w:hAnsi="Times New Roman" w:cs="Times New Roman"/>
                <w:sz w:val="24"/>
                <w:szCs w:val="24"/>
              </w:rPr>
              <w:t>,</w:t>
            </w:r>
            <w:r w:rsidR="008127A3">
              <w:rPr>
                <w:rFonts w:ascii="Times New Roman" w:hAnsi="Times New Roman" w:cs="Times New Roman"/>
                <w:sz w:val="24"/>
                <w:szCs w:val="24"/>
              </w:rPr>
              <w:t>00</w:t>
            </w:r>
            <w:r w:rsidR="001D758A">
              <w:rPr>
                <w:rFonts w:ascii="Times New Roman" w:hAnsi="Times New Roman" w:cs="Times New Roman"/>
                <w:sz w:val="24"/>
                <w:szCs w:val="24"/>
              </w:rPr>
              <w:t xml:space="preserve"> грн.</w:t>
            </w:r>
            <w:r w:rsidR="008127A3">
              <w:rPr>
                <w:rFonts w:ascii="Times New Roman" w:hAnsi="Times New Roman" w:cs="Times New Roman"/>
                <w:sz w:val="24"/>
                <w:szCs w:val="24"/>
              </w:rPr>
              <w:t xml:space="preserve"> (1 година держслужбовця = 171,01 грн.)</w:t>
            </w:r>
          </w:p>
          <w:p w:rsidR="00B033C2" w:rsidRPr="00E73713" w:rsidRDefault="00E179F9" w:rsidP="008127A3">
            <w:pPr>
              <w:spacing w:before="160" w:after="120"/>
              <w:jc w:val="both"/>
              <w:rPr>
                <w:rFonts w:ascii="Times New Roman" w:hAnsi="Times New Roman" w:cs="Times New Roman"/>
                <w:sz w:val="24"/>
                <w:szCs w:val="24"/>
              </w:rPr>
            </w:pPr>
            <w:r>
              <w:rPr>
                <w:rFonts w:ascii="Times New Roman" w:hAnsi="Times New Roman" w:cs="Times New Roman"/>
                <w:sz w:val="24"/>
                <w:szCs w:val="24"/>
              </w:rPr>
              <w:t xml:space="preserve">Усього: </w:t>
            </w:r>
            <w:r w:rsidR="008127A3">
              <w:rPr>
                <w:rFonts w:ascii="Times New Roman" w:hAnsi="Times New Roman" w:cs="Times New Roman"/>
                <w:sz w:val="24"/>
                <w:szCs w:val="24"/>
              </w:rPr>
              <w:t>171</w:t>
            </w:r>
            <w:r w:rsidR="001D758A">
              <w:rPr>
                <w:rFonts w:ascii="Times New Roman" w:hAnsi="Times New Roman" w:cs="Times New Roman"/>
                <w:sz w:val="24"/>
                <w:szCs w:val="24"/>
              </w:rPr>
              <w:t> </w:t>
            </w:r>
            <w:r w:rsidR="008127A3">
              <w:rPr>
                <w:rFonts w:ascii="Times New Roman" w:hAnsi="Times New Roman" w:cs="Times New Roman"/>
                <w:sz w:val="24"/>
                <w:szCs w:val="24"/>
              </w:rPr>
              <w:t>010,00</w:t>
            </w:r>
            <w:r w:rsidR="001D758A">
              <w:rPr>
                <w:rFonts w:ascii="Times New Roman" w:hAnsi="Times New Roman" w:cs="Times New Roman"/>
                <w:sz w:val="24"/>
                <w:szCs w:val="24"/>
              </w:rPr>
              <w:t xml:space="preserve"> </w:t>
            </w:r>
            <w:r w:rsidR="00C07F7E" w:rsidRPr="0040196B">
              <w:rPr>
                <w:rFonts w:ascii="Times New Roman" w:hAnsi="Times New Roman" w:cs="Times New Roman"/>
                <w:sz w:val="24"/>
                <w:szCs w:val="24"/>
              </w:rPr>
              <w:t>грн.</w:t>
            </w:r>
          </w:p>
        </w:tc>
      </w:tr>
      <w:tr w:rsidR="002E6F51" w:rsidTr="00807C50">
        <w:tc>
          <w:tcPr>
            <w:tcW w:w="1885" w:type="dxa"/>
          </w:tcPr>
          <w:p w:rsidR="002E6F51" w:rsidRPr="002E6F51" w:rsidRDefault="002E6F51" w:rsidP="00D42DE4">
            <w:pPr>
              <w:jc w:val="both"/>
              <w:rPr>
                <w:rFonts w:ascii="Times New Roman" w:hAnsi="Times New Roman" w:cs="Times New Roman"/>
                <w:sz w:val="24"/>
                <w:szCs w:val="24"/>
              </w:rPr>
            </w:pPr>
            <w:r w:rsidRPr="002E6F51">
              <w:rPr>
                <w:rFonts w:ascii="Times New Roman" w:hAnsi="Times New Roman" w:cs="Times New Roman"/>
                <w:sz w:val="24"/>
                <w:szCs w:val="24"/>
              </w:rPr>
              <w:lastRenderedPageBreak/>
              <w:t>Альтернатива 2</w:t>
            </w:r>
          </w:p>
        </w:tc>
        <w:tc>
          <w:tcPr>
            <w:tcW w:w="3872" w:type="dxa"/>
          </w:tcPr>
          <w:p w:rsidR="00E73713" w:rsidRDefault="002E6F51" w:rsidP="00E73713">
            <w:pPr>
              <w:jc w:val="both"/>
              <w:rPr>
                <w:rFonts w:ascii="Times New Roman" w:hAnsi="Times New Roman" w:cs="Times New Roman"/>
                <w:sz w:val="24"/>
                <w:szCs w:val="24"/>
              </w:rPr>
            </w:pPr>
            <w:r w:rsidRPr="002E6F51">
              <w:rPr>
                <w:rFonts w:ascii="Times New Roman" w:hAnsi="Times New Roman" w:cs="Times New Roman"/>
                <w:sz w:val="24"/>
                <w:szCs w:val="24"/>
              </w:rPr>
              <w:t xml:space="preserve">Ухвалення Закону України «Про внесення змін до деяких законів України (щодо створення передумов для модернізації мережі закладів освіти)» </w:t>
            </w:r>
            <w:r w:rsidR="00E73713">
              <w:rPr>
                <w:rFonts w:ascii="Times New Roman" w:hAnsi="Times New Roman" w:cs="Times New Roman"/>
                <w:sz w:val="24"/>
                <w:szCs w:val="24"/>
              </w:rPr>
              <w:t>адаптує</w:t>
            </w:r>
            <w:r w:rsidRPr="002E6F51">
              <w:rPr>
                <w:rFonts w:ascii="Times New Roman" w:hAnsi="Times New Roman" w:cs="Times New Roman"/>
                <w:sz w:val="24"/>
                <w:szCs w:val="24"/>
              </w:rPr>
              <w:t xml:space="preserve"> систем</w:t>
            </w:r>
            <w:r w:rsidR="00E73713">
              <w:rPr>
                <w:rFonts w:ascii="Times New Roman" w:hAnsi="Times New Roman" w:cs="Times New Roman"/>
                <w:sz w:val="24"/>
                <w:szCs w:val="24"/>
              </w:rPr>
              <w:t>у</w:t>
            </w:r>
            <w:r w:rsidRPr="002E6F51">
              <w:rPr>
                <w:rFonts w:ascii="Times New Roman" w:hAnsi="Times New Roman" w:cs="Times New Roman"/>
                <w:sz w:val="24"/>
                <w:szCs w:val="24"/>
              </w:rPr>
              <w:t xml:space="preserve"> вищої освіти до демографічних змін та зміни регіональної структури економіки, забезпечить єдність державного управління вищою освітою та збільшить спроможність до фінансування її відновлення та розвитку, зменшить перенавантаження викладачів та підвищить концентрацію фінансових ресурсів на якісній підготовці фахівців. </w:t>
            </w:r>
          </w:p>
          <w:p w:rsidR="002E6F51" w:rsidRDefault="002E6F51" w:rsidP="00E73713">
            <w:pPr>
              <w:jc w:val="both"/>
              <w:rPr>
                <w:rFonts w:ascii="Times New Roman" w:hAnsi="Times New Roman" w:cs="Times New Roman"/>
                <w:sz w:val="24"/>
                <w:szCs w:val="24"/>
              </w:rPr>
            </w:pPr>
            <w:r w:rsidRPr="002E6F51">
              <w:rPr>
                <w:rFonts w:ascii="Times New Roman" w:hAnsi="Times New Roman" w:cs="Times New Roman"/>
                <w:sz w:val="24"/>
                <w:szCs w:val="24"/>
              </w:rPr>
              <w:t xml:space="preserve">Відбудеться скорочення витрат держави, пов’язаних із обробкою звернень здобувачів освіти та інших учасників освітнього процесу щодо невідповідного виконання своїх зобов’язань суб’єктами надання освітніх послуг </w:t>
            </w:r>
            <w:r w:rsidRPr="002E6F51">
              <w:rPr>
                <w:rFonts w:ascii="Times New Roman" w:hAnsi="Times New Roman" w:cs="Times New Roman"/>
                <w:sz w:val="24"/>
                <w:szCs w:val="24"/>
              </w:rPr>
              <w:lastRenderedPageBreak/>
              <w:t>(не отримання сертифікатів про акредитацію, не видання документів про вищу освіту, їх дублікатів), скарги звернень щодо неналежної якості організації освітнього процесу, від бізнесу щодо невідповідної якості підготовки кадрів.</w:t>
            </w:r>
          </w:p>
          <w:p w:rsidR="002A31EC" w:rsidRDefault="00417B8B" w:rsidP="00807C50">
            <w:pPr>
              <w:jc w:val="both"/>
              <w:rPr>
                <w:rFonts w:ascii="Times New Roman" w:hAnsi="Times New Roman" w:cs="Times New Roman"/>
                <w:sz w:val="24"/>
                <w:szCs w:val="24"/>
              </w:rPr>
            </w:pPr>
            <w:r>
              <w:rPr>
                <w:rFonts w:ascii="Times New Roman" w:hAnsi="Times New Roman" w:cs="Times New Roman"/>
                <w:sz w:val="24"/>
                <w:szCs w:val="24"/>
              </w:rPr>
              <w:t>П</w:t>
            </w:r>
            <w:r w:rsidRPr="002A31EC">
              <w:rPr>
                <w:rFonts w:ascii="Times New Roman" w:hAnsi="Times New Roman" w:cs="Times New Roman"/>
                <w:sz w:val="24"/>
                <w:szCs w:val="24"/>
              </w:rPr>
              <w:t>ередбачається запровадження чітких критеріїв віднесення закладів вищої освіти до того чи іншого тип</w:t>
            </w:r>
            <w:r w:rsidR="00807C50">
              <w:rPr>
                <w:rFonts w:ascii="Times New Roman" w:hAnsi="Times New Roman" w:cs="Times New Roman"/>
                <w:sz w:val="24"/>
                <w:szCs w:val="24"/>
              </w:rPr>
              <w:t xml:space="preserve">у, які </w:t>
            </w:r>
            <w:r w:rsidRPr="002A31EC">
              <w:rPr>
                <w:rFonts w:ascii="Times New Roman" w:hAnsi="Times New Roman" w:cs="Times New Roman"/>
                <w:sz w:val="24"/>
                <w:szCs w:val="24"/>
              </w:rPr>
              <w:t>значною мірою реалізов</w:t>
            </w:r>
            <w:r>
              <w:rPr>
                <w:rFonts w:ascii="Times New Roman" w:hAnsi="Times New Roman" w:cs="Times New Roman"/>
                <w:sz w:val="24"/>
                <w:szCs w:val="24"/>
              </w:rPr>
              <w:t>уються</w:t>
            </w:r>
            <w:r w:rsidRPr="002A31EC">
              <w:rPr>
                <w:rFonts w:ascii="Times New Roman" w:hAnsi="Times New Roman" w:cs="Times New Roman"/>
                <w:sz w:val="24"/>
                <w:szCs w:val="24"/>
              </w:rPr>
              <w:t xml:space="preserve"> інструментами ЄДЕБО. </w:t>
            </w:r>
          </w:p>
          <w:p w:rsidR="00864DDA" w:rsidRPr="002A31EC" w:rsidRDefault="00864DDA" w:rsidP="003E30E1">
            <w:pPr>
              <w:jc w:val="both"/>
              <w:rPr>
                <w:rFonts w:ascii="Times New Roman" w:hAnsi="Times New Roman" w:cs="Times New Roman"/>
                <w:sz w:val="24"/>
                <w:szCs w:val="24"/>
              </w:rPr>
            </w:pPr>
          </w:p>
        </w:tc>
        <w:tc>
          <w:tcPr>
            <w:tcW w:w="3872" w:type="dxa"/>
          </w:tcPr>
          <w:p w:rsidR="00417B8B" w:rsidRDefault="00417B8B" w:rsidP="008C7633">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Реалізація проєкту Закону не потребуватиме додаткових витрат з державного бюджету, витрати в межах бюджетних асигнувань.</w:t>
            </w:r>
          </w:p>
          <w:p w:rsidR="00417B8B" w:rsidRDefault="00EF293E" w:rsidP="008C7633">
            <w:pPr>
              <w:spacing w:before="120"/>
              <w:jc w:val="both"/>
              <w:rPr>
                <w:rFonts w:ascii="Times New Roman" w:hAnsi="Times New Roman" w:cs="Times New Roman"/>
                <w:sz w:val="24"/>
                <w:szCs w:val="24"/>
              </w:rPr>
            </w:pPr>
            <w:r>
              <w:rPr>
                <w:rFonts w:ascii="Times New Roman" w:hAnsi="Times New Roman" w:cs="Times New Roman"/>
                <w:sz w:val="24"/>
                <w:szCs w:val="24"/>
              </w:rPr>
              <w:t>Витрати на переоформлення ліцензій</w:t>
            </w:r>
          </w:p>
          <w:p w:rsidR="00E00380" w:rsidRDefault="0040196B" w:rsidP="008C7633">
            <w:pPr>
              <w:spacing w:before="120"/>
              <w:jc w:val="both"/>
              <w:rPr>
                <w:rFonts w:ascii="Times New Roman" w:hAnsi="Times New Roman" w:cs="Times New Roman"/>
                <w:sz w:val="24"/>
                <w:szCs w:val="24"/>
              </w:rPr>
            </w:pPr>
            <w:r>
              <w:rPr>
                <w:rFonts w:ascii="Times New Roman" w:hAnsi="Times New Roman" w:cs="Times New Roman"/>
                <w:sz w:val="24"/>
                <w:szCs w:val="24"/>
              </w:rPr>
              <w:t>674*122,00 грн./год = 82 228 грн.</w:t>
            </w:r>
          </w:p>
          <w:p w:rsidR="00207AC2" w:rsidRDefault="00417B8B" w:rsidP="008C7633">
            <w:pPr>
              <w:spacing w:before="120"/>
              <w:jc w:val="both"/>
              <w:rPr>
                <w:rFonts w:ascii="Times New Roman" w:hAnsi="Times New Roman" w:cs="Times New Roman"/>
                <w:sz w:val="24"/>
                <w:szCs w:val="24"/>
              </w:rPr>
            </w:pPr>
            <w:r>
              <w:rPr>
                <w:rFonts w:ascii="Times New Roman" w:hAnsi="Times New Roman" w:cs="Times New Roman"/>
                <w:sz w:val="24"/>
                <w:szCs w:val="24"/>
              </w:rPr>
              <w:t>В</w:t>
            </w:r>
            <w:r w:rsidR="00207AC2" w:rsidRPr="00207AC2">
              <w:rPr>
                <w:rFonts w:ascii="Times New Roman" w:hAnsi="Times New Roman" w:cs="Times New Roman"/>
                <w:sz w:val="24"/>
                <w:szCs w:val="24"/>
              </w:rPr>
              <w:t xml:space="preserve">итрати, пов’язані з інформуванням закладів освіти про внесені зміни: </w:t>
            </w:r>
          </w:p>
          <w:p w:rsidR="00207AC2" w:rsidRDefault="0040196B" w:rsidP="00207AC2">
            <w:pPr>
              <w:jc w:val="both"/>
              <w:rPr>
                <w:rFonts w:ascii="Times New Roman" w:hAnsi="Times New Roman" w:cs="Times New Roman"/>
                <w:sz w:val="24"/>
                <w:szCs w:val="24"/>
              </w:rPr>
            </w:pPr>
            <w:r>
              <w:rPr>
                <w:rFonts w:ascii="Times New Roman" w:hAnsi="Times New Roman" w:cs="Times New Roman"/>
                <w:sz w:val="24"/>
                <w:szCs w:val="24"/>
              </w:rPr>
              <w:t>дві</w:t>
            </w:r>
            <w:r w:rsidR="00207AC2" w:rsidRPr="00207AC2">
              <w:rPr>
                <w:rFonts w:ascii="Times New Roman" w:hAnsi="Times New Roman" w:cs="Times New Roman"/>
                <w:sz w:val="24"/>
                <w:szCs w:val="24"/>
              </w:rPr>
              <w:t xml:space="preserve"> онлайн-наради 1,5 год х 1</w:t>
            </w:r>
            <w:r w:rsidR="00AA3655">
              <w:rPr>
                <w:rFonts w:ascii="Times New Roman" w:hAnsi="Times New Roman" w:cs="Times New Roman"/>
                <w:sz w:val="24"/>
                <w:szCs w:val="24"/>
              </w:rPr>
              <w:t>71</w:t>
            </w:r>
            <w:r w:rsidR="00207AC2" w:rsidRPr="00207AC2">
              <w:rPr>
                <w:rFonts w:ascii="Times New Roman" w:hAnsi="Times New Roman" w:cs="Times New Roman"/>
                <w:sz w:val="24"/>
                <w:szCs w:val="24"/>
              </w:rPr>
              <w:t>,</w:t>
            </w:r>
            <w:r w:rsidR="00AA3655">
              <w:rPr>
                <w:rFonts w:ascii="Times New Roman" w:hAnsi="Times New Roman" w:cs="Times New Roman"/>
                <w:sz w:val="24"/>
                <w:szCs w:val="24"/>
              </w:rPr>
              <w:t>0</w:t>
            </w:r>
            <w:r w:rsidR="00207AC2" w:rsidRPr="00207AC2">
              <w:rPr>
                <w:rFonts w:ascii="Times New Roman" w:hAnsi="Times New Roman" w:cs="Times New Roman"/>
                <w:sz w:val="24"/>
                <w:szCs w:val="24"/>
              </w:rPr>
              <w:t xml:space="preserve">1 грн /год = </w:t>
            </w:r>
            <w:r>
              <w:rPr>
                <w:rFonts w:ascii="Times New Roman" w:hAnsi="Times New Roman" w:cs="Times New Roman"/>
                <w:sz w:val="24"/>
                <w:szCs w:val="24"/>
              </w:rPr>
              <w:t>513</w:t>
            </w:r>
            <w:r w:rsidR="00417B8B" w:rsidRPr="00417B8B">
              <w:rPr>
                <w:rFonts w:ascii="Times New Roman" w:hAnsi="Times New Roman" w:cs="Times New Roman"/>
                <w:sz w:val="24"/>
                <w:szCs w:val="24"/>
              </w:rPr>
              <w:t>,</w:t>
            </w:r>
            <w:r>
              <w:rPr>
                <w:rFonts w:ascii="Times New Roman" w:hAnsi="Times New Roman" w:cs="Times New Roman"/>
                <w:sz w:val="24"/>
                <w:szCs w:val="24"/>
              </w:rPr>
              <w:t>01</w:t>
            </w:r>
            <w:r w:rsidR="00AA3655" w:rsidRPr="00417B8B">
              <w:rPr>
                <w:rFonts w:ascii="Times New Roman" w:hAnsi="Times New Roman" w:cs="Times New Roman"/>
                <w:sz w:val="24"/>
                <w:szCs w:val="24"/>
              </w:rPr>
              <w:t xml:space="preserve"> </w:t>
            </w:r>
            <w:r w:rsidR="00207AC2" w:rsidRPr="00417B8B">
              <w:rPr>
                <w:rFonts w:ascii="Times New Roman" w:hAnsi="Times New Roman" w:cs="Times New Roman"/>
                <w:sz w:val="24"/>
                <w:szCs w:val="24"/>
              </w:rPr>
              <w:t>грн.</w:t>
            </w:r>
            <w:r w:rsidR="00207AC2" w:rsidRPr="00207AC2">
              <w:rPr>
                <w:rFonts w:ascii="Times New Roman" w:hAnsi="Times New Roman" w:cs="Times New Roman"/>
                <w:sz w:val="24"/>
                <w:szCs w:val="24"/>
              </w:rPr>
              <w:t xml:space="preserve"> </w:t>
            </w:r>
          </w:p>
          <w:p w:rsidR="00417B8B" w:rsidRDefault="00417B8B" w:rsidP="00207AC2">
            <w:pPr>
              <w:jc w:val="both"/>
              <w:rPr>
                <w:rFonts w:ascii="Times New Roman" w:hAnsi="Times New Roman" w:cs="Times New Roman"/>
                <w:sz w:val="24"/>
                <w:szCs w:val="24"/>
              </w:rPr>
            </w:pPr>
          </w:p>
          <w:p w:rsidR="002E6F51" w:rsidRPr="00417B8B" w:rsidRDefault="00207AC2" w:rsidP="00AA3655">
            <w:pPr>
              <w:jc w:val="both"/>
              <w:rPr>
                <w:rFonts w:ascii="Times New Roman" w:hAnsi="Times New Roman" w:cs="Times New Roman"/>
                <w:sz w:val="24"/>
                <w:szCs w:val="24"/>
                <w:u w:val="single"/>
              </w:rPr>
            </w:pPr>
            <w:r w:rsidRPr="00207AC2">
              <w:rPr>
                <w:rFonts w:ascii="Times New Roman" w:hAnsi="Times New Roman" w:cs="Times New Roman"/>
                <w:sz w:val="24"/>
                <w:szCs w:val="24"/>
              </w:rPr>
              <w:t>Усього</w:t>
            </w:r>
            <w:r w:rsidRPr="00C07F7E">
              <w:rPr>
                <w:rFonts w:ascii="Times New Roman" w:hAnsi="Times New Roman" w:cs="Times New Roman"/>
                <w:sz w:val="24"/>
                <w:szCs w:val="24"/>
              </w:rPr>
              <w:t xml:space="preserve">: </w:t>
            </w:r>
            <w:r w:rsidR="0040196B">
              <w:rPr>
                <w:rFonts w:ascii="Times New Roman" w:hAnsi="Times New Roman" w:cs="Times New Roman"/>
                <w:sz w:val="24"/>
                <w:szCs w:val="24"/>
              </w:rPr>
              <w:t>82 741,0</w:t>
            </w:r>
            <w:r w:rsidR="00B21E2D">
              <w:rPr>
                <w:rFonts w:ascii="Times New Roman" w:hAnsi="Times New Roman" w:cs="Times New Roman"/>
                <w:sz w:val="24"/>
                <w:szCs w:val="24"/>
              </w:rPr>
              <w:t>3</w:t>
            </w:r>
            <w:r w:rsidR="0040196B">
              <w:rPr>
                <w:rFonts w:ascii="Times New Roman" w:hAnsi="Times New Roman" w:cs="Times New Roman"/>
                <w:sz w:val="24"/>
                <w:szCs w:val="24"/>
              </w:rPr>
              <w:t xml:space="preserve"> грн</w:t>
            </w:r>
          </w:p>
          <w:p w:rsidR="00072252" w:rsidRDefault="00072252" w:rsidP="00AA3655">
            <w:pPr>
              <w:jc w:val="both"/>
              <w:rPr>
                <w:rFonts w:ascii="Times New Roman" w:hAnsi="Times New Roman" w:cs="Times New Roman"/>
                <w:b/>
                <w:sz w:val="24"/>
                <w:szCs w:val="24"/>
                <w:u w:val="single"/>
              </w:rPr>
            </w:pPr>
          </w:p>
          <w:p w:rsidR="000102B0" w:rsidRDefault="000102B0" w:rsidP="00AA3655">
            <w:pPr>
              <w:jc w:val="both"/>
              <w:rPr>
                <w:rFonts w:ascii="Times New Roman" w:hAnsi="Times New Roman" w:cs="Times New Roman"/>
                <w:b/>
                <w:sz w:val="24"/>
                <w:szCs w:val="24"/>
                <w:u w:val="single"/>
              </w:rPr>
            </w:pPr>
          </w:p>
          <w:p w:rsidR="000102B0" w:rsidRPr="00207AC2" w:rsidRDefault="000102B0" w:rsidP="00AA3655">
            <w:pPr>
              <w:jc w:val="both"/>
              <w:rPr>
                <w:rFonts w:ascii="Times New Roman" w:hAnsi="Times New Roman" w:cs="Times New Roman"/>
                <w:sz w:val="24"/>
                <w:szCs w:val="24"/>
              </w:rPr>
            </w:pPr>
          </w:p>
        </w:tc>
      </w:tr>
    </w:tbl>
    <w:p w:rsidR="00207AC2" w:rsidRPr="00207AC2" w:rsidRDefault="00207AC2" w:rsidP="00866469">
      <w:pPr>
        <w:spacing w:before="120" w:after="120"/>
        <w:jc w:val="both"/>
        <w:rPr>
          <w:rFonts w:ascii="Times New Roman" w:hAnsi="Times New Roman" w:cs="Times New Roman"/>
          <w:b/>
          <w:sz w:val="28"/>
          <w:szCs w:val="28"/>
        </w:rPr>
      </w:pPr>
      <w:r w:rsidRPr="00207AC2">
        <w:rPr>
          <w:rFonts w:ascii="Times New Roman" w:hAnsi="Times New Roman" w:cs="Times New Roman"/>
          <w:b/>
          <w:sz w:val="28"/>
          <w:szCs w:val="28"/>
        </w:rPr>
        <w:t>Оцінка впливу на сферу інтересів громадян</w:t>
      </w:r>
    </w:p>
    <w:tbl>
      <w:tblPr>
        <w:tblStyle w:val="a3"/>
        <w:tblW w:w="0" w:type="auto"/>
        <w:tblLook w:val="04A0" w:firstRow="1" w:lastRow="0" w:firstColumn="1" w:lastColumn="0" w:noHBand="0" w:noVBand="1"/>
      </w:tblPr>
      <w:tblGrid>
        <w:gridCol w:w="2263"/>
        <w:gridCol w:w="3543"/>
        <w:gridCol w:w="3821"/>
      </w:tblGrid>
      <w:tr w:rsidR="00207AC2" w:rsidTr="00B33E25">
        <w:tc>
          <w:tcPr>
            <w:tcW w:w="2263"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Вид альтернативи</w:t>
            </w:r>
          </w:p>
        </w:tc>
        <w:tc>
          <w:tcPr>
            <w:tcW w:w="3544"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Вигоди</w:t>
            </w:r>
          </w:p>
        </w:tc>
        <w:tc>
          <w:tcPr>
            <w:tcW w:w="3822" w:type="dxa"/>
          </w:tcPr>
          <w:p w:rsidR="00207AC2" w:rsidRPr="002E6F51" w:rsidRDefault="00207AC2" w:rsidP="00B33E25">
            <w:pPr>
              <w:jc w:val="center"/>
              <w:rPr>
                <w:rFonts w:ascii="Times New Roman" w:hAnsi="Times New Roman" w:cs="Times New Roman"/>
                <w:b/>
                <w:sz w:val="24"/>
                <w:szCs w:val="24"/>
              </w:rPr>
            </w:pPr>
            <w:r w:rsidRPr="002E6F51">
              <w:rPr>
                <w:rFonts w:ascii="Times New Roman" w:hAnsi="Times New Roman" w:cs="Times New Roman"/>
                <w:b/>
                <w:sz w:val="24"/>
                <w:szCs w:val="24"/>
              </w:rPr>
              <w:t>Витрати</w:t>
            </w:r>
          </w:p>
        </w:tc>
      </w:tr>
      <w:tr w:rsidR="00207AC2" w:rsidTr="00B33E25">
        <w:tc>
          <w:tcPr>
            <w:tcW w:w="2263" w:type="dxa"/>
          </w:tcPr>
          <w:p w:rsidR="00207AC2" w:rsidRPr="002E6F51" w:rsidRDefault="00207AC2" w:rsidP="00B33E25">
            <w:pPr>
              <w:jc w:val="both"/>
              <w:rPr>
                <w:rFonts w:ascii="Times New Roman" w:hAnsi="Times New Roman" w:cs="Times New Roman"/>
                <w:sz w:val="24"/>
                <w:szCs w:val="24"/>
              </w:rPr>
            </w:pPr>
            <w:r w:rsidRPr="002E6F51">
              <w:rPr>
                <w:rFonts w:ascii="Times New Roman" w:hAnsi="Times New Roman" w:cs="Times New Roman"/>
                <w:sz w:val="24"/>
                <w:szCs w:val="24"/>
              </w:rPr>
              <w:t xml:space="preserve">Альтернатива 1 </w:t>
            </w:r>
          </w:p>
        </w:tc>
        <w:tc>
          <w:tcPr>
            <w:tcW w:w="3544" w:type="dxa"/>
          </w:tcPr>
          <w:p w:rsidR="00207AC2" w:rsidRDefault="00207AC2" w:rsidP="00207AC2">
            <w:pPr>
              <w:jc w:val="both"/>
              <w:rPr>
                <w:rFonts w:ascii="Times New Roman" w:hAnsi="Times New Roman" w:cs="Times New Roman"/>
                <w:sz w:val="24"/>
                <w:szCs w:val="24"/>
              </w:rPr>
            </w:pPr>
            <w:r w:rsidRPr="002E6F51">
              <w:rPr>
                <w:rFonts w:ascii="Times New Roman" w:hAnsi="Times New Roman" w:cs="Times New Roman"/>
                <w:sz w:val="24"/>
                <w:szCs w:val="24"/>
              </w:rPr>
              <w:t>Вигоди відсутні.</w:t>
            </w:r>
            <w:r>
              <w:rPr>
                <w:rFonts w:ascii="Times New Roman" w:hAnsi="Times New Roman" w:cs="Times New Roman"/>
                <w:sz w:val="24"/>
                <w:szCs w:val="24"/>
              </w:rPr>
              <w:t xml:space="preserve"> </w:t>
            </w:r>
          </w:p>
          <w:p w:rsidR="00207AC2" w:rsidRDefault="00207AC2" w:rsidP="00207AC2">
            <w:pPr>
              <w:jc w:val="both"/>
              <w:rPr>
                <w:rFonts w:ascii="Times New Roman" w:hAnsi="Times New Roman" w:cs="Times New Roman"/>
                <w:sz w:val="24"/>
                <w:szCs w:val="24"/>
              </w:rPr>
            </w:pPr>
            <w:r>
              <w:rPr>
                <w:rFonts w:ascii="Times New Roman" w:hAnsi="Times New Roman" w:cs="Times New Roman"/>
                <w:sz w:val="24"/>
                <w:szCs w:val="24"/>
              </w:rPr>
              <w:t>Громадяни не отримують якісні освітні послуги.</w:t>
            </w:r>
          </w:p>
          <w:p w:rsidR="00207AC2" w:rsidRPr="002E6F51" w:rsidRDefault="00207AC2" w:rsidP="00B33E25">
            <w:pPr>
              <w:jc w:val="both"/>
              <w:rPr>
                <w:rFonts w:ascii="Times New Roman" w:hAnsi="Times New Roman" w:cs="Times New Roman"/>
                <w:sz w:val="24"/>
                <w:szCs w:val="24"/>
              </w:rPr>
            </w:pPr>
          </w:p>
        </w:tc>
        <w:tc>
          <w:tcPr>
            <w:tcW w:w="3822" w:type="dxa"/>
          </w:tcPr>
          <w:p w:rsidR="00CA4806" w:rsidRDefault="00207AC2" w:rsidP="00B33E25">
            <w:pPr>
              <w:jc w:val="both"/>
              <w:rPr>
                <w:rFonts w:ascii="Times New Roman" w:hAnsi="Times New Roman" w:cs="Times New Roman"/>
                <w:sz w:val="24"/>
                <w:szCs w:val="24"/>
              </w:rPr>
            </w:pPr>
            <w:r w:rsidRPr="00CA4806">
              <w:rPr>
                <w:rFonts w:ascii="Times New Roman" w:hAnsi="Times New Roman" w:cs="Times New Roman"/>
                <w:sz w:val="24"/>
                <w:szCs w:val="24"/>
              </w:rPr>
              <w:t xml:space="preserve">Внаслідок невідповідного виконання своїх зобов’язань суб’єктами надання освітніх послуг (не отримання сертифікатів про акредитацію, не видання документів про вищу освіту, їх дублікатів), скарги про неналежну якість організації освітнього процесу громадяни витрачають свій час, а неналежна якість здобуття освіти не дає можливості швидкого працевлаштування та отримання більш високої заробітної плати. </w:t>
            </w:r>
          </w:p>
          <w:p w:rsidR="00207AC2" w:rsidRPr="00CA4806" w:rsidRDefault="00207AC2" w:rsidP="00807C50">
            <w:pPr>
              <w:spacing w:after="40"/>
              <w:jc w:val="both"/>
              <w:rPr>
                <w:rFonts w:ascii="Times New Roman" w:hAnsi="Times New Roman" w:cs="Times New Roman"/>
                <w:sz w:val="24"/>
                <w:szCs w:val="24"/>
              </w:rPr>
            </w:pPr>
            <w:r w:rsidRPr="00CA4806">
              <w:rPr>
                <w:rFonts w:ascii="Times New Roman" w:hAnsi="Times New Roman" w:cs="Times New Roman"/>
                <w:sz w:val="24"/>
                <w:szCs w:val="24"/>
              </w:rPr>
              <w:t>Внаслідок утвореної недовіри до вищої освіти наслідки відзначаються на всіх здобувачах в системі вищої освіти, що знижує її ринкову ціну та цінність</w:t>
            </w:r>
          </w:p>
        </w:tc>
      </w:tr>
      <w:tr w:rsidR="00207AC2" w:rsidTr="00D73041">
        <w:trPr>
          <w:trHeight w:val="2903"/>
        </w:trPr>
        <w:tc>
          <w:tcPr>
            <w:tcW w:w="2263" w:type="dxa"/>
          </w:tcPr>
          <w:p w:rsidR="00207AC2" w:rsidRPr="002E6F51" w:rsidRDefault="00207AC2" w:rsidP="00B33E25">
            <w:pPr>
              <w:jc w:val="both"/>
              <w:rPr>
                <w:rFonts w:ascii="Times New Roman" w:hAnsi="Times New Roman" w:cs="Times New Roman"/>
                <w:sz w:val="24"/>
                <w:szCs w:val="24"/>
              </w:rPr>
            </w:pPr>
            <w:r w:rsidRPr="002E6F51">
              <w:rPr>
                <w:rFonts w:ascii="Times New Roman" w:hAnsi="Times New Roman" w:cs="Times New Roman"/>
                <w:sz w:val="24"/>
                <w:szCs w:val="24"/>
              </w:rPr>
              <w:t>Альтернатива 2</w:t>
            </w:r>
          </w:p>
        </w:tc>
        <w:tc>
          <w:tcPr>
            <w:tcW w:w="3544" w:type="dxa"/>
          </w:tcPr>
          <w:p w:rsidR="00623BC3" w:rsidRDefault="00CA4806" w:rsidP="00CA4806">
            <w:pPr>
              <w:jc w:val="both"/>
              <w:rPr>
                <w:rFonts w:ascii="Times New Roman" w:hAnsi="Times New Roman" w:cs="Times New Roman"/>
                <w:sz w:val="24"/>
                <w:szCs w:val="24"/>
              </w:rPr>
            </w:pPr>
            <w:r>
              <w:rPr>
                <w:rFonts w:ascii="Times New Roman" w:hAnsi="Times New Roman" w:cs="Times New Roman"/>
                <w:sz w:val="24"/>
                <w:szCs w:val="24"/>
              </w:rPr>
              <w:t xml:space="preserve">Розширення можливостей для </w:t>
            </w:r>
            <w:r w:rsidR="00623BC3">
              <w:rPr>
                <w:rFonts w:ascii="Times New Roman" w:hAnsi="Times New Roman" w:cs="Times New Roman"/>
                <w:sz w:val="24"/>
                <w:szCs w:val="24"/>
              </w:rPr>
              <w:t>формування індивідуальної освітньої траєкторії здобувачам освіти</w:t>
            </w:r>
            <w:r w:rsidR="00623BC3" w:rsidRPr="00CA4806">
              <w:rPr>
                <w:rFonts w:ascii="Times New Roman" w:hAnsi="Times New Roman" w:cs="Times New Roman"/>
                <w:sz w:val="24"/>
                <w:szCs w:val="24"/>
              </w:rPr>
              <w:t xml:space="preserve"> завдяки укрупненню ЗВО, ЗФПО та наповненості академічних груп. </w:t>
            </w:r>
          </w:p>
          <w:p w:rsidR="00CA4806" w:rsidRDefault="00623BC3" w:rsidP="00CA4806">
            <w:pPr>
              <w:jc w:val="both"/>
              <w:rPr>
                <w:rFonts w:ascii="Times New Roman" w:hAnsi="Times New Roman" w:cs="Times New Roman"/>
                <w:sz w:val="24"/>
                <w:szCs w:val="24"/>
              </w:rPr>
            </w:pPr>
            <w:r w:rsidRPr="00CA4806">
              <w:rPr>
                <w:rFonts w:ascii="Times New Roman" w:hAnsi="Times New Roman" w:cs="Times New Roman"/>
                <w:sz w:val="24"/>
                <w:szCs w:val="24"/>
              </w:rPr>
              <w:t>Здобувачі ступеня доктора філософії мають доступ до більш якісних освітніх компонентів, в тому числі за вибірково</w:t>
            </w:r>
            <w:r w:rsidR="000849C1">
              <w:rPr>
                <w:rFonts w:ascii="Times New Roman" w:hAnsi="Times New Roman" w:cs="Times New Roman"/>
                <w:sz w:val="24"/>
                <w:szCs w:val="24"/>
              </w:rPr>
              <w:t>ю</w:t>
            </w:r>
            <w:r w:rsidRPr="00CA4806">
              <w:rPr>
                <w:rFonts w:ascii="Times New Roman" w:hAnsi="Times New Roman" w:cs="Times New Roman"/>
                <w:sz w:val="24"/>
                <w:szCs w:val="24"/>
              </w:rPr>
              <w:t xml:space="preserve"> складовою освітньо-наукової програми</w:t>
            </w:r>
            <w:r>
              <w:rPr>
                <w:rFonts w:ascii="Times New Roman" w:hAnsi="Times New Roman" w:cs="Times New Roman"/>
                <w:sz w:val="24"/>
                <w:szCs w:val="24"/>
              </w:rPr>
              <w:t>.</w:t>
            </w:r>
          </w:p>
          <w:p w:rsidR="00207AC2" w:rsidRPr="00CA4806" w:rsidRDefault="00CA4806" w:rsidP="00BA6B78">
            <w:pPr>
              <w:spacing w:after="120"/>
              <w:jc w:val="both"/>
              <w:rPr>
                <w:rFonts w:ascii="Times New Roman" w:hAnsi="Times New Roman" w:cs="Times New Roman"/>
                <w:sz w:val="24"/>
                <w:szCs w:val="24"/>
              </w:rPr>
            </w:pPr>
            <w:r w:rsidRPr="00CA4806">
              <w:rPr>
                <w:rFonts w:ascii="Times New Roman" w:hAnsi="Times New Roman" w:cs="Times New Roman"/>
                <w:sz w:val="24"/>
                <w:szCs w:val="24"/>
              </w:rPr>
              <w:lastRenderedPageBreak/>
              <w:t>Підвищення частки випускників, які задоволені якістю та здобутими компетентностями,</w:t>
            </w:r>
            <w:r>
              <w:rPr>
                <w:rFonts w:ascii="Times New Roman" w:hAnsi="Times New Roman" w:cs="Times New Roman"/>
                <w:sz w:val="24"/>
                <w:szCs w:val="24"/>
              </w:rPr>
              <w:t xml:space="preserve"> зростання частки випускників, які </w:t>
            </w:r>
            <w:r w:rsidR="000849C1">
              <w:rPr>
                <w:rFonts w:ascii="Times New Roman" w:hAnsi="Times New Roman" w:cs="Times New Roman"/>
                <w:sz w:val="24"/>
                <w:szCs w:val="24"/>
              </w:rPr>
              <w:t xml:space="preserve">стали </w:t>
            </w:r>
            <w:r>
              <w:rPr>
                <w:rFonts w:ascii="Times New Roman" w:hAnsi="Times New Roman" w:cs="Times New Roman"/>
                <w:sz w:val="24"/>
                <w:szCs w:val="24"/>
              </w:rPr>
              <w:t>більш конкурентоспроможні на ринку праці завдяки</w:t>
            </w:r>
            <w:r w:rsidRPr="00CA4806">
              <w:rPr>
                <w:rFonts w:ascii="Times New Roman" w:hAnsi="Times New Roman" w:cs="Times New Roman"/>
                <w:sz w:val="24"/>
                <w:szCs w:val="24"/>
              </w:rPr>
              <w:t xml:space="preserve"> покращен</w:t>
            </w:r>
            <w:r>
              <w:rPr>
                <w:rFonts w:ascii="Times New Roman" w:hAnsi="Times New Roman" w:cs="Times New Roman"/>
                <w:sz w:val="24"/>
                <w:szCs w:val="24"/>
              </w:rPr>
              <w:t>ому</w:t>
            </w:r>
            <w:r w:rsidRPr="00CA4806">
              <w:rPr>
                <w:rFonts w:ascii="Times New Roman" w:hAnsi="Times New Roman" w:cs="Times New Roman"/>
                <w:sz w:val="24"/>
                <w:szCs w:val="24"/>
              </w:rPr>
              <w:t xml:space="preserve"> та модернізован</w:t>
            </w:r>
            <w:r>
              <w:rPr>
                <w:rFonts w:ascii="Times New Roman" w:hAnsi="Times New Roman" w:cs="Times New Roman"/>
                <w:sz w:val="24"/>
                <w:szCs w:val="24"/>
              </w:rPr>
              <w:t>ому</w:t>
            </w:r>
            <w:r w:rsidRPr="00CA4806">
              <w:rPr>
                <w:rFonts w:ascii="Times New Roman" w:hAnsi="Times New Roman" w:cs="Times New Roman"/>
                <w:sz w:val="24"/>
                <w:szCs w:val="24"/>
              </w:rPr>
              <w:t xml:space="preserve"> освітн</w:t>
            </w:r>
            <w:r>
              <w:rPr>
                <w:rFonts w:ascii="Times New Roman" w:hAnsi="Times New Roman" w:cs="Times New Roman"/>
                <w:sz w:val="24"/>
                <w:szCs w:val="24"/>
              </w:rPr>
              <w:t>ьому</w:t>
            </w:r>
            <w:r w:rsidRPr="00CA4806">
              <w:rPr>
                <w:rFonts w:ascii="Times New Roman" w:hAnsi="Times New Roman" w:cs="Times New Roman"/>
                <w:sz w:val="24"/>
                <w:szCs w:val="24"/>
              </w:rPr>
              <w:t xml:space="preserve"> середовищ</w:t>
            </w:r>
            <w:r>
              <w:rPr>
                <w:rFonts w:ascii="Times New Roman" w:hAnsi="Times New Roman" w:cs="Times New Roman"/>
                <w:sz w:val="24"/>
                <w:szCs w:val="24"/>
              </w:rPr>
              <w:t>у.</w:t>
            </w:r>
            <w:r w:rsidRPr="00CA4806">
              <w:rPr>
                <w:rFonts w:ascii="Times New Roman" w:hAnsi="Times New Roman" w:cs="Times New Roman"/>
                <w:sz w:val="24"/>
                <w:szCs w:val="24"/>
              </w:rPr>
              <w:t xml:space="preserve"> </w:t>
            </w:r>
          </w:p>
        </w:tc>
        <w:tc>
          <w:tcPr>
            <w:tcW w:w="3822" w:type="dxa"/>
          </w:tcPr>
          <w:p w:rsidR="00207AC2" w:rsidRPr="00623BC3" w:rsidRDefault="00623BC3" w:rsidP="00B33E25">
            <w:pPr>
              <w:jc w:val="both"/>
              <w:rPr>
                <w:rFonts w:ascii="Times New Roman" w:hAnsi="Times New Roman" w:cs="Times New Roman"/>
                <w:sz w:val="24"/>
                <w:szCs w:val="24"/>
              </w:rPr>
            </w:pPr>
            <w:r w:rsidRPr="00623BC3">
              <w:rPr>
                <w:rFonts w:ascii="Times New Roman" w:hAnsi="Times New Roman" w:cs="Times New Roman"/>
                <w:sz w:val="24"/>
                <w:szCs w:val="24"/>
              </w:rPr>
              <w:lastRenderedPageBreak/>
              <w:t>Додаткові витрати відсутні</w:t>
            </w:r>
          </w:p>
        </w:tc>
      </w:tr>
    </w:tbl>
    <w:p w:rsidR="000849C1" w:rsidRPr="00207AC2" w:rsidRDefault="000849C1" w:rsidP="00894135">
      <w:pPr>
        <w:spacing w:before="120" w:after="120"/>
        <w:jc w:val="both"/>
        <w:rPr>
          <w:rFonts w:ascii="Times New Roman" w:hAnsi="Times New Roman" w:cs="Times New Roman"/>
          <w:b/>
          <w:sz w:val="28"/>
          <w:szCs w:val="28"/>
        </w:rPr>
      </w:pPr>
      <w:r w:rsidRPr="00207AC2">
        <w:rPr>
          <w:rFonts w:ascii="Times New Roman" w:hAnsi="Times New Roman" w:cs="Times New Roman"/>
          <w:b/>
          <w:sz w:val="28"/>
          <w:szCs w:val="28"/>
        </w:rPr>
        <w:t xml:space="preserve">Оцінка впливу на сферу інтересів </w:t>
      </w:r>
      <w:r>
        <w:rPr>
          <w:rFonts w:ascii="Times New Roman" w:hAnsi="Times New Roman" w:cs="Times New Roman"/>
          <w:b/>
          <w:sz w:val="28"/>
          <w:szCs w:val="28"/>
        </w:rPr>
        <w:t>суб’єктів господарювання</w:t>
      </w:r>
    </w:p>
    <w:p w:rsidR="00CD16C6" w:rsidRDefault="00B5133B" w:rsidP="00866469">
      <w:pPr>
        <w:pStyle w:val="a4"/>
        <w:ind w:left="0" w:firstLine="709"/>
        <w:jc w:val="both"/>
        <w:rPr>
          <w:rFonts w:ascii="Times New Roman" w:hAnsi="Times New Roman" w:cs="Times New Roman"/>
          <w:sz w:val="28"/>
          <w:szCs w:val="28"/>
        </w:rPr>
      </w:pPr>
      <w:r w:rsidRPr="00B5133B">
        <w:rPr>
          <w:rFonts w:ascii="Times New Roman" w:hAnsi="Times New Roman" w:cs="Times New Roman"/>
          <w:sz w:val="28"/>
          <w:szCs w:val="28"/>
        </w:rPr>
        <w:t xml:space="preserve">В усіх альтернативах у ролі суб’єктів господарювання розглядаються суб’єкти надання освітніх послуг усіх форм власності, а також підприємства, організації та установи усіх форм власності, що співпрацюють із закладами освіти щодо підготовки фахівців. </w:t>
      </w:r>
    </w:p>
    <w:p w:rsidR="003E30E1" w:rsidRDefault="003E30E1" w:rsidP="00D73041">
      <w:pPr>
        <w:pStyle w:val="a4"/>
        <w:spacing w:after="0" w:line="240" w:lineRule="auto"/>
        <w:ind w:left="0" w:firstLine="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89"/>
        <w:gridCol w:w="1048"/>
        <w:gridCol w:w="1048"/>
        <w:gridCol w:w="1048"/>
        <w:gridCol w:w="1047"/>
        <w:gridCol w:w="1047"/>
      </w:tblGrid>
      <w:tr w:rsidR="003E30E1" w:rsidRPr="008816AB" w:rsidTr="00270A03">
        <w:tc>
          <w:tcPr>
            <w:tcW w:w="2279"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Показник</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Великі</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Середні</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Малі</w:t>
            </w:r>
          </w:p>
        </w:tc>
        <w:tc>
          <w:tcPr>
            <w:tcW w:w="544" w:type="pct"/>
            <w:shd w:val="clear" w:color="auto" w:fill="FFFFFF"/>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Мікро</w:t>
            </w:r>
          </w:p>
        </w:tc>
        <w:tc>
          <w:tcPr>
            <w:tcW w:w="544" w:type="pct"/>
            <w:shd w:val="clear" w:color="auto" w:fill="FFFFFF"/>
            <w:hideMark/>
          </w:tcPr>
          <w:p w:rsidR="003E30E1" w:rsidRPr="008816AB"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Разом</w:t>
            </w:r>
          </w:p>
        </w:tc>
      </w:tr>
      <w:tr w:rsidR="003E30E1" w:rsidRPr="008816AB" w:rsidTr="00270A03">
        <w:trPr>
          <w:trHeight w:val="970"/>
        </w:trPr>
        <w:tc>
          <w:tcPr>
            <w:tcW w:w="2279" w:type="pct"/>
            <w:shd w:val="clear" w:color="auto" w:fill="FFFFFF"/>
            <w:hideMark/>
          </w:tcPr>
          <w:p w:rsidR="003E30E1" w:rsidRPr="008816AB" w:rsidRDefault="003E30E1" w:rsidP="00270A03">
            <w:pPr>
              <w:spacing w:before="150" w:after="150" w:line="240" w:lineRule="auto"/>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Кількість суб’єктів господарювання, що підпадають під дію регулювання, одиниць</w:t>
            </w:r>
          </w:p>
        </w:tc>
        <w:tc>
          <w:tcPr>
            <w:tcW w:w="544" w:type="pct"/>
            <w:shd w:val="clear" w:color="auto" w:fill="FFFFFF"/>
            <w:vAlign w:val="center"/>
            <w:hideMark/>
          </w:tcPr>
          <w:p w:rsidR="003E30E1" w:rsidRPr="004465C4"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4465C4">
              <w:rPr>
                <w:rFonts w:ascii="Times New Roman" w:eastAsia="Times New Roman" w:hAnsi="Times New Roman" w:cs="Times New Roman"/>
                <w:color w:val="333333"/>
                <w:sz w:val="24"/>
                <w:szCs w:val="24"/>
                <w:lang w:eastAsia="uk-UA"/>
              </w:rPr>
              <w:t>2</w:t>
            </w:r>
            <w:r>
              <w:rPr>
                <w:rFonts w:ascii="Times New Roman" w:eastAsia="Times New Roman" w:hAnsi="Times New Roman" w:cs="Times New Roman"/>
                <w:color w:val="333333"/>
                <w:sz w:val="24"/>
                <w:szCs w:val="24"/>
                <w:lang w:eastAsia="uk-UA"/>
              </w:rPr>
              <w:t>78</w:t>
            </w:r>
          </w:p>
        </w:tc>
        <w:tc>
          <w:tcPr>
            <w:tcW w:w="544" w:type="pct"/>
            <w:shd w:val="clear" w:color="auto" w:fill="FFFFFF"/>
            <w:vAlign w:val="center"/>
            <w:hideMark/>
          </w:tcPr>
          <w:p w:rsidR="003E30E1" w:rsidRPr="004465C4"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445</w:t>
            </w:r>
          </w:p>
        </w:tc>
        <w:tc>
          <w:tcPr>
            <w:tcW w:w="544" w:type="pct"/>
            <w:shd w:val="clear" w:color="auto" w:fill="FFFFFF"/>
            <w:vAlign w:val="center"/>
            <w:hideMark/>
          </w:tcPr>
          <w:p w:rsidR="003E30E1" w:rsidRPr="004465C4"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72</w:t>
            </w:r>
          </w:p>
        </w:tc>
        <w:tc>
          <w:tcPr>
            <w:tcW w:w="544" w:type="pct"/>
            <w:shd w:val="clear" w:color="auto" w:fill="FFFFFF"/>
            <w:vAlign w:val="center"/>
          </w:tcPr>
          <w:p w:rsidR="003E30E1" w:rsidRPr="004465C4"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sidRPr="004465C4">
              <w:rPr>
                <w:rFonts w:ascii="Times New Roman" w:eastAsia="Times New Roman" w:hAnsi="Times New Roman" w:cs="Times New Roman"/>
                <w:color w:val="333333"/>
                <w:sz w:val="24"/>
                <w:szCs w:val="24"/>
                <w:lang w:eastAsia="uk-UA"/>
              </w:rPr>
              <w:t>0</w:t>
            </w:r>
          </w:p>
        </w:tc>
        <w:tc>
          <w:tcPr>
            <w:tcW w:w="544" w:type="pct"/>
            <w:shd w:val="clear" w:color="auto" w:fill="FFFFFF"/>
            <w:vAlign w:val="center"/>
            <w:hideMark/>
          </w:tcPr>
          <w:p w:rsidR="003E30E1" w:rsidRPr="004465C4" w:rsidRDefault="003E30E1" w:rsidP="00270A03">
            <w:pPr>
              <w:spacing w:before="150" w:after="150" w:line="240" w:lineRule="auto"/>
              <w:jc w:val="center"/>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t>795</w:t>
            </w:r>
          </w:p>
        </w:tc>
      </w:tr>
      <w:tr w:rsidR="003E30E1" w:rsidRPr="008816AB" w:rsidTr="00270A03">
        <w:tc>
          <w:tcPr>
            <w:tcW w:w="2279" w:type="pct"/>
            <w:shd w:val="clear" w:color="auto" w:fill="FFFFFF"/>
            <w:hideMark/>
          </w:tcPr>
          <w:p w:rsidR="003E30E1" w:rsidRPr="008816AB" w:rsidRDefault="003E30E1" w:rsidP="00270A03">
            <w:pPr>
              <w:spacing w:before="150" w:after="150" w:line="240" w:lineRule="auto"/>
              <w:rPr>
                <w:rFonts w:ascii="Times New Roman" w:eastAsia="Times New Roman" w:hAnsi="Times New Roman" w:cs="Times New Roman"/>
                <w:color w:val="333333"/>
                <w:sz w:val="24"/>
                <w:szCs w:val="24"/>
                <w:lang w:eastAsia="uk-UA"/>
              </w:rPr>
            </w:pPr>
            <w:r w:rsidRPr="008816AB">
              <w:rPr>
                <w:rFonts w:ascii="Times New Roman" w:eastAsia="Times New Roman" w:hAnsi="Times New Roman" w:cs="Times New Roman"/>
                <w:color w:val="333333"/>
                <w:sz w:val="24"/>
                <w:szCs w:val="24"/>
                <w:lang w:eastAsia="uk-UA"/>
              </w:rPr>
              <w:t>Питома вага групи у загальній кількості, відсотків</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35</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56</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9</w:t>
            </w:r>
          </w:p>
        </w:tc>
        <w:tc>
          <w:tcPr>
            <w:tcW w:w="544" w:type="pct"/>
            <w:shd w:val="clear" w:color="auto" w:fill="FFFFFF"/>
            <w:vAlign w:val="center"/>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0</w:t>
            </w:r>
          </w:p>
        </w:tc>
        <w:tc>
          <w:tcPr>
            <w:tcW w:w="544" w:type="pct"/>
            <w:shd w:val="clear" w:color="auto" w:fill="FFFFFF"/>
            <w:vAlign w:val="center"/>
            <w:hideMark/>
          </w:tcPr>
          <w:p w:rsidR="003E30E1" w:rsidRPr="004465C4" w:rsidRDefault="003E30E1" w:rsidP="00270A03">
            <w:pPr>
              <w:spacing w:after="0" w:line="240" w:lineRule="auto"/>
              <w:jc w:val="center"/>
              <w:rPr>
                <w:rFonts w:ascii="Times New Roman" w:eastAsia="Times New Roman" w:hAnsi="Times New Roman" w:cs="Times New Roman"/>
                <w:sz w:val="24"/>
                <w:szCs w:val="24"/>
                <w:lang w:eastAsia="uk-UA"/>
              </w:rPr>
            </w:pPr>
            <w:r w:rsidRPr="004465C4">
              <w:rPr>
                <w:rFonts w:ascii="Times New Roman" w:eastAsia="Times New Roman" w:hAnsi="Times New Roman" w:cs="Times New Roman"/>
                <w:sz w:val="24"/>
                <w:szCs w:val="24"/>
                <w:lang w:eastAsia="uk-UA"/>
              </w:rPr>
              <w:t>100</w:t>
            </w:r>
          </w:p>
        </w:tc>
      </w:tr>
    </w:tbl>
    <w:p w:rsidR="003E30E1" w:rsidRDefault="003E30E1" w:rsidP="00D73041">
      <w:pPr>
        <w:pStyle w:val="a4"/>
        <w:spacing w:after="0" w:line="240" w:lineRule="auto"/>
        <w:ind w:left="0" w:firstLine="709"/>
        <w:jc w:val="both"/>
        <w:rPr>
          <w:rFonts w:ascii="Times New Roman" w:hAnsi="Times New Roman" w:cs="Times New Roman"/>
          <w:sz w:val="28"/>
          <w:szCs w:val="28"/>
        </w:rPr>
      </w:pPr>
    </w:p>
    <w:p w:rsidR="003E30E1" w:rsidRDefault="003E30E1" w:rsidP="00866469">
      <w:pPr>
        <w:pStyle w:val="a4"/>
        <w:ind w:left="0" w:firstLine="709"/>
        <w:jc w:val="both"/>
        <w:rPr>
          <w:rFonts w:ascii="Times New Roman" w:hAnsi="Times New Roman" w:cs="Times New Roman"/>
          <w:sz w:val="28"/>
          <w:szCs w:val="28"/>
        </w:rPr>
      </w:pPr>
      <w:r w:rsidRPr="00796D25">
        <w:rPr>
          <w:rFonts w:ascii="Times New Roman" w:eastAsia="Times New Roman" w:hAnsi="Times New Roman"/>
          <w:sz w:val="24"/>
          <w:shd w:val="clear" w:color="auto" w:fill="FFFFFF"/>
        </w:rPr>
        <w:t xml:space="preserve">Інформація щодо суб’єктів господарювання за даними Реєстру суб’єктів освітньої діяльності </w:t>
      </w:r>
      <w:hyperlink r:id="rId7" w:history="1">
        <w:r w:rsidRPr="00796D25">
          <w:rPr>
            <w:rStyle w:val="a6"/>
            <w:rFonts w:ascii="Times New Roman" w:eastAsia="Times New Roman" w:hAnsi="Times New Roman"/>
            <w:sz w:val="24"/>
            <w:shd w:val="clear" w:color="auto" w:fill="FFFFFF"/>
          </w:rPr>
          <w:t>https://registry.edbo.gov.ua/</w:t>
        </w:r>
      </w:hyperlink>
    </w:p>
    <w:p w:rsidR="003E30E1" w:rsidRDefault="003E30E1" w:rsidP="00D73041">
      <w:pPr>
        <w:pStyle w:val="a4"/>
        <w:spacing w:after="0" w:line="240" w:lineRule="auto"/>
        <w:ind w:left="0" w:firstLine="709"/>
        <w:jc w:val="both"/>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551"/>
        <w:gridCol w:w="1205"/>
        <w:gridCol w:w="1271"/>
        <w:gridCol w:w="2477"/>
        <w:gridCol w:w="8"/>
      </w:tblGrid>
      <w:tr w:rsidR="00EB3CA1" w:rsidRPr="00796D25" w:rsidTr="00894135">
        <w:trPr>
          <w:gridAfter w:val="1"/>
          <w:wAfter w:w="8" w:type="dxa"/>
          <w:trHeight w:val="375"/>
        </w:trPr>
        <w:tc>
          <w:tcPr>
            <w:tcW w:w="4673" w:type="dxa"/>
            <w:gridSpan w:val="2"/>
            <w:shd w:val="clear" w:color="auto" w:fill="auto"/>
            <w:vAlign w:val="bottom"/>
          </w:tcPr>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w:t>
            </w:r>
          </w:p>
        </w:tc>
        <w:tc>
          <w:tcPr>
            <w:tcW w:w="2476" w:type="dxa"/>
            <w:gridSpan w:val="2"/>
            <w:shd w:val="clear" w:color="auto" w:fill="auto"/>
            <w:vAlign w:val="bottom"/>
          </w:tcPr>
          <w:p w:rsidR="00EB3CA1" w:rsidRPr="00796D25" w:rsidRDefault="00EB3CA1" w:rsidP="00EF293E">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1</w:t>
            </w:r>
          </w:p>
        </w:tc>
        <w:tc>
          <w:tcPr>
            <w:tcW w:w="2477" w:type="dxa"/>
            <w:shd w:val="clear" w:color="auto" w:fill="auto"/>
            <w:vAlign w:val="bottom"/>
          </w:tcPr>
          <w:p w:rsidR="00EB3CA1" w:rsidRPr="00796D25" w:rsidRDefault="00EB3CA1" w:rsidP="00EF293E">
            <w:pPr>
              <w:pStyle w:val="1"/>
              <w:suppressAutoHyphens w:val="0"/>
              <w:spacing w:line="240" w:lineRule="auto"/>
              <w:jc w:val="center"/>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Альтернатива 2</w:t>
            </w:r>
          </w:p>
        </w:tc>
      </w:tr>
      <w:tr w:rsidR="00EB3CA1" w:rsidRPr="00796D25" w:rsidTr="00894135">
        <w:trPr>
          <w:gridAfter w:val="1"/>
          <w:wAfter w:w="8" w:type="dxa"/>
          <w:trHeight w:val="375"/>
        </w:trPr>
        <w:tc>
          <w:tcPr>
            <w:tcW w:w="4673" w:type="dxa"/>
            <w:gridSpan w:val="2"/>
            <w:shd w:val="clear" w:color="auto" w:fill="auto"/>
            <w:vAlign w:val="bottom"/>
          </w:tcPr>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Кількість суб’єктів господарювання,</w:t>
            </w:r>
          </w:p>
          <w:p w:rsidR="00EB3CA1" w:rsidRPr="00796D25" w:rsidRDefault="00EB3CA1" w:rsidP="00EF293E">
            <w:pPr>
              <w:pStyle w:val="1"/>
              <w:suppressAutoHyphens w:val="0"/>
              <w:spacing w:line="240" w:lineRule="auto"/>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 xml:space="preserve"> у тому числі</w:t>
            </w:r>
          </w:p>
        </w:tc>
        <w:tc>
          <w:tcPr>
            <w:tcW w:w="2476" w:type="dxa"/>
            <w:gridSpan w:val="2"/>
            <w:shd w:val="clear" w:color="auto" w:fill="auto"/>
            <w:vAlign w:val="bottom"/>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795</w:t>
            </w:r>
          </w:p>
        </w:tc>
        <w:tc>
          <w:tcPr>
            <w:tcW w:w="2477" w:type="dxa"/>
            <w:shd w:val="clear" w:color="auto" w:fill="auto"/>
            <w:vAlign w:val="bottom"/>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674</w:t>
            </w:r>
          </w:p>
        </w:tc>
      </w:tr>
      <w:tr w:rsidR="00EB3CA1" w:rsidRPr="00796D25" w:rsidTr="00894135">
        <w:trPr>
          <w:gridAfter w:val="1"/>
          <w:wAfter w:w="8" w:type="dxa"/>
          <w:trHeight w:val="375"/>
        </w:trPr>
        <w:tc>
          <w:tcPr>
            <w:tcW w:w="4673" w:type="dxa"/>
            <w:gridSpan w:val="2"/>
            <w:shd w:val="clear" w:color="auto" w:fill="auto"/>
            <w:vAlign w:val="bottom"/>
          </w:tcPr>
          <w:p w:rsidR="00EB3CA1" w:rsidRPr="00796D25"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ТВСП</w:t>
            </w:r>
          </w:p>
          <w:p w:rsidR="00EB3CA1" w:rsidRPr="00796D25"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Коледжі</w:t>
            </w:r>
          </w:p>
          <w:p w:rsidR="00EB3CA1" w:rsidRPr="00796D25"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Фахові коледжі в структурі ЗВО</w:t>
            </w:r>
          </w:p>
        </w:tc>
        <w:tc>
          <w:tcPr>
            <w:tcW w:w="2476" w:type="dxa"/>
            <w:gridSpan w:val="2"/>
            <w:shd w:val="clear" w:color="auto" w:fill="auto"/>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87</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rPr>
            </w:pPr>
            <w:r w:rsidRPr="00796D25">
              <w:rPr>
                <w:rFonts w:ascii="Times New Roman" w:eastAsia="Times New Roman" w:hAnsi="Times New Roman"/>
                <w:color w:val="auto"/>
                <w:kern w:val="0"/>
                <w:sz w:val="24"/>
              </w:rPr>
              <w:t>8</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Pr>
                <w:rFonts w:ascii="Times New Roman" w:eastAsia="Times New Roman" w:hAnsi="Times New Roman"/>
                <w:color w:val="auto"/>
                <w:kern w:val="0"/>
                <w:sz w:val="24"/>
                <w:lang w:val="uk-UA"/>
              </w:rPr>
              <w:t>77</w:t>
            </w:r>
          </w:p>
        </w:tc>
        <w:tc>
          <w:tcPr>
            <w:tcW w:w="2477" w:type="dxa"/>
            <w:shd w:val="clear" w:color="auto" w:fill="auto"/>
          </w:tcPr>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17 ЗВО + 27 ЗФПО</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rPr>
              <w:t>2</w:t>
            </w:r>
            <w:r w:rsidRPr="00796D25">
              <w:rPr>
                <w:rFonts w:ascii="Times New Roman" w:eastAsia="Times New Roman" w:hAnsi="Times New Roman"/>
                <w:color w:val="auto"/>
                <w:kern w:val="0"/>
                <w:sz w:val="24"/>
                <w:lang w:val="uk-UA"/>
              </w:rPr>
              <w:t xml:space="preserve"> ЗВО + </w:t>
            </w:r>
            <w:r w:rsidRPr="00796D25">
              <w:rPr>
                <w:rFonts w:ascii="Times New Roman" w:eastAsia="Times New Roman" w:hAnsi="Times New Roman"/>
                <w:color w:val="auto"/>
                <w:kern w:val="0"/>
                <w:sz w:val="24"/>
              </w:rPr>
              <w:t>3</w:t>
            </w:r>
            <w:r w:rsidRPr="00796D25">
              <w:rPr>
                <w:rFonts w:ascii="Times New Roman" w:eastAsia="Times New Roman" w:hAnsi="Times New Roman"/>
                <w:color w:val="auto"/>
                <w:kern w:val="0"/>
                <w:sz w:val="24"/>
                <w:lang w:val="uk-UA"/>
              </w:rPr>
              <w:t xml:space="preserve"> ЗФПО</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796D25">
              <w:rPr>
                <w:rFonts w:ascii="Times New Roman" w:eastAsia="Times New Roman" w:hAnsi="Times New Roman"/>
                <w:color w:val="auto"/>
                <w:kern w:val="0"/>
                <w:sz w:val="24"/>
                <w:lang w:val="uk-UA"/>
              </w:rPr>
              <w:t>3</w:t>
            </w:r>
            <w:r>
              <w:rPr>
                <w:rFonts w:ascii="Times New Roman" w:eastAsia="Times New Roman" w:hAnsi="Times New Roman"/>
                <w:color w:val="auto"/>
                <w:kern w:val="0"/>
                <w:sz w:val="24"/>
                <w:lang w:val="uk-UA"/>
              </w:rPr>
              <w:t>02</w:t>
            </w:r>
          </w:p>
        </w:tc>
      </w:tr>
      <w:tr w:rsidR="00EB3CA1" w:rsidRPr="00796D25" w:rsidTr="00894135">
        <w:trPr>
          <w:gridAfter w:val="1"/>
          <w:wAfter w:w="8" w:type="dxa"/>
          <w:trHeight w:val="375"/>
        </w:trPr>
        <w:tc>
          <w:tcPr>
            <w:tcW w:w="4673" w:type="dxa"/>
            <w:gridSpan w:val="2"/>
            <w:shd w:val="clear" w:color="auto" w:fill="auto"/>
          </w:tcPr>
          <w:p w:rsidR="00EB3CA1" w:rsidRDefault="00EB3CA1" w:rsidP="00EF293E">
            <w:pPr>
              <w:pStyle w:val="1"/>
              <w:suppressAutoHyphens w:val="0"/>
              <w:spacing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Університети</w:t>
            </w:r>
          </w:p>
          <w:p w:rsidR="00EB3CA1" w:rsidRDefault="00EB3CA1" w:rsidP="00EF293E">
            <w:pPr>
              <w:pStyle w:val="1"/>
              <w:suppressAutoHyphens w:val="0"/>
              <w:spacing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Академії</w:t>
            </w:r>
          </w:p>
          <w:p w:rsidR="00EB3CA1" w:rsidRPr="00796D25" w:rsidRDefault="00EB3CA1" w:rsidP="00EF293E">
            <w:pPr>
              <w:pStyle w:val="1"/>
              <w:suppressAutoHyphens w:val="0"/>
              <w:spacing w:line="240" w:lineRule="auto"/>
              <w:ind w:firstLine="731"/>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Інститути</w:t>
            </w:r>
          </w:p>
        </w:tc>
        <w:tc>
          <w:tcPr>
            <w:tcW w:w="2476" w:type="dxa"/>
            <w:gridSpan w:val="2"/>
            <w:shd w:val="clear" w:color="auto" w:fill="auto"/>
          </w:tcPr>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212</w:t>
            </w:r>
          </w:p>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66</w:t>
            </w:r>
          </w:p>
          <w:p w:rsidR="00EB3CA1" w:rsidRPr="00796D25"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53</w:t>
            </w:r>
          </w:p>
        </w:tc>
        <w:tc>
          <w:tcPr>
            <w:tcW w:w="2477" w:type="dxa"/>
            <w:shd w:val="clear" w:color="auto" w:fill="auto"/>
          </w:tcPr>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129</w:t>
            </w:r>
          </w:p>
          <w:p w:rsidR="00EB3CA1"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122</w:t>
            </w:r>
          </w:p>
          <w:p w:rsidR="00EB3CA1" w:rsidRPr="00796D25" w:rsidRDefault="00EB3CA1" w:rsidP="00417B8B">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72</w:t>
            </w:r>
          </w:p>
        </w:tc>
      </w:tr>
      <w:tr w:rsidR="00EB3CA1" w:rsidRPr="00866469" w:rsidTr="00894135">
        <w:trPr>
          <w:gridAfter w:val="1"/>
          <w:wAfter w:w="8" w:type="dxa"/>
          <w:trHeight w:val="375"/>
        </w:trPr>
        <w:tc>
          <w:tcPr>
            <w:tcW w:w="4673" w:type="dxa"/>
            <w:gridSpan w:val="2"/>
            <w:shd w:val="clear" w:color="auto" w:fill="auto"/>
          </w:tcPr>
          <w:p w:rsidR="00EB3CA1" w:rsidRPr="00866469" w:rsidRDefault="00EB3CA1" w:rsidP="00EF293E">
            <w:pPr>
              <w:pStyle w:val="1"/>
              <w:suppressAutoHyphens w:val="0"/>
              <w:spacing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Кількість здобувачів освіти, тис. осіб</w:t>
            </w:r>
          </w:p>
          <w:p w:rsidR="00EB3CA1" w:rsidRPr="00866469" w:rsidRDefault="00EB3CA1" w:rsidP="00EF293E">
            <w:pPr>
              <w:pStyle w:val="1"/>
              <w:suppressAutoHyphens w:val="0"/>
              <w:spacing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 xml:space="preserve">у тому числі: </w:t>
            </w:r>
          </w:p>
          <w:p w:rsidR="00EA743E" w:rsidRPr="00866469" w:rsidRDefault="00EA743E" w:rsidP="00EA743E">
            <w:pPr>
              <w:pStyle w:val="1"/>
              <w:suppressAutoHyphens w:val="0"/>
              <w:spacing w:line="240" w:lineRule="auto"/>
              <w:ind w:firstLine="731"/>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Університети</w:t>
            </w:r>
          </w:p>
          <w:p w:rsidR="00EA743E" w:rsidRPr="00866469" w:rsidRDefault="00EA743E" w:rsidP="00EA743E">
            <w:pPr>
              <w:pStyle w:val="1"/>
              <w:suppressAutoHyphens w:val="0"/>
              <w:spacing w:line="240" w:lineRule="auto"/>
              <w:ind w:firstLine="731"/>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Академії</w:t>
            </w:r>
          </w:p>
          <w:p w:rsidR="00EB3CA1" w:rsidRPr="00866469" w:rsidRDefault="00EA743E" w:rsidP="00EA743E">
            <w:pPr>
              <w:pStyle w:val="1"/>
              <w:suppressAutoHyphens w:val="0"/>
              <w:spacing w:line="240" w:lineRule="auto"/>
              <w:ind w:left="720"/>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Інститути</w:t>
            </w:r>
          </w:p>
          <w:p w:rsidR="00EB3CA1" w:rsidRPr="00866469" w:rsidRDefault="00EB3CA1" w:rsidP="00EF293E">
            <w:pPr>
              <w:pStyle w:val="1"/>
              <w:suppressAutoHyphens w:val="0"/>
              <w:spacing w:line="240" w:lineRule="auto"/>
              <w:ind w:left="720"/>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ТВСП</w:t>
            </w:r>
          </w:p>
          <w:p w:rsidR="00EB3CA1" w:rsidRPr="00E35251" w:rsidRDefault="00EB3CA1" w:rsidP="00EF293E">
            <w:pPr>
              <w:pStyle w:val="1"/>
              <w:suppressAutoHyphens w:val="0"/>
              <w:spacing w:line="240" w:lineRule="auto"/>
              <w:ind w:left="720"/>
              <w:rPr>
                <w:rFonts w:ascii="Times New Roman" w:eastAsia="Times New Roman" w:hAnsi="Times New Roman"/>
                <w:color w:val="auto"/>
                <w:kern w:val="0"/>
                <w:sz w:val="24"/>
                <w:lang w:val="ru-RU"/>
              </w:rPr>
            </w:pPr>
            <w:r w:rsidRPr="00866469">
              <w:rPr>
                <w:rFonts w:ascii="Times New Roman" w:eastAsia="Times New Roman" w:hAnsi="Times New Roman"/>
                <w:color w:val="auto"/>
                <w:kern w:val="0"/>
                <w:sz w:val="24"/>
                <w:lang w:val="uk-UA"/>
              </w:rPr>
              <w:t>Коледжі</w:t>
            </w:r>
          </w:p>
          <w:p w:rsidR="00EB3CA1" w:rsidRPr="00866469" w:rsidRDefault="00EB3CA1" w:rsidP="00866469">
            <w:pPr>
              <w:pStyle w:val="1"/>
              <w:suppressAutoHyphens w:val="0"/>
              <w:spacing w:after="40" w:line="240" w:lineRule="auto"/>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Фахові коледжі в структурі ЗВО</w:t>
            </w:r>
          </w:p>
        </w:tc>
        <w:tc>
          <w:tcPr>
            <w:tcW w:w="2476" w:type="dxa"/>
            <w:gridSpan w:val="2"/>
            <w:shd w:val="clear" w:color="auto" w:fill="auto"/>
          </w:tcPr>
          <w:p w:rsidR="00EB3CA1"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1 446,7</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p>
          <w:p w:rsidR="00EB3CA1"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1 018,2</w:t>
            </w:r>
          </w:p>
          <w:p w:rsidR="00EA743E"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154,8</w:t>
            </w:r>
          </w:p>
          <w:p w:rsidR="00EA743E"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56,4</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29,6</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2,5</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185,2</w:t>
            </w:r>
          </w:p>
        </w:tc>
        <w:tc>
          <w:tcPr>
            <w:tcW w:w="2477" w:type="dxa"/>
            <w:shd w:val="clear" w:color="auto" w:fill="auto"/>
          </w:tcPr>
          <w:p w:rsidR="00EB3CA1" w:rsidRPr="00866469" w:rsidRDefault="00B033C2"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1 446,7</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p>
          <w:p w:rsidR="00EB3CA1" w:rsidRPr="00866469" w:rsidRDefault="00451753"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917</w:t>
            </w:r>
            <w:r w:rsidR="00392CAF">
              <w:rPr>
                <w:rFonts w:ascii="Times New Roman" w:eastAsia="Times New Roman" w:hAnsi="Times New Roman"/>
                <w:color w:val="auto"/>
                <w:kern w:val="0"/>
                <w:sz w:val="24"/>
                <w:lang w:val="uk-UA"/>
              </w:rPr>
              <w:t>,8</w:t>
            </w:r>
          </w:p>
          <w:p w:rsidR="00EA743E" w:rsidRPr="00866469" w:rsidRDefault="00392CAF"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2</w:t>
            </w:r>
            <w:r w:rsidR="00451753">
              <w:rPr>
                <w:rFonts w:ascii="Times New Roman" w:eastAsia="Times New Roman" w:hAnsi="Times New Roman"/>
                <w:color w:val="auto"/>
                <w:kern w:val="0"/>
                <w:sz w:val="24"/>
                <w:lang w:val="uk-UA"/>
              </w:rPr>
              <w:t>14</w:t>
            </w:r>
            <w:r>
              <w:rPr>
                <w:rFonts w:ascii="Times New Roman" w:eastAsia="Times New Roman" w:hAnsi="Times New Roman"/>
                <w:color w:val="auto"/>
                <w:kern w:val="0"/>
                <w:sz w:val="24"/>
                <w:lang w:val="uk-UA"/>
              </w:rPr>
              <w:t>,2</w:t>
            </w:r>
          </w:p>
          <w:p w:rsidR="00EA743E" w:rsidRPr="00866469" w:rsidRDefault="00BA6B78" w:rsidP="00EF293E">
            <w:pPr>
              <w:pStyle w:val="1"/>
              <w:suppressAutoHyphens w:val="0"/>
              <w:spacing w:line="240" w:lineRule="auto"/>
              <w:jc w:val="right"/>
              <w:rPr>
                <w:rFonts w:ascii="Times New Roman" w:eastAsia="Times New Roman" w:hAnsi="Times New Roman"/>
                <w:color w:val="auto"/>
                <w:kern w:val="0"/>
                <w:sz w:val="24"/>
                <w:lang w:val="uk-UA"/>
              </w:rPr>
            </w:pPr>
            <w:r>
              <w:rPr>
                <w:rFonts w:ascii="Times New Roman" w:eastAsia="Times New Roman" w:hAnsi="Times New Roman"/>
                <w:color w:val="auto"/>
                <w:kern w:val="0"/>
                <w:sz w:val="24"/>
                <w:lang w:val="uk-UA"/>
              </w:rPr>
              <w:t>97</w:t>
            </w:r>
            <w:r w:rsidR="00392CAF">
              <w:rPr>
                <w:rFonts w:ascii="Times New Roman" w:eastAsia="Times New Roman" w:hAnsi="Times New Roman"/>
                <w:color w:val="auto"/>
                <w:kern w:val="0"/>
                <w:sz w:val="24"/>
                <w:lang w:val="uk-UA"/>
              </w:rPr>
              <w:t>,4</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29,6</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2,5</w:t>
            </w:r>
          </w:p>
          <w:p w:rsidR="00EB3CA1" w:rsidRPr="00866469" w:rsidRDefault="00EB3CA1" w:rsidP="00EF293E">
            <w:pPr>
              <w:pStyle w:val="1"/>
              <w:suppressAutoHyphens w:val="0"/>
              <w:spacing w:line="240" w:lineRule="auto"/>
              <w:jc w:val="right"/>
              <w:rPr>
                <w:rFonts w:ascii="Times New Roman" w:eastAsia="Times New Roman" w:hAnsi="Times New Roman"/>
                <w:color w:val="auto"/>
                <w:kern w:val="0"/>
                <w:sz w:val="24"/>
                <w:lang w:val="uk-UA"/>
              </w:rPr>
            </w:pPr>
            <w:r w:rsidRPr="00866469">
              <w:rPr>
                <w:rFonts w:ascii="Times New Roman" w:eastAsia="Times New Roman" w:hAnsi="Times New Roman"/>
                <w:color w:val="auto"/>
                <w:kern w:val="0"/>
                <w:sz w:val="24"/>
                <w:lang w:val="uk-UA"/>
              </w:rPr>
              <w:t>185,2</w:t>
            </w:r>
          </w:p>
        </w:tc>
      </w:tr>
      <w:tr w:rsidR="00B33E25" w:rsidRPr="00796D25" w:rsidTr="00894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2122"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lastRenderedPageBreak/>
              <w:t>Вид альтернативи</w:t>
            </w:r>
          </w:p>
        </w:tc>
        <w:tc>
          <w:tcPr>
            <w:tcW w:w="3756"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Вигоди</w:t>
            </w:r>
          </w:p>
        </w:tc>
        <w:tc>
          <w:tcPr>
            <w:tcW w:w="3756" w:type="dxa"/>
            <w:gridSpan w:val="3"/>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Витрати</w:t>
            </w:r>
          </w:p>
        </w:tc>
      </w:tr>
      <w:tr w:rsidR="00B33E25" w:rsidRPr="00796D25" w:rsidTr="00894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756"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Відсутні</w:t>
            </w:r>
          </w:p>
        </w:tc>
        <w:tc>
          <w:tcPr>
            <w:tcW w:w="3756" w:type="dxa"/>
            <w:gridSpan w:val="3"/>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4465C4" w:rsidRPr="004465C4" w:rsidRDefault="004465C4" w:rsidP="005169BD">
            <w:pPr>
              <w:pStyle w:val="1"/>
              <w:spacing w:line="240" w:lineRule="auto"/>
              <w:rPr>
                <w:rFonts w:ascii="Times New Roman" w:eastAsia="Times New Roman" w:hAnsi="Times New Roman" w:cs="Times New Roman"/>
                <w:color w:val="auto"/>
                <w:sz w:val="24"/>
                <w:szCs w:val="24"/>
                <w:lang w:val="uk-UA"/>
              </w:rPr>
            </w:pPr>
            <w:r w:rsidRPr="004465C4">
              <w:rPr>
                <w:rFonts w:ascii="Times New Roman" w:hAnsi="Times New Roman" w:cs="Times New Roman"/>
                <w:sz w:val="24"/>
                <w:szCs w:val="24"/>
                <w:lang w:val="uk-UA"/>
              </w:rPr>
              <w:t>Витрати, пов’язані із втраченими можливостями щодо розвитку освітніх послуг та виникненням перешкод до євроінтеграції</w:t>
            </w:r>
          </w:p>
        </w:tc>
      </w:tr>
      <w:tr w:rsidR="00B33E25" w:rsidRPr="00796D25" w:rsidTr="00894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c>
          <w:tcPr>
            <w:tcW w:w="2122"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3756"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Економія коштів внаслідок реорганізації деяких ТВСП та коледжів у ЗФПО із відповідною меншою за вартістю процедурою акредитації (в середньому – 10 освітніх програм, які потребують акредитації для ТВСП та 5 для коледжів):</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(27*10+8*5)*(67000 – 20100) =</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14 539 000 грн.</w:t>
            </w:r>
          </w:p>
          <w:p w:rsidR="00B33E25" w:rsidRPr="00796D25" w:rsidRDefault="00B33E25" w:rsidP="00B33E25">
            <w:pPr>
              <w:pStyle w:val="Textbody"/>
              <w:spacing w:after="0" w:line="240" w:lineRule="auto"/>
              <w:jc w:val="both"/>
              <w:rPr>
                <w:rFonts w:ascii="Times New Roman" w:eastAsia="Times New Roman" w:hAnsi="Times New Roman"/>
                <w:color w:val="auto"/>
                <w:sz w:val="24"/>
                <w:lang w:val="uk-UA"/>
              </w:rPr>
            </w:pPr>
          </w:p>
          <w:p w:rsidR="00B33E25" w:rsidRPr="00796D25" w:rsidRDefault="00ED290F" w:rsidP="00B33E25">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s="Times New Roman"/>
                <w:sz w:val="24"/>
                <w:szCs w:val="24"/>
                <w:shd w:val="clear" w:color="auto" w:fill="FFFFFF"/>
                <w:lang w:val="uk-UA" w:eastAsia="uk-UA"/>
              </w:rPr>
              <w:t xml:space="preserve">У ролі суб’єктів </w:t>
            </w:r>
            <w:r w:rsidR="00B33E25" w:rsidRPr="00796D25">
              <w:rPr>
                <w:rFonts w:ascii="Times New Roman" w:eastAsia="Times New Roman" w:hAnsi="Times New Roman" w:cs="Times New Roman"/>
                <w:sz w:val="24"/>
                <w:szCs w:val="24"/>
                <w:shd w:val="clear" w:color="auto" w:fill="FFFFFF"/>
                <w:lang w:val="uk-UA" w:eastAsia="uk-UA"/>
              </w:rPr>
              <w:t>заклади освіти отримують такі вигоди: підвищення якості освітньої програми, покращення репутації закладу та довіри споживачів</w:t>
            </w:r>
          </w:p>
          <w:p w:rsidR="0027345E" w:rsidRPr="00796D25" w:rsidRDefault="0027345E" w:rsidP="00B33E25">
            <w:pPr>
              <w:pStyle w:val="Textbody"/>
              <w:spacing w:after="0" w:line="240" w:lineRule="auto"/>
              <w:jc w:val="both"/>
              <w:rPr>
                <w:rFonts w:ascii="Times New Roman" w:eastAsia="Times New Roman" w:hAnsi="Times New Roman"/>
                <w:color w:val="auto"/>
                <w:sz w:val="24"/>
                <w:lang w:val="uk-UA"/>
              </w:rPr>
            </w:pPr>
          </w:p>
        </w:tc>
        <w:tc>
          <w:tcPr>
            <w:tcW w:w="3756" w:type="dxa"/>
            <w:gridSpan w:val="3"/>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A33C96" w:rsidRPr="005169BD" w:rsidRDefault="00C82F37" w:rsidP="00A33C96">
            <w:pPr>
              <w:pStyle w:val="1"/>
              <w:spacing w:line="240" w:lineRule="auto"/>
              <w:jc w:val="both"/>
              <w:rPr>
                <w:rFonts w:ascii="Times New Roman" w:hAnsi="Times New Roman" w:cs="Times New Roman"/>
                <w:color w:val="auto"/>
                <w:sz w:val="24"/>
                <w:szCs w:val="24"/>
                <w:shd w:val="clear" w:color="auto" w:fill="FFFFFF"/>
                <w:lang w:val="uk-UA"/>
              </w:rPr>
            </w:pPr>
            <w:r w:rsidRPr="005169BD">
              <w:rPr>
                <w:rFonts w:ascii="Times New Roman" w:hAnsi="Times New Roman" w:cs="Times New Roman"/>
                <w:color w:val="auto"/>
                <w:sz w:val="24"/>
                <w:szCs w:val="24"/>
                <w:lang w:val="uk-UA"/>
              </w:rPr>
              <w:t>Часові та фінансові в</w:t>
            </w:r>
            <w:r w:rsidR="0068345B" w:rsidRPr="005169BD">
              <w:rPr>
                <w:rFonts w:ascii="Times New Roman" w:hAnsi="Times New Roman" w:cs="Times New Roman"/>
                <w:color w:val="auto"/>
                <w:sz w:val="24"/>
                <w:szCs w:val="24"/>
                <w:lang w:val="uk-UA"/>
              </w:rPr>
              <w:t>итрати суб’єктів господарювання</w:t>
            </w:r>
            <w:r w:rsidR="00A33C96" w:rsidRPr="005169BD">
              <w:rPr>
                <w:rFonts w:ascii="Times New Roman" w:hAnsi="Times New Roman" w:cs="Times New Roman"/>
                <w:color w:val="auto"/>
                <w:sz w:val="24"/>
                <w:szCs w:val="24"/>
                <w:lang w:val="uk-UA"/>
              </w:rPr>
              <w:t xml:space="preserve">, </w:t>
            </w:r>
            <w:r w:rsidRPr="005169BD">
              <w:rPr>
                <w:rFonts w:ascii="Times New Roman" w:hAnsi="Times New Roman" w:cs="Times New Roman"/>
                <w:color w:val="auto"/>
                <w:sz w:val="24"/>
                <w:szCs w:val="24"/>
                <w:shd w:val="clear" w:color="auto" w:fill="FFFFFF"/>
                <w:lang w:val="uk-UA"/>
              </w:rPr>
              <w:t>пов’язані з реорганізацією</w:t>
            </w:r>
            <w:r w:rsidR="00A33C96" w:rsidRPr="005169BD">
              <w:rPr>
                <w:rFonts w:ascii="Times New Roman" w:hAnsi="Times New Roman" w:cs="Times New Roman"/>
                <w:color w:val="auto"/>
                <w:sz w:val="24"/>
                <w:szCs w:val="24"/>
                <w:shd w:val="clear" w:color="auto" w:fill="FFFFFF"/>
                <w:lang w:val="uk-UA"/>
              </w:rPr>
              <w:t>:</w:t>
            </w:r>
          </w:p>
          <w:p w:rsidR="00C82F37" w:rsidRPr="005169BD" w:rsidRDefault="00C82F37" w:rsidP="00A33C96">
            <w:pPr>
              <w:pStyle w:val="1"/>
              <w:spacing w:line="240" w:lineRule="auto"/>
              <w:jc w:val="both"/>
              <w:rPr>
                <w:rFonts w:ascii="Times New Roman" w:hAnsi="Times New Roman" w:cs="Times New Roman"/>
                <w:color w:val="auto"/>
                <w:sz w:val="24"/>
                <w:szCs w:val="24"/>
                <w:shd w:val="clear" w:color="auto" w:fill="FFFFFF"/>
                <w:lang w:val="uk-UA"/>
              </w:rPr>
            </w:pPr>
            <w:r w:rsidRPr="005169BD">
              <w:rPr>
                <w:rFonts w:ascii="Times New Roman" w:hAnsi="Times New Roman" w:cs="Times New Roman"/>
                <w:color w:val="auto"/>
                <w:sz w:val="24"/>
                <w:szCs w:val="24"/>
                <w:shd w:val="clear" w:color="auto" w:fill="FFFFFF"/>
                <w:lang w:val="uk-UA"/>
              </w:rPr>
              <w:t>Витрати коштів з розрахунку мінімальної заробітної плати у погодинному розмірі на 1 квітня 2024 року (48,00 грн.):</w:t>
            </w:r>
          </w:p>
          <w:p w:rsidR="00C82F37" w:rsidRPr="005169BD" w:rsidRDefault="00C82F37" w:rsidP="00D42D84">
            <w:pPr>
              <w:pStyle w:val="1"/>
              <w:numPr>
                <w:ilvl w:val="0"/>
                <w:numId w:val="6"/>
              </w:numPr>
              <w:tabs>
                <w:tab w:val="left" w:pos="298"/>
              </w:tabs>
              <w:spacing w:before="80" w:after="80" w:line="240" w:lineRule="auto"/>
              <w:ind w:left="0" w:firstLine="17"/>
              <w:jc w:val="both"/>
              <w:rPr>
                <w:rFonts w:ascii="Times New Roman" w:hAnsi="Times New Roman" w:cs="Times New Roman"/>
                <w:color w:val="auto"/>
                <w:sz w:val="24"/>
                <w:szCs w:val="24"/>
                <w:lang w:val="uk-UA"/>
              </w:rPr>
            </w:pPr>
            <w:r w:rsidRPr="005169BD">
              <w:rPr>
                <w:rFonts w:ascii="Times New Roman" w:hAnsi="Times New Roman" w:cs="Times New Roman"/>
                <w:color w:val="auto"/>
                <w:sz w:val="24"/>
                <w:szCs w:val="24"/>
                <w:shd w:val="clear" w:color="auto" w:fill="FFFFFF"/>
                <w:lang w:val="uk-UA"/>
              </w:rPr>
              <w:t>на ознайомлення з регуляторним актом – 1 год.*48,00 грн/год</w:t>
            </w:r>
            <w:r w:rsidR="00D42D84" w:rsidRPr="005169BD">
              <w:rPr>
                <w:rFonts w:ascii="Times New Roman" w:hAnsi="Times New Roman" w:cs="Times New Roman"/>
                <w:color w:val="auto"/>
                <w:sz w:val="24"/>
                <w:szCs w:val="24"/>
                <w:shd w:val="clear" w:color="auto" w:fill="FFFFFF"/>
                <w:lang w:val="uk-UA"/>
              </w:rPr>
              <w:t>*674</w:t>
            </w:r>
            <w:r w:rsidRPr="005169BD">
              <w:rPr>
                <w:rFonts w:ascii="Times New Roman" w:hAnsi="Times New Roman" w:cs="Times New Roman"/>
                <w:color w:val="auto"/>
                <w:sz w:val="24"/>
                <w:szCs w:val="24"/>
                <w:shd w:val="clear" w:color="auto" w:fill="FFFFFF"/>
                <w:lang w:val="uk-UA"/>
              </w:rPr>
              <w:t xml:space="preserve"> = </w:t>
            </w:r>
            <w:r w:rsidR="00D42D84" w:rsidRPr="005169BD">
              <w:rPr>
                <w:rFonts w:ascii="Times New Roman" w:hAnsi="Times New Roman" w:cs="Times New Roman"/>
                <w:color w:val="auto"/>
                <w:sz w:val="24"/>
                <w:szCs w:val="24"/>
                <w:shd w:val="clear" w:color="auto" w:fill="FFFFFF"/>
                <w:lang w:val="uk-UA"/>
              </w:rPr>
              <w:t>32 352 грн.;</w:t>
            </w:r>
          </w:p>
          <w:p w:rsidR="00896B99" w:rsidRPr="005169BD" w:rsidRDefault="00896B99" w:rsidP="00D42D84">
            <w:pPr>
              <w:pStyle w:val="a4"/>
              <w:numPr>
                <w:ilvl w:val="0"/>
                <w:numId w:val="6"/>
              </w:numPr>
              <w:tabs>
                <w:tab w:val="left" w:pos="298"/>
              </w:tabs>
              <w:spacing w:after="0" w:line="240" w:lineRule="auto"/>
              <w:ind w:left="24" w:hanging="24"/>
              <w:jc w:val="both"/>
              <w:rPr>
                <w:rFonts w:ascii="Times New Roman" w:hAnsi="Times New Roman" w:cs="Times New Roman"/>
                <w:sz w:val="24"/>
                <w:szCs w:val="24"/>
              </w:rPr>
            </w:pPr>
            <w:r w:rsidRPr="005169BD">
              <w:rPr>
                <w:rFonts w:ascii="Times New Roman" w:hAnsi="Times New Roman" w:cs="Times New Roman"/>
                <w:sz w:val="24"/>
                <w:szCs w:val="24"/>
              </w:rPr>
              <w:t xml:space="preserve">прийняття внутрішніх рішень – </w:t>
            </w:r>
          </w:p>
          <w:p w:rsidR="00896B99" w:rsidRPr="005169BD" w:rsidRDefault="00896B99" w:rsidP="00896B99">
            <w:pPr>
              <w:pStyle w:val="a4"/>
              <w:tabs>
                <w:tab w:val="left" w:pos="298"/>
              </w:tabs>
              <w:spacing w:after="80" w:line="240" w:lineRule="auto"/>
              <w:ind w:left="23"/>
              <w:jc w:val="both"/>
              <w:rPr>
                <w:rFonts w:ascii="Times New Roman" w:hAnsi="Times New Roman" w:cs="Times New Roman"/>
                <w:sz w:val="24"/>
                <w:szCs w:val="24"/>
                <w:shd w:val="clear" w:color="auto" w:fill="FFFFFF"/>
              </w:rPr>
            </w:pPr>
            <w:r w:rsidRPr="005169BD">
              <w:rPr>
                <w:rFonts w:ascii="Times New Roman" w:hAnsi="Times New Roman" w:cs="Times New Roman"/>
                <w:sz w:val="24"/>
                <w:szCs w:val="24"/>
              </w:rPr>
              <w:t>2 год*</w:t>
            </w:r>
            <w:r w:rsidRPr="005169BD">
              <w:rPr>
                <w:rFonts w:ascii="Times New Roman" w:hAnsi="Times New Roman" w:cs="Times New Roman"/>
                <w:sz w:val="24"/>
                <w:szCs w:val="24"/>
                <w:shd w:val="clear" w:color="auto" w:fill="FFFFFF"/>
              </w:rPr>
              <w:t>48,00 грн/год*674 = 64 704 грн.;</w:t>
            </w:r>
          </w:p>
          <w:p w:rsidR="00896B99" w:rsidRPr="005169BD" w:rsidRDefault="00896B99" w:rsidP="00896B99">
            <w:pPr>
              <w:pStyle w:val="a4"/>
              <w:tabs>
                <w:tab w:val="left" w:pos="298"/>
              </w:tabs>
              <w:spacing w:after="0" w:line="240" w:lineRule="auto"/>
              <w:ind w:left="24"/>
              <w:jc w:val="both"/>
              <w:rPr>
                <w:rFonts w:ascii="Times New Roman" w:hAnsi="Times New Roman" w:cs="Times New Roman"/>
                <w:sz w:val="8"/>
                <w:szCs w:val="8"/>
              </w:rPr>
            </w:pPr>
          </w:p>
          <w:p w:rsidR="00B33E25" w:rsidRPr="005169BD" w:rsidRDefault="0068345B" w:rsidP="00D42D84">
            <w:pPr>
              <w:pStyle w:val="a4"/>
              <w:numPr>
                <w:ilvl w:val="0"/>
                <w:numId w:val="6"/>
              </w:numPr>
              <w:tabs>
                <w:tab w:val="left" w:pos="298"/>
              </w:tabs>
              <w:spacing w:after="0" w:line="240" w:lineRule="auto"/>
              <w:ind w:left="24" w:hanging="24"/>
              <w:jc w:val="both"/>
              <w:rPr>
                <w:rFonts w:ascii="Times New Roman" w:hAnsi="Times New Roman" w:cs="Times New Roman"/>
                <w:sz w:val="24"/>
                <w:szCs w:val="24"/>
              </w:rPr>
            </w:pPr>
            <w:r w:rsidRPr="005169BD">
              <w:rPr>
                <w:rFonts w:ascii="Times New Roman" w:hAnsi="Times New Roman" w:cs="Times New Roman"/>
                <w:sz w:val="24"/>
                <w:szCs w:val="24"/>
              </w:rPr>
              <w:t>п</w:t>
            </w:r>
            <w:r w:rsidR="00B33E25" w:rsidRPr="005169BD">
              <w:rPr>
                <w:rFonts w:ascii="Times New Roman" w:hAnsi="Times New Roman" w:cs="Times New Roman"/>
                <w:sz w:val="24"/>
                <w:szCs w:val="24"/>
              </w:rPr>
              <w:t>ідготовка заяви про переоформлення ліцензії</w:t>
            </w:r>
            <w:r w:rsidR="00D42D84" w:rsidRPr="005169BD">
              <w:rPr>
                <w:rFonts w:ascii="Times New Roman" w:hAnsi="Times New Roman" w:cs="Times New Roman"/>
                <w:sz w:val="24"/>
                <w:szCs w:val="24"/>
              </w:rPr>
              <w:t xml:space="preserve"> –</w:t>
            </w:r>
            <w:r w:rsidR="00B33E25" w:rsidRPr="005169BD">
              <w:rPr>
                <w:rFonts w:ascii="Times New Roman" w:hAnsi="Times New Roman" w:cs="Times New Roman"/>
                <w:sz w:val="24"/>
                <w:szCs w:val="24"/>
              </w:rPr>
              <w:t xml:space="preserve"> </w:t>
            </w:r>
          </w:p>
          <w:p w:rsidR="00D42D84" w:rsidRPr="005169BD" w:rsidRDefault="00896B99" w:rsidP="00896B99">
            <w:pPr>
              <w:pStyle w:val="a4"/>
              <w:tabs>
                <w:tab w:val="left" w:pos="298"/>
              </w:tabs>
              <w:spacing w:after="80" w:line="240" w:lineRule="auto"/>
              <w:ind w:left="23"/>
              <w:jc w:val="both"/>
              <w:rPr>
                <w:rFonts w:ascii="Times New Roman" w:hAnsi="Times New Roman" w:cs="Times New Roman"/>
                <w:sz w:val="24"/>
                <w:szCs w:val="24"/>
                <w:shd w:val="clear" w:color="auto" w:fill="FFFFFF"/>
              </w:rPr>
            </w:pPr>
            <w:r w:rsidRPr="005169BD">
              <w:rPr>
                <w:rFonts w:ascii="Times New Roman" w:hAnsi="Times New Roman" w:cs="Times New Roman"/>
                <w:sz w:val="24"/>
                <w:szCs w:val="24"/>
              </w:rPr>
              <w:t xml:space="preserve">1 </w:t>
            </w:r>
            <w:r w:rsidR="00D42D84" w:rsidRPr="005169BD">
              <w:rPr>
                <w:rFonts w:ascii="Times New Roman" w:hAnsi="Times New Roman" w:cs="Times New Roman"/>
                <w:sz w:val="24"/>
                <w:szCs w:val="24"/>
              </w:rPr>
              <w:t>год*</w:t>
            </w:r>
            <w:r w:rsidR="00D42D84" w:rsidRPr="005169BD">
              <w:rPr>
                <w:rFonts w:ascii="Times New Roman" w:hAnsi="Times New Roman" w:cs="Times New Roman"/>
                <w:sz w:val="24"/>
                <w:szCs w:val="24"/>
                <w:shd w:val="clear" w:color="auto" w:fill="FFFFFF"/>
              </w:rPr>
              <w:t xml:space="preserve">48,00 грн/год*674 = </w:t>
            </w:r>
            <w:r w:rsidRPr="005169BD">
              <w:rPr>
                <w:rFonts w:ascii="Times New Roman" w:hAnsi="Times New Roman" w:cs="Times New Roman"/>
                <w:sz w:val="24"/>
                <w:szCs w:val="24"/>
                <w:shd w:val="clear" w:color="auto" w:fill="FFFFFF"/>
              </w:rPr>
              <w:t>32</w:t>
            </w:r>
            <w:r w:rsidR="00D42D84" w:rsidRPr="005169BD">
              <w:rPr>
                <w:rFonts w:ascii="Times New Roman" w:hAnsi="Times New Roman" w:cs="Times New Roman"/>
                <w:sz w:val="24"/>
                <w:szCs w:val="24"/>
                <w:shd w:val="clear" w:color="auto" w:fill="FFFFFF"/>
              </w:rPr>
              <w:t> </w:t>
            </w:r>
            <w:r w:rsidRPr="005169BD">
              <w:rPr>
                <w:rFonts w:ascii="Times New Roman" w:hAnsi="Times New Roman" w:cs="Times New Roman"/>
                <w:sz w:val="24"/>
                <w:szCs w:val="24"/>
                <w:shd w:val="clear" w:color="auto" w:fill="FFFFFF"/>
              </w:rPr>
              <w:t>352</w:t>
            </w:r>
            <w:r w:rsidR="00D42D84" w:rsidRPr="005169BD">
              <w:rPr>
                <w:rFonts w:ascii="Times New Roman" w:hAnsi="Times New Roman" w:cs="Times New Roman"/>
                <w:sz w:val="24"/>
                <w:szCs w:val="24"/>
                <w:shd w:val="clear" w:color="auto" w:fill="FFFFFF"/>
              </w:rPr>
              <w:t xml:space="preserve"> грн.;</w:t>
            </w:r>
          </w:p>
          <w:p w:rsidR="00896B99" w:rsidRPr="005169BD" w:rsidRDefault="00896B99" w:rsidP="00896B99">
            <w:pPr>
              <w:pStyle w:val="a4"/>
              <w:tabs>
                <w:tab w:val="left" w:pos="298"/>
              </w:tabs>
              <w:spacing w:after="80" w:line="240" w:lineRule="auto"/>
              <w:ind w:left="23"/>
              <w:jc w:val="both"/>
              <w:rPr>
                <w:rFonts w:ascii="Times New Roman" w:hAnsi="Times New Roman" w:cs="Times New Roman"/>
                <w:sz w:val="8"/>
                <w:szCs w:val="8"/>
              </w:rPr>
            </w:pPr>
          </w:p>
          <w:p w:rsidR="00D42D84" w:rsidRPr="005169BD" w:rsidRDefault="00D42D84" w:rsidP="00896B99">
            <w:pPr>
              <w:pStyle w:val="a4"/>
              <w:numPr>
                <w:ilvl w:val="0"/>
                <w:numId w:val="6"/>
              </w:numPr>
              <w:tabs>
                <w:tab w:val="left" w:pos="298"/>
              </w:tabs>
              <w:spacing w:before="80" w:after="0" w:line="240" w:lineRule="auto"/>
              <w:ind w:left="23" w:hanging="23"/>
              <w:jc w:val="both"/>
              <w:rPr>
                <w:rFonts w:ascii="Times New Roman" w:hAnsi="Times New Roman" w:cs="Times New Roman"/>
                <w:sz w:val="24"/>
                <w:szCs w:val="24"/>
              </w:rPr>
            </w:pPr>
            <w:r w:rsidRPr="005169BD">
              <w:rPr>
                <w:rFonts w:ascii="Times New Roman" w:hAnsi="Times New Roman" w:cs="Times New Roman"/>
                <w:sz w:val="24"/>
                <w:szCs w:val="24"/>
              </w:rPr>
              <w:t xml:space="preserve">підготовка заяви на переоформлення сертифікату про акредитацію освітньої програми – </w:t>
            </w:r>
          </w:p>
          <w:p w:rsidR="00D42D84" w:rsidRPr="005169BD" w:rsidRDefault="00D42D84" w:rsidP="00896B99">
            <w:pPr>
              <w:pStyle w:val="a4"/>
              <w:tabs>
                <w:tab w:val="left" w:pos="298"/>
              </w:tabs>
              <w:spacing w:after="0" w:line="240" w:lineRule="auto"/>
              <w:ind w:left="24"/>
              <w:jc w:val="both"/>
              <w:rPr>
                <w:rFonts w:ascii="Times New Roman" w:hAnsi="Times New Roman" w:cs="Times New Roman"/>
                <w:sz w:val="24"/>
                <w:szCs w:val="24"/>
              </w:rPr>
            </w:pPr>
            <w:r w:rsidRPr="005169BD">
              <w:rPr>
                <w:rFonts w:ascii="Times New Roman" w:hAnsi="Times New Roman" w:cs="Times New Roman"/>
                <w:sz w:val="24"/>
                <w:szCs w:val="24"/>
              </w:rPr>
              <w:t>1 год.*</w:t>
            </w:r>
            <w:r w:rsidRPr="005169BD">
              <w:rPr>
                <w:rFonts w:ascii="Times New Roman" w:hAnsi="Times New Roman" w:cs="Times New Roman"/>
                <w:sz w:val="24"/>
                <w:szCs w:val="24"/>
                <w:shd w:val="clear" w:color="auto" w:fill="FFFFFF"/>
              </w:rPr>
              <w:t xml:space="preserve"> 48,00 грн/год*674*ОП</w:t>
            </w:r>
            <w:r w:rsidRPr="005169BD">
              <w:rPr>
                <w:rFonts w:ascii="Times New Roman" w:hAnsi="Times New Roman" w:cs="Times New Roman"/>
                <w:sz w:val="24"/>
                <w:szCs w:val="24"/>
                <w:shd w:val="clear" w:color="auto" w:fill="FFFFFF"/>
                <w:vertAlign w:val="superscript"/>
              </w:rPr>
              <w:t>1</w:t>
            </w:r>
            <w:r w:rsidRPr="005169BD">
              <w:rPr>
                <w:rFonts w:ascii="Times New Roman" w:hAnsi="Times New Roman" w:cs="Times New Roman"/>
                <w:sz w:val="24"/>
                <w:szCs w:val="24"/>
                <w:shd w:val="clear" w:color="auto" w:fill="FFFFFF"/>
              </w:rPr>
              <w:t xml:space="preserve"> = 129 408 грн.;</w:t>
            </w:r>
          </w:p>
          <w:p w:rsidR="00ED290F" w:rsidRPr="005169BD" w:rsidRDefault="00ED290F" w:rsidP="00A33C96">
            <w:pPr>
              <w:pStyle w:val="1"/>
              <w:spacing w:line="240" w:lineRule="auto"/>
              <w:rPr>
                <w:rFonts w:ascii="Times New Roman" w:hAnsi="Times New Roman" w:cs="Times New Roman"/>
                <w:sz w:val="16"/>
                <w:szCs w:val="16"/>
                <w:lang w:val="uk-UA"/>
              </w:rPr>
            </w:pPr>
          </w:p>
          <w:p w:rsidR="00B33E25" w:rsidRPr="00ED290F" w:rsidRDefault="00B33E25" w:rsidP="00A33C96">
            <w:pPr>
              <w:pStyle w:val="1"/>
              <w:spacing w:line="240" w:lineRule="auto"/>
              <w:rPr>
                <w:rFonts w:ascii="Times New Roman" w:eastAsia="Times New Roman" w:hAnsi="Times New Roman"/>
                <w:color w:val="auto"/>
                <w:sz w:val="16"/>
                <w:szCs w:val="16"/>
                <w:lang w:val="uk-UA"/>
              </w:rPr>
            </w:pPr>
            <w:r w:rsidRPr="00796D25">
              <w:rPr>
                <w:rFonts w:ascii="Times New Roman" w:hAnsi="Times New Roman" w:cs="Times New Roman"/>
                <w:sz w:val="24"/>
                <w:szCs w:val="24"/>
                <w:lang w:val="uk-UA"/>
              </w:rPr>
              <w:t xml:space="preserve">Усього: </w:t>
            </w:r>
            <w:r w:rsidR="00896B99">
              <w:rPr>
                <w:rFonts w:ascii="Times New Roman" w:hAnsi="Times New Roman" w:cs="Times New Roman"/>
                <w:sz w:val="24"/>
                <w:szCs w:val="24"/>
                <w:lang w:val="ru-RU"/>
              </w:rPr>
              <w:t>258</w:t>
            </w:r>
            <w:r w:rsidR="007C20F5" w:rsidRPr="00866469">
              <w:rPr>
                <w:rFonts w:ascii="Times New Roman" w:hAnsi="Times New Roman" w:cs="Times New Roman"/>
                <w:sz w:val="24"/>
                <w:szCs w:val="24"/>
              </w:rPr>
              <w:t> </w:t>
            </w:r>
            <w:r w:rsidR="00896B99">
              <w:rPr>
                <w:rFonts w:ascii="Times New Roman" w:hAnsi="Times New Roman" w:cs="Times New Roman"/>
                <w:sz w:val="24"/>
                <w:szCs w:val="24"/>
                <w:lang w:val="ru-RU"/>
              </w:rPr>
              <w:t>816</w:t>
            </w:r>
            <w:r w:rsidR="0068345B" w:rsidRPr="00E35251">
              <w:rPr>
                <w:rFonts w:ascii="Times New Roman" w:hAnsi="Times New Roman" w:cs="Times New Roman"/>
                <w:sz w:val="24"/>
                <w:szCs w:val="24"/>
                <w:lang w:val="ru-RU"/>
              </w:rPr>
              <w:t>,00</w:t>
            </w:r>
            <w:r w:rsidR="0068345B">
              <w:rPr>
                <w:rFonts w:ascii="Times New Roman" w:hAnsi="Times New Roman" w:cs="Times New Roman"/>
                <w:sz w:val="24"/>
                <w:szCs w:val="24"/>
                <w:lang w:val="uk-UA"/>
              </w:rPr>
              <w:t xml:space="preserve"> </w:t>
            </w:r>
            <w:r w:rsidRPr="00796D25">
              <w:rPr>
                <w:rFonts w:ascii="Times New Roman" w:hAnsi="Times New Roman" w:cs="Times New Roman"/>
                <w:sz w:val="24"/>
                <w:szCs w:val="24"/>
                <w:lang w:val="uk-UA"/>
              </w:rPr>
              <w:t>грн.</w:t>
            </w:r>
          </w:p>
          <w:p w:rsidR="004465C4" w:rsidRPr="005169BD" w:rsidRDefault="004465C4" w:rsidP="00ED290F">
            <w:pPr>
              <w:pStyle w:val="1"/>
              <w:jc w:val="center"/>
              <w:rPr>
                <w:rFonts w:ascii="Times New Roman" w:eastAsia="Times New Roman" w:hAnsi="Times New Roman"/>
                <w:color w:val="auto"/>
                <w:sz w:val="16"/>
                <w:szCs w:val="16"/>
                <w:lang w:val="uk-UA"/>
              </w:rPr>
            </w:pPr>
          </w:p>
          <w:p w:rsidR="00CF79DE" w:rsidRPr="00796D25" w:rsidRDefault="00D42D84" w:rsidP="00896B99">
            <w:pPr>
              <w:pStyle w:val="1"/>
              <w:spacing w:line="240" w:lineRule="auto"/>
              <w:jc w:val="both"/>
              <w:rPr>
                <w:rFonts w:ascii="Times New Roman" w:eastAsia="Times New Roman" w:hAnsi="Times New Roman"/>
                <w:color w:val="auto"/>
                <w:lang w:val="uk-UA"/>
              </w:rPr>
            </w:pPr>
            <w:r>
              <w:rPr>
                <w:rFonts w:ascii="Times New Roman" w:hAnsi="Times New Roman"/>
                <w:vertAlign w:val="superscript"/>
                <w:lang w:val="uk-UA"/>
              </w:rPr>
              <w:t xml:space="preserve">1 </w:t>
            </w:r>
            <w:r w:rsidRPr="00896B99">
              <w:rPr>
                <w:rFonts w:ascii="Times New Roman" w:hAnsi="Times New Roman"/>
                <w:i/>
                <w:sz w:val="20"/>
                <w:lang w:val="uk-UA"/>
              </w:rPr>
              <w:t>І</w:t>
            </w:r>
            <w:r w:rsidR="00CF79DE" w:rsidRPr="00896B99">
              <w:rPr>
                <w:rFonts w:ascii="Times New Roman" w:hAnsi="Times New Roman"/>
                <w:i/>
                <w:sz w:val="20"/>
                <w:lang w:val="uk-UA"/>
              </w:rPr>
              <w:t xml:space="preserve">з розрахунку 4 ОП, що потребують переоформлення </w:t>
            </w:r>
            <w:r w:rsidR="00896B99">
              <w:rPr>
                <w:rFonts w:ascii="Times New Roman" w:hAnsi="Times New Roman"/>
                <w:i/>
                <w:sz w:val="20"/>
                <w:lang w:val="uk-UA"/>
              </w:rPr>
              <w:t>сертифікатів про акредитацію освітніх програм</w:t>
            </w:r>
            <w:r w:rsidR="00CF79DE" w:rsidRPr="00896B99">
              <w:rPr>
                <w:rFonts w:ascii="Times New Roman" w:hAnsi="Times New Roman"/>
                <w:i/>
                <w:sz w:val="20"/>
                <w:lang w:val="uk-UA"/>
              </w:rPr>
              <w:t xml:space="preserve">, на заклад фахової </w:t>
            </w:r>
            <w:proofErr w:type="spellStart"/>
            <w:r w:rsidR="00CF79DE" w:rsidRPr="00896B99">
              <w:rPr>
                <w:rFonts w:ascii="Times New Roman" w:hAnsi="Times New Roman"/>
                <w:i/>
                <w:sz w:val="20"/>
                <w:lang w:val="uk-UA"/>
              </w:rPr>
              <w:t>передвищої</w:t>
            </w:r>
            <w:proofErr w:type="spellEnd"/>
            <w:r w:rsidRPr="00896B99">
              <w:rPr>
                <w:rFonts w:ascii="Times New Roman" w:hAnsi="Times New Roman"/>
                <w:i/>
                <w:sz w:val="20"/>
                <w:lang w:val="uk-UA"/>
              </w:rPr>
              <w:t xml:space="preserve"> </w:t>
            </w:r>
            <w:r w:rsidR="00CF79DE" w:rsidRPr="00896B99">
              <w:rPr>
                <w:rFonts w:ascii="Times New Roman" w:hAnsi="Times New Roman"/>
                <w:i/>
                <w:sz w:val="20"/>
                <w:lang w:val="uk-UA"/>
              </w:rPr>
              <w:t>/</w:t>
            </w:r>
            <w:r w:rsidRPr="00896B99">
              <w:rPr>
                <w:rFonts w:ascii="Times New Roman" w:hAnsi="Times New Roman"/>
                <w:i/>
                <w:sz w:val="20"/>
                <w:lang w:val="uk-UA"/>
              </w:rPr>
              <w:t xml:space="preserve"> </w:t>
            </w:r>
            <w:r w:rsidR="00CF79DE" w:rsidRPr="00896B99">
              <w:rPr>
                <w:rFonts w:ascii="Times New Roman" w:hAnsi="Times New Roman"/>
                <w:i/>
                <w:sz w:val="20"/>
                <w:lang w:val="uk-UA"/>
              </w:rPr>
              <w:t>вищої освіт</w:t>
            </w:r>
            <w:r w:rsidR="00CF79DE" w:rsidRPr="00896B99">
              <w:rPr>
                <w:rFonts w:ascii="Times New Roman" w:hAnsi="Times New Roman"/>
                <w:i/>
                <w:sz w:val="20"/>
              </w:rPr>
              <w:t>и</w:t>
            </w:r>
            <w:r w:rsidR="00CF79DE" w:rsidRPr="008F2E6F">
              <w:rPr>
                <w:rFonts w:ascii="Times New Roman" w:hAnsi="Times New Roman"/>
              </w:rPr>
              <w:t xml:space="preserve"> </w:t>
            </w:r>
          </w:p>
        </w:tc>
      </w:tr>
    </w:tbl>
    <w:p w:rsidR="007C07DB" w:rsidRPr="00796D25" w:rsidRDefault="007C07DB" w:rsidP="00A33C96">
      <w:pPr>
        <w:pStyle w:val="Textbody"/>
        <w:spacing w:before="160" w:after="160" w:line="240" w:lineRule="auto"/>
        <w:rPr>
          <w:rFonts w:ascii="Times New Roman" w:eastAsia="Times New Roman" w:hAnsi="Times New Roman"/>
          <w:color w:val="auto"/>
          <w:sz w:val="24"/>
          <w:shd w:val="clear" w:color="auto" w:fill="FFFFFF"/>
          <w:lang w:val="uk-UA"/>
        </w:rPr>
      </w:pPr>
      <w:r w:rsidRPr="00796D25">
        <w:rPr>
          <w:rFonts w:ascii="Times New Roman" w:eastAsia="Times New Roman" w:hAnsi="Times New Roman"/>
          <w:b/>
          <w:color w:val="auto"/>
          <w:sz w:val="28"/>
          <w:shd w:val="clear" w:color="auto" w:fill="FFFFFF"/>
          <w:lang w:val="uk-UA"/>
        </w:rPr>
        <w:t>Оцінка сумарних витрат за альтернативами</w:t>
      </w:r>
    </w:p>
    <w:tbl>
      <w:tblPr>
        <w:tblW w:w="9634" w:type="dxa"/>
        <w:tblLayout w:type="fixed"/>
        <w:tblCellMar>
          <w:left w:w="10" w:type="dxa"/>
          <w:right w:w="10" w:type="dxa"/>
        </w:tblCellMar>
        <w:tblLook w:val="0000" w:firstRow="0" w:lastRow="0" w:firstColumn="0" w:lastColumn="0" w:noHBand="0" w:noVBand="0"/>
      </w:tblPr>
      <w:tblGrid>
        <w:gridCol w:w="5160"/>
        <w:gridCol w:w="4474"/>
      </w:tblGrid>
      <w:tr w:rsidR="00B33E25" w:rsidRPr="00796D25" w:rsidTr="00ED290F">
        <w:tc>
          <w:tcPr>
            <w:tcW w:w="5160"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Сумарні витрати за альтернативами</w:t>
            </w:r>
          </w:p>
        </w:tc>
        <w:tc>
          <w:tcPr>
            <w:tcW w:w="447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jc w:val="center"/>
              <w:rPr>
                <w:rFonts w:ascii="Times New Roman" w:eastAsia="Times New Roman" w:hAnsi="Times New Roman"/>
                <w:b/>
                <w:color w:val="auto"/>
                <w:sz w:val="24"/>
                <w:lang w:val="uk-UA"/>
              </w:rPr>
            </w:pPr>
            <w:r w:rsidRPr="00796D25">
              <w:rPr>
                <w:rFonts w:ascii="Times New Roman" w:eastAsia="Times New Roman" w:hAnsi="Times New Roman"/>
                <w:color w:val="auto"/>
                <w:sz w:val="24"/>
                <w:lang w:val="uk-UA"/>
              </w:rPr>
              <w:t>Сума витрат, гривень</w:t>
            </w:r>
          </w:p>
        </w:tc>
      </w:tr>
      <w:tr w:rsidR="00B33E25" w:rsidRPr="00796D25" w:rsidTr="00357072">
        <w:trPr>
          <w:trHeight w:val="674"/>
        </w:trPr>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3D5AFB">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 xml:space="preserve">Альтернатива 1. </w:t>
            </w:r>
            <w:r w:rsidR="003D5AFB" w:rsidRPr="003D5AFB">
              <w:rPr>
                <w:rFonts w:ascii="Times New Roman" w:eastAsia="Times New Roman" w:hAnsi="Times New Roman"/>
                <w:sz w:val="24"/>
                <w:szCs w:val="24"/>
                <w:lang w:val="uk-UA"/>
              </w:rPr>
              <w:t>Існуюча ситуація залишається без змін</w:t>
            </w:r>
          </w:p>
        </w:tc>
        <w:tc>
          <w:tcPr>
            <w:tcW w:w="44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rsidR="005169BD" w:rsidRPr="005169BD" w:rsidRDefault="005169BD" w:rsidP="003D5AFB">
            <w:pPr>
              <w:spacing w:after="0" w:line="240" w:lineRule="auto"/>
              <w:jc w:val="both"/>
              <w:rPr>
                <w:rFonts w:ascii="Times New Roman" w:eastAsia="Times New Roman" w:hAnsi="Times New Roman"/>
                <w:sz w:val="24"/>
                <w:szCs w:val="24"/>
              </w:rPr>
            </w:pPr>
            <w:r w:rsidRPr="005169BD">
              <w:rPr>
                <w:rFonts w:ascii="Times New Roman" w:eastAsia="Times New Roman" w:hAnsi="Times New Roman"/>
                <w:sz w:val="24"/>
                <w:szCs w:val="24"/>
              </w:rPr>
              <w:t>Іміджеві витрати, пов’язані із втраченими можливостями щодо розвитку освітніх послуг</w:t>
            </w:r>
            <w:r w:rsidR="003D5AFB">
              <w:rPr>
                <w:rFonts w:ascii="Times New Roman" w:eastAsia="Times New Roman" w:hAnsi="Times New Roman"/>
                <w:sz w:val="24"/>
                <w:szCs w:val="24"/>
              </w:rPr>
              <w:t>.</w:t>
            </w:r>
          </w:p>
          <w:p w:rsidR="005169BD" w:rsidRPr="005169BD" w:rsidRDefault="005169BD" w:rsidP="003D5AFB">
            <w:pPr>
              <w:spacing w:after="0" w:line="240" w:lineRule="auto"/>
              <w:jc w:val="both"/>
              <w:rPr>
                <w:rFonts w:ascii="Times New Roman" w:hAnsi="Times New Roman" w:cs="Times New Roman"/>
                <w:sz w:val="24"/>
                <w:szCs w:val="24"/>
              </w:rPr>
            </w:pPr>
            <w:r w:rsidRPr="005169BD">
              <w:rPr>
                <w:rFonts w:ascii="Times New Roman" w:eastAsia="Times New Roman" w:hAnsi="Times New Roman"/>
                <w:sz w:val="24"/>
                <w:szCs w:val="24"/>
              </w:rPr>
              <w:t>Виникнення перешкод до євроінтеграції та розвитку міждисциплінарних програм</w:t>
            </w:r>
            <w:r w:rsidR="003D5AFB">
              <w:rPr>
                <w:rFonts w:ascii="Times New Roman" w:eastAsia="Times New Roman" w:hAnsi="Times New Roman"/>
                <w:sz w:val="24"/>
                <w:szCs w:val="24"/>
              </w:rPr>
              <w:t>.</w:t>
            </w:r>
          </w:p>
          <w:p w:rsidR="00B33E25" w:rsidRPr="00796D25" w:rsidRDefault="008127A3" w:rsidP="003D5AFB">
            <w:pPr>
              <w:spacing w:after="0" w:line="240" w:lineRule="auto"/>
              <w:rPr>
                <w:rFonts w:ascii="Times New Roman" w:eastAsia="Times New Roman" w:hAnsi="Times New Roman"/>
              </w:rPr>
            </w:pPr>
            <w:r>
              <w:rPr>
                <w:rFonts w:ascii="Times New Roman" w:hAnsi="Times New Roman" w:cs="Times New Roman"/>
                <w:sz w:val="24"/>
                <w:szCs w:val="24"/>
              </w:rPr>
              <w:t>Витрати, пов’язані із розглядом звернень закладів освіти становитимуть 171 010,00 грн.</w:t>
            </w:r>
          </w:p>
        </w:tc>
      </w:tr>
      <w:tr w:rsidR="00B33E25" w:rsidRPr="00796D25" w:rsidTr="00ED290F">
        <w:tc>
          <w:tcPr>
            <w:tcW w:w="516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B33E25">
            <w:pPr>
              <w:pStyle w:val="1"/>
              <w:spacing w:before="100" w:beforeAutospacing="1" w:after="100" w:afterAutospacing="1"/>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lastRenderedPageBreak/>
              <w:t xml:space="preserve">Альтернатива 2. </w:t>
            </w:r>
            <w:r w:rsidR="004266C6" w:rsidRPr="004266C6">
              <w:rPr>
                <w:rFonts w:ascii="Times New Roman" w:eastAsia="Times New Roman" w:hAnsi="Times New Roman"/>
                <w:sz w:val="24"/>
                <w:szCs w:val="24"/>
                <w:lang w:val="uk-UA"/>
              </w:rPr>
              <w:t xml:space="preserve">Прийняття запропонованого </w:t>
            </w:r>
            <w:proofErr w:type="spellStart"/>
            <w:r w:rsidR="004266C6" w:rsidRPr="004266C6">
              <w:rPr>
                <w:rFonts w:ascii="Times New Roman" w:eastAsia="Times New Roman" w:hAnsi="Times New Roman"/>
                <w:sz w:val="24"/>
                <w:szCs w:val="24"/>
                <w:lang w:val="uk-UA"/>
              </w:rPr>
              <w:t>проєкту</w:t>
            </w:r>
            <w:proofErr w:type="spellEnd"/>
            <w:r w:rsidR="004266C6" w:rsidRPr="004266C6">
              <w:rPr>
                <w:rFonts w:ascii="Times New Roman" w:eastAsia="Times New Roman" w:hAnsi="Times New Roman"/>
                <w:sz w:val="24"/>
                <w:szCs w:val="24"/>
                <w:lang w:val="uk-UA"/>
              </w:rPr>
              <w:t xml:space="preserve"> </w:t>
            </w:r>
            <w:proofErr w:type="spellStart"/>
            <w:r w:rsidR="004266C6" w:rsidRPr="004266C6">
              <w:rPr>
                <w:rFonts w:ascii="Times New Roman" w:eastAsia="Times New Roman" w:hAnsi="Times New Roman"/>
                <w:sz w:val="24"/>
                <w:szCs w:val="24"/>
                <w:lang w:val="uk-UA"/>
              </w:rPr>
              <w:t>акта</w:t>
            </w:r>
            <w:proofErr w:type="spellEnd"/>
          </w:p>
        </w:tc>
        <w:tc>
          <w:tcPr>
            <w:tcW w:w="447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rsidR="00B33E25" w:rsidRPr="00796D25" w:rsidRDefault="00B33E25" w:rsidP="003D5AFB">
            <w:pPr>
              <w:pStyle w:val="Textbody"/>
              <w:spacing w:after="0" w:line="240" w:lineRule="auto"/>
              <w:ind w:left="57"/>
              <w:rPr>
                <w:rFonts w:ascii="Times New Roman" w:eastAsia="Times New Roman" w:hAnsi="Times New Roman"/>
                <w:color w:val="auto"/>
                <w:lang w:val="uk-UA"/>
              </w:rPr>
            </w:pPr>
            <w:r w:rsidRPr="00796D25">
              <w:rPr>
                <w:rFonts w:ascii="Times New Roman" w:eastAsia="Times New Roman" w:hAnsi="Times New Roman"/>
                <w:color w:val="auto"/>
                <w:sz w:val="24"/>
                <w:lang w:val="uk-UA"/>
              </w:rPr>
              <w:t>у великих  та середніх суб’єктів господарювання</w:t>
            </w:r>
            <w:r w:rsidR="00B469C4">
              <w:rPr>
                <w:rFonts w:ascii="Times New Roman" w:eastAsia="Times New Roman" w:hAnsi="Times New Roman"/>
                <w:color w:val="auto"/>
                <w:sz w:val="24"/>
                <w:lang w:val="uk-UA"/>
              </w:rPr>
              <w:t xml:space="preserve"> </w:t>
            </w:r>
            <w:r w:rsidRPr="00796D25">
              <w:rPr>
                <w:rStyle w:val="2"/>
                <w:rFonts w:eastAsia="Arial"/>
                <w:color w:val="auto"/>
                <w:sz w:val="24"/>
                <w:szCs w:val="24"/>
              </w:rPr>
              <w:t xml:space="preserve">– </w:t>
            </w:r>
            <w:r w:rsidR="003D5AFB">
              <w:rPr>
                <w:rFonts w:ascii="Times New Roman" w:hAnsi="Times New Roman" w:cs="Times New Roman"/>
                <w:sz w:val="24"/>
                <w:szCs w:val="24"/>
                <w:lang w:val="uk-UA"/>
              </w:rPr>
              <w:t>258</w:t>
            </w:r>
            <w:r w:rsidR="007C20F5" w:rsidRPr="007C20F5">
              <w:rPr>
                <w:rFonts w:ascii="Times New Roman" w:hAnsi="Times New Roman" w:cs="Times New Roman"/>
                <w:sz w:val="24"/>
                <w:szCs w:val="24"/>
                <w:lang w:val="uk-UA"/>
              </w:rPr>
              <w:t> </w:t>
            </w:r>
            <w:r w:rsidR="003D5AFB">
              <w:rPr>
                <w:rFonts w:ascii="Times New Roman" w:hAnsi="Times New Roman" w:cs="Times New Roman"/>
                <w:sz w:val="24"/>
                <w:szCs w:val="24"/>
                <w:lang w:val="uk-UA"/>
              </w:rPr>
              <w:t>816</w:t>
            </w:r>
            <w:r w:rsidR="007C20F5" w:rsidRPr="007C20F5">
              <w:rPr>
                <w:rFonts w:ascii="Times New Roman" w:hAnsi="Times New Roman" w:cs="Times New Roman"/>
                <w:sz w:val="24"/>
                <w:szCs w:val="24"/>
                <w:lang w:val="uk-UA"/>
              </w:rPr>
              <w:t>,00</w:t>
            </w:r>
            <w:r w:rsidR="007C20F5">
              <w:rPr>
                <w:rFonts w:ascii="Times New Roman" w:eastAsia="Times New Roman" w:hAnsi="Times New Roman"/>
                <w:color w:val="auto"/>
                <w:sz w:val="24"/>
                <w:lang w:val="uk-UA"/>
              </w:rPr>
              <w:t xml:space="preserve"> </w:t>
            </w:r>
            <w:r w:rsidRPr="00796D25">
              <w:rPr>
                <w:rFonts w:ascii="Times New Roman" w:eastAsia="Times New Roman" w:hAnsi="Times New Roman"/>
                <w:color w:val="auto"/>
                <w:sz w:val="24"/>
                <w:szCs w:val="24"/>
                <w:lang w:val="uk-UA"/>
              </w:rPr>
              <w:t>грн</w:t>
            </w:r>
          </w:p>
        </w:tc>
      </w:tr>
    </w:tbl>
    <w:p w:rsidR="00B33E25" w:rsidRDefault="00B33E25" w:rsidP="00ED290F">
      <w:pPr>
        <w:pStyle w:val="1"/>
        <w:suppressAutoHyphens w:val="0"/>
        <w:spacing w:before="160"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Внаслідок запровадження регуляторного </w:t>
      </w:r>
      <w:proofErr w:type="spellStart"/>
      <w:r w:rsidRPr="00796D25">
        <w:rPr>
          <w:rFonts w:ascii="Times New Roman" w:eastAsia="Times New Roman" w:hAnsi="Times New Roman"/>
          <w:color w:val="auto"/>
          <w:kern w:val="0"/>
          <w:sz w:val="28"/>
          <w:lang w:val="uk-UA"/>
        </w:rPr>
        <w:t>акта</w:t>
      </w:r>
      <w:proofErr w:type="spellEnd"/>
      <w:r w:rsidRPr="00796D25">
        <w:rPr>
          <w:rFonts w:ascii="Times New Roman" w:eastAsia="Times New Roman" w:hAnsi="Times New Roman"/>
          <w:color w:val="auto"/>
          <w:kern w:val="0"/>
          <w:sz w:val="28"/>
          <w:lang w:val="uk-UA"/>
        </w:rPr>
        <w:t xml:space="preserve"> держава, суб’єкти господарювання і громадяни отримують вигоду ‒ </w:t>
      </w:r>
      <w:r>
        <w:rPr>
          <w:rFonts w:ascii="Times New Roman" w:eastAsia="Times New Roman" w:hAnsi="Times New Roman"/>
          <w:color w:val="auto"/>
          <w:kern w:val="0"/>
          <w:sz w:val="28"/>
          <w:lang w:val="uk-UA"/>
        </w:rPr>
        <w:t xml:space="preserve">підвищення якості </w:t>
      </w:r>
      <w:r w:rsidR="00894135">
        <w:rPr>
          <w:rFonts w:ascii="Times New Roman" w:eastAsia="Times New Roman" w:hAnsi="Times New Roman"/>
          <w:color w:val="auto"/>
          <w:kern w:val="0"/>
          <w:sz w:val="28"/>
          <w:lang w:val="uk-UA"/>
        </w:rPr>
        <w:t xml:space="preserve">вищої освіти, раціональне використання ресурсів </w:t>
      </w:r>
      <w:r>
        <w:rPr>
          <w:rFonts w:ascii="Times New Roman" w:eastAsia="Times New Roman" w:hAnsi="Times New Roman"/>
          <w:color w:val="auto"/>
          <w:kern w:val="0"/>
          <w:sz w:val="28"/>
          <w:lang w:val="uk-UA"/>
        </w:rPr>
        <w:t xml:space="preserve">та </w:t>
      </w:r>
      <w:r w:rsidR="00894135">
        <w:rPr>
          <w:rFonts w:ascii="Times New Roman" w:eastAsia="Times New Roman" w:hAnsi="Times New Roman"/>
          <w:color w:val="auto"/>
          <w:kern w:val="0"/>
          <w:sz w:val="28"/>
          <w:lang w:val="uk-UA"/>
        </w:rPr>
        <w:t>адаптація мережі закладів освіти до нових демографічних викликів</w:t>
      </w:r>
      <w:r w:rsidRPr="00796D25">
        <w:rPr>
          <w:rFonts w:ascii="Times New Roman" w:eastAsia="Times New Roman" w:hAnsi="Times New Roman"/>
          <w:color w:val="auto"/>
          <w:kern w:val="0"/>
          <w:sz w:val="28"/>
          <w:lang w:val="uk-UA"/>
        </w:rPr>
        <w:t xml:space="preserve">. </w:t>
      </w:r>
    </w:p>
    <w:p w:rsidR="00ED290F" w:rsidRPr="00796D25" w:rsidRDefault="00ED290F" w:rsidP="00E47BBE">
      <w:pPr>
        <w:pStyle w:val="1"/>
        <w:suppressAutoHyphens w:val="0"/>
        <w:spacing w:line="259" w:lineRule="auto"/>
        <w:ind w:firstLine="709"/>
        <w:jc w:val="both"/>
        <w:rPr>
          <w:rFonts w:ascii="Times New Roman" w:eastAsia="Times New Roman" w:hAnsi="Times New Roman"/>
          <w:color w:val="auto"/>
          <w:kern w:val="0"/>
          <w:sz w:val="28"/>
          <w:lang w:val="uk-UA"/>
        </w:rPr>
      </w:pPr>
    </w:p>
    <w:p w:rsidR="009C0407" w:rsidRDefault="009C0407" w:rsidP="00ED290F">
      <w:pPr>
        <w:spacing w:after="0"/>
        <w:jc w:val="center"/>
        <w:rPr>
          <w:rFonts w:ascii="Times New Roman" w:hAnsi="Times New Roman" w:cs="Times New Roman"/>
          <w:b/>
          <w:sz w:val="28"/>
          <w:szCs w:val="28"/>
        </w:rPr>
      </w:pPr>
      <w:r>
        <w:rPr>
          <w:rFonts w:ascii="Times New Roman" w:hAnsi="Times New Roman" w:cs="Times New Roman"/>
          <w:b/>
          <w:sz w:val="28"/>
          <w:szCs w:val="28"/>
        </w:rPr>
        <w:t>І</w:t>
      </w:r>
      <w:r>
        <w:rPr>
          <w:rFonts w:ascii="Times New Roman" w:hAnsi="Times New Roman" w:cs="Times New Roman"/>
          <w:b/>
          <w:sz w:val="28"/>
          <w:szCs w:val="28"/>
          <w:lang w:val="en-US"/>
        </w:rPr>
        <w:t>V</w:t>
      </w:r>
      <w:r>
        <w:rPr>
          <w:rFonts w:ascii="Times New Roman" w:hAnsi="Times New Roman" w:cs="Times New Roman"/>
          <w:b/>
          <w:sz w:val="28"/>
          <w:szCs w:val="28"/>
        </w:rPr>
        <w:t>. Вибір найбільш оптимального альтернативного способу досягнення цілей</w:t>
      </w:r>
    </w:p>
    <w:p w:rsidR="00ED290F" w:rsidRDefault="00ED290F" w:rsidP="00894135">
      <w:pPr>
        <w:spacing w:after="0" w:line="240" w:lineRule="auto"/>
        <w:jc w:val="center"/>
        <w:rPr>
          <w:rFonts w:ascii="Times New Roman" w:hAnsi="Times New Roman" w:cs="Times New Roman"/>
          <w:b/>
          <w:sz w:val="28"/>
          <w:szCs w:val="28"/>
        </w:rPr>
      </w:pPr>
    </w:p>
    <w:tbl>
      <w:tblPr>
        <w:tblW w:w="9710" w:type="dxa"/>
        <w:tblLayout w:type="fixed"/>
        <w:tblCellMar>
          <w:left w:w="10" w:type="dxa"/>
          <w:right w:w="10" w:type="dxa"/>
        </w:tblCellMar>
        <w:tblLook w:val="0000" w:firstRow="0" w:lastRow="0" w:firstColumn="0" w:lastColumn="0" w:noHBand="0" w:noVBand="0"/>
      </w:tblPr>
      <w:tblGrid>
        <w:gridCol w:w="1870"/>
        <w:gridCol w:w="14"/>
        <w:gridCol w:w="95"/>
        <w:gridCol w:w="2269"/>
        <w:gridCol w:w="282"/>
        <w:gridCol w:w="1245"/>
        <w:gridCol w:w="1338"/>
        <w:gridCol w:w="2597"/>
      </w:tblGrid>
      <w:tr w:rsidR="00B33E25" w:rsidRPr="00796D25" w:rsidTr="00D73041">
        <w:tc>
          <w:tcPr>
            <w:tcW w:w="1979"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Рейтинг результативності (досягнення цілей під час вирішення проблеми)</w:t>
            </w:r>
          </w:p>
        </w:tc>
        <w:tc>
          <w:tcPr>
            <w:tcW w:w="2269" w:type="dxa"/>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Бал результативності (за чотирибальною системою оцінки)</w:t>
            </w:r>
          </w:p>
        </w:tc>
        <w:tc>
          <w:tcPr>
            <w:tcW w:w="5462" w:type="dxa"/>
            <w:gridSpan w:val="4"/>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F20314" w:rsidRDefault="00B33E25" w:rsidP="00F20314">
            <w:pPr>
              <w:pStyle w:val="TableContents"/>
              <w:spacing w:line="240" w:lineRule="auto"/>
              <w:jc w:val="center"/>
              <w:rPr>
                <w:rFonts w:ascii="Times New Roman" w:eastAsia="Times New Roman" w:hAnsi="Times New Roman"/>
                <w:b/>
                <w:color w:val="auto"/>
                <w:szCs w:val="22"/>
                <w:lang w:val="uk-UA"/>
              </w:rPr>
            </w:pPr>
            <w:r w:rsidRPr="00F20314">
              <w:rPr>
                <w:rFonts w:ascii="Times New Roman" w:eastAsia="Times New Roman" w:hAnsi="Times New Roman"/>
                <w:b/>
                <w:color w:val="auto"/>
                <w:szCs w:val="22"/>
                <w:lang w:val="uk-UA"/>
              </w:rPr>
              <w:t xml:space="preserve">Коментарі щодо присвоєння відповідного </w:t>
            </w:r>
            <w:proofErr w:type="spellStart"/>
            <w:r w:rsidRPr="00F20314">
              <w:rPr>
                <w:rFonts w:ascii="Times New Roman" w:eastAsia="Times New Roman" w:hAnsi="Times New Roman"/>
                <w:b/>
                <w:color w:val="auto"/>
                <w:szCs w:val="22"/>
                <w:lang w:val="uk-UA"/>
              </w:rPr>
              <w:t>бала</w:t>
            </w:r>
            <w:proofErr w:type="spellEnd"/>
          </w:p>
        </w:tc>
      </w:tr>
      <w:tr w:rsidR="00B33E25" w:rsidRPr="00796D25" w:rsidTr="00D73041">
        <w:tc>
          <w:tcPr>
            <w:tcW w:w="1979"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2269" w:type="dxa"/>
            <w:tcBorders>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F20314" w:rsidP="00F20314">
            <w:pPr>
              <w:pStyle w:val="Textbody"/>
              <w:spacing w:after="0" w:line="240" w:lineRule="auto"/>
              <w:jc w:val="center"/>
              <w:rPr>
                <w:rFonts w:ascii="Times New Roman" w:eastAsia="Times New Roman" w:hAnsi="Times New Roman"/>
                <w:color w:val="auto"/>
                <w:sz w:val="24"/>
                <w:lang w:val="uk-UA"/>
              </w:rPr>
            </w:pPr>
            <w:r>
              <w:rPr>
                <w:rFonts w:ascii="Times New Roman" w:eastAsia="Times New Roman" w:hAnsi="Times New Roman"/>
                <w:color w:val="auto"/>
                <w:sz w:val="24"/>
                <w:lang w:val="uk-UA"/>
              </w:rPr>
              <w:t>1</w:t>
            </w:r>
          </w:p>
        </w:tc>
        <w:tc>
          <w:tcPr>
            <w:tcW w:w="5462" w:type="dxa"/>
            <w:gridSpan w:val="4"/>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F20314" w:rsidRDefault="00F20314" w:rsidP="00D73041">
            <w:pPr>
              <w:pStyle w:val="Textbody"/>
              <w:spacing w:after="0" w:line="240" w:lineRule="auto"/>
              <w:jc w:val="both"/>
              <w:rPr>
                <w:rFonts w:ascii="Times New Roman" w:eastAsia="Times New Roman" w:hAnsi="Times New Roman"/>
                <w:color w:val="auto"/>
                <w:sz w:val="24"/>
                <w:lang w:val="uk-UA"/>
              </w:rPr>
            </w:pPr>
            <w:r>
              <w:rPr>
                <w:rFonts w:ascii="Times New Roman" w:eastAsia="Times New Roman" w:hAnsi="Times New Roman"/>
                <w:color w:val="auto"/>
                <w:sz w:val="24"/>
                <w:lang w:val="uk-UA"/>
              </w:rPr>
              <w:t>Ц</w:t>
            </w:r>
            <w:r w:rsidRPr="00796D25">
              <w:rPr>
                <w:rFonts w:ascii="Times New Roman" w:eastAsia="Times New Roman" w:hAnsi="Times New Roman"/>
                <w:color w:val="auto"/>
                <w:sz w:val="24"/>
                <w:lang w:val="uk-UA"/>
              </w:rPr>
              <w:t>ілі прийняття регуляторного акта не можуть бути досягнуті (проблема продовжує існувати)</w:t>
            </w:r>
            <w:r>
              <w:rPr>
                <w:rFonts w:ascii="Times New Roman" w:eastAsia="Times New Roman" w:hAnsi="Times New Roman"/>
                <w:color w:val="auto"/>
                <w:sz w:val="24"/>
                <w:lang w:val="uk-UA"/>
              </w:rPr>
              <w:t>.</w:t>
            </w:r>
          </w:p>
          <w:p w:rsidR="00B33E25" w:rsidRPr="00796D25" w:rsidRDefault="00E67627" w:rsidP="00D73041">
            <w:pPr>
              <w:pStyle w:val="Textbody"/>
              <w:spacing w:after="0" w:line="240" w:lineRule="auto"/>
              <w:jc w:val="both"/>
              <w:rPr>
                <w:rFonts w:ascii="Times New Roman" w:eastAsia="Times New Roman" w:hAnsi="Times New Roman"/>
                <w:color w:val="auto"/>
                <w:sz w:val="24"/>
                <w:szCs w:val="24"/>
                <w:lang w:val="uk-UA"/>
              </w:rPr>
            </w:pPr>
            <w:r w:rsidRPr="00E67627">
              <w:rPr>
                <w:rFonts w:ascii="Times New Roman" w:hAnsi="Times New Roman" w:cs="Times New Roman"/>
                <w:sz w:val="24"/>
                <w:szCs w:val="24"/>
                <w:lang w:val="uk-UA"/>
              </w:rPr>
              <w:t>Невиконання рекомендацій Європейської комісії, представлених у Звіті про прогрес України в рамках Пакета розширення Європейського Союзу 2023 року, затвердженого розпорядженням Кабінету Міністрів України від 9 лютого 2024 р. №</w:t>
            </w:r>
            <w:r>
              <w:rPr>
                <w:rFonts w:ascii="Times New Roman" w:hAnsi="Times New Roman" w:cs="Times New Roman"/>
                <w:sz w:val="24"/>
                <w:szCs w:val="24"/>
                <w:lang w:val="uk-UA"/>
              </w:rPr>
              <w:t> </w:t>
            </w:r>
            <w:r w:rsidRPr="00E67627">
              <w:rPr>
                <w:rFonts w:ascii="Times New Roman" w:hAnsi="Times New Roman" w:cs="Times New Roman"/>
                <w:sz w:val="24"/>
                <w:szCs w:val="24"/>
                <w:lang w:val="uk-UA"/>
              </w:rPr>
              <w:t>133</w:t>
            </w:r>
            <w:r w:rsidRPr="00E35251">
              <w:rPr>
                <w:lang w:val="uk-UA"/>
              </w:rPr>
              <w:t>;</w:t>
            </w:r>
            <w:r>
              <w:rPr>
                <w:lang w:val="uk-UA"/>
              </w:rPr>
              <w:t xml:space="preserve"> </w:t>
            </w:r>
            <w:r w:rsidR="0037731E" w:rsidRPr="0037731E">
              <w:rPr>
                <w:rFonts w:ascii="Times New Roman" w:hAnsi="Times New Roman" w:cs="Times New Roman"/>
                <w:sz w:val="24"/>
                <w:szCs w:val="24"/>
                <w:lang w:val="uk-UA"/>
              </w:rPr>
              <w:t>демографічні тенденції скорочення контингенту посилить проблему</w:t>
            </w:r>
            <w:r w:rsidR="0037731E" w:rsidRPr="002E6F51">
              <w:rPr>
                <w:rFonts w:ascii="Times New Roman" w:hAnsi="Times New Roman" w:cs="Times New Roman"/>
                <w:sz w:val="24"/>
                <w:szCs w:val="24"/>
              </w:rPr>
              <w:t xml:space="preserve"> </w:t>
            </w:r>
            <w:r w:rsidR="00B33E25" w:rsidRPr="00796D25">
              <w:rPr>
                <w:rFonts w:ascii="Times New Roman" w:hAnsi="Times New Roman" w:cs="Times New Roman"/>
                <w:color w:val="000000" w:themeColor="text1"/>
                <w:sz w:val="24"/>
                <w:szCs w:val="24"/>
                <w:lang w:val="uk-UA"/>
              </w:rPr>
              <w:t xml:space="preserve">хронічного недофінансування здобуття вищої освіти, неможливості забезпечити відновлення та модернізацію закладів вищої освіти, перенавантаження </w:t>
            </w:r>
            <w:r w:rsidR="00B33E25" w:rsidRPr="00796D25">
              <w:rPr>
                <w:rFonts w:ascii="Times New Roman" w:hAnsi="Times New Roman" w:cs="Times New Roman"/>
                <w:color w:val="000000" w:themeColor="text1"/>
                <w:sz w:val="24"/>
                <w:szCs w:val="24"/>
                <w:shd w:val="clear" w:color="auto" w:fill="FFFFFF"/>
                <w:lang w:val="uk-UA"/>
              </w:rPr>
              <w:t>науков</w:t>
            </w:r>
            <w:r w:rsidR="0037731E">
              <w:rPr>
                <w:rFonts w:ascii="Times New Roman" w:hAnsi="Times New Roman" w:cs="Times New Roman"/>
                <w:color w:val="000000" w:themeColor="text1"/>
                <w:sz w:val="24"/>
                <w:szCs w:val="24"/>
                <w:shd w:val="clear" w:color="auto" w:fill="FFFFFF"/>
                <w:lang w:val="uk-UA"/>
              </w:rPr>
              <w:t>их</w:t>
            </w:r>
            <w:r w:rsidR="00B33E25" w:rsidRPr="00796D25">
              <w:rPr>
                <w:rFonts w:ascii="Times New Roman" w:hAnsi="Times New Roman" w:cs="Times New Roman"/>
                <w:color w:val="000000" w:themeColor="text1"/>
                <w:sz w:val="24"/>
                <w:szCs w:val="24"/>
                <w:shd w:val="clear" w:color="auto" w:fill="FFFFFF"/>
                <w:lang w:val="uk-UA"/>
              </w:rPr>
              <w:t>, науково-педагогічних</w:t>
            </w:r>
            <w:r w:rsidR="0037731E">
              <w:rPr>
                <w:rFonts w:ascii="Times New Roman" w:hAnsi="Times New Roman" w:cs="Times New Roman"/>
                <w:color w:val="000000" w:themeColor="text1"/>
                <w:sz w:val="24"/>
                <w:szCs w:val="24"/>
                <w:shd w:val="clear" w:color="auto" w:fill="FFFFFF"/>
                <w:lang w:val="uk-UA"/>
              </w:rPr>
              <w:t xml:space="preserve"> працівників</w:t>
            </w:r>
            <w:r w:rsidR="00B33E25" w:rsidRPr="00796D25">
              <w:rPr>
                <w:rFonts w:ascii="Times New Roman" w:hAnsi="Times New Roman" w:cs="Times New Roman"/>
                <w:color w:val="000000" w:themeColor="text1"/>
                <w:sz w:val="24"/>
                <w:szCs w:val="24"/>
                <w:shd w:val="clear" w:color="auto" w:fill="FFFFFF"/>
                <w:lang w:val="uk-UA"/>
              </w:rPr>
              <w:t xml:space="preserve"> внаслідок</w:t>
            </w:r>
            <w:r w:rsidR="00B33E25" w:rsidRPr="00796D25">
              <w:rPr>
                <w:rFonts w:ascii="Times New Roman" w:hAnsi="Times New Roman" w:cs="Times New Roman"/>
                <w:color w:val="000000" w:themeColor="text1"/>
                <w:sz w:val="24"/>
                <w:szCs w:val="24"/>
                <w:lang w:val="uk-UA"/>
              </w:rPr>
              <w:t xml:space="preserve"> утворення неповних академічних груп та дублювання напрямів підготовки кадрів у ЗВО територіально, неефективності системи державного та регіонального замовлення</w:t>
            </w:r>
            <w:r w:rsidR="00B33E25" w:rsidRPr="00796D25">
              <w:rPr>
                <w:rFonts w:ascii="Times New Roman" w:eastAsia="Times New Roman" w:hAnsi="Times New Roman"/>
                <w:color w:val="auto"/>
                <w:sz w:val="24"/>
                <w:szCs w:val="24"/>
                <w:lang w:val="uk-UA"/>
              </w:rPr>
              <w:t>, погіршення якості вищої освіти.</w:t>
            </w:r>
          </w:p>
          <w:p w:rsidR="00B33E25" w:rsidRPr="00796D25" w:rsidRDefault="00B33E25" w:rsidP="00D73041">
            <w:pPr>
              <w:pStyle w:val="Textbody"/>
              <w:spacing w:after="0" w:line="240" w:lineRule="auto"/>
              <w:jc w:val="both"/>
              <w:rPr>
                <w:rFonts w:ascii="Times New Roman" w:eastAsia="Times New Roman" w:hAnsi="Times New Roman"/>
                <w:color w:val="auto"/>
                <w:sz w:val="24"/>
                <w:lang w:val="uk-UA"/>
              </w:rPr>
            </w:pPr>
            <w:r w:rsidRPr="00796D25">
              <w:rPr>
                <w:rFonts w:ascii="Times New Roman" w:eastAsia="Times New Roman" w:hAnsi="Times New Roman"/>
                <w:color w:val="auto"/>
                <w:sz w:val="24"/>
                <w:szCs w:val="24"/>
                <w:lang w:val="uk-UA"/>
              </w:rPr>
              <w:t>Поодинокі випадки ініціативної реорганізації не вирішують системно проблему</w:t>
            </w:r>
          </w:p>
        </w:tc>
      </w:tr>
      <w:tr w:rsidR="00B33E25" w:rsidRPr="00796D25" w:rsidTr="00D73041">
        <w:tc>
          <w:tcPr>
            <w:tcW w:w="1979" w:type="dxa"/>
            <w:gridSpan w:val="3"/>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2269" w:type="dxa"/>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B33E25" w:rsidRPr="00796D25" w:rsidRDefault="00B33E25" w:rsidP="00F20314">
            <w:pPr>
              <w:pStyle w:val="Textbody"/>
              <w:spacing w:after="0" w:line="240" w:lineRule="auto"/>
              <w:jc w:val="center"/>
              <w:rPr>
                <w:rFonts w:ascii="Times New Roman" w:eastAsia="Times New Roman" w:hAnsi="Times New Roman"/>
                <w:color w:val="auto"/>
                <w:sz w:val="24"/>
                <w:lang w:val="uk-UA"/>
              </w:rPr>
            </w:pPr>
            <w:r w:rsidRPr="00796D25">
              <w:rPr>
                <w:rFonts w:ascii="Times New Roman" w:eastAsia="Times New Roman" w:hAnsi="Times New Roman"/>
                <w:color w:val="auto"/>
                <w:sz w:val="24"/>
                <w:lang w:val="ru-RU"/>
              </w:rPr>
              <w:t>3</w:t>
            </w:r>
          </w:p>
        </w:tc>
        <w:tc>
          <w:tcPr>
            <w:tcW w:w="5462" w:type="dxa"/>
            <w:gridSpan w:val="4"/>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rsidR="00E67627" w:rsidRPr="00E67627" w:rsidRDefault="00E67627" w:rsidP="00D73041">
            <w:pPr>
              <w:pStyle w:val="Textbody"/>
              <w:spacing w:after="0" w:line="240" w:lineRule="auto"/>
              <w:jc w:val="both"/>
              <w:rPr>
                <w:rFonts w:ascii="Times New Roman" w:hAnsi="Times New Roman" w:cs="Times New Roman"/>
                <w:color w:val="auto"/>
                <w:sz w:val="24"/>
                <w:szCs w:val="24"/>
                <w:lang w:val="uk-UA"/>
              </w:rPr>
            </w:pPr>
            <w:r w:rsidRPr="00E67627">
              <w:rPr>
                <w:rFonts w:ascii="Times New Roman" w:hAnsi="Times New Roman" w:cs="Times New Roman"/>
                <w:sz w:val="24"/>
                <w:szCs w:val="24"/>
                <w:lang w:val="uk-UA"/>
              </w:rPr>
              <w:t>Оптимальний варіант збалансування інтересів держави та громадян. Забезпечує досягнення цілей. Сприятиме реалізації засад державної політики у сфері освіти та принципів освітньої діяльності.</w:t>
            </w:r>
          </w:p>
          <w:p w:rsidR="00B33E25" w:rsidRDefault="00E67627" w:rsidP="00D73041">
            <w:pPr>
              <w:pStyle w:val="Textbody"/>
              <w:spacing w:after="0" w:line="240" w:lineRule="auto"/>
              <w:jc w:val="both"/>
              <w:rPr>
                <w:rFonts w:ascii="Times New Roman" w:hAnsi="Times New Roman" w:cs="Times New Roman"/>
                <w:sz w:val="24"/>
                <w:szCs w:val="24"/>
                <w:lang w:val="uk-UA"/>
              </w:rPr>
            </w:pPr>
            <w:r>
              <w:rPr>
                <w:rFonts w:ascii="Times New Roman" w:eastAsia="Times New Roman" w:hAnsi="Times New Roman"/>
                <w:color w:val="auto"/>
                <w:sz w:val="24"/>
                <w:lang w:val="uk-UA"/>
              </w:rPr>
              <w:t>Д</w:t>
            </w:r>
            <w:r w:rsidR="00B33E25" w:rsidRPr="00796D25">
              <w:rPr>
                <w:rFonts w:ascii="Times New Roman" w:eastAsia="Times New Roman" w:hAnsi="Times New Roman"/>
                <w:color w:val="auto"/>
                <w:sz w:val="24"/>
                <w:lang w:val="uk-UA"/>
              </w:rPr>
              <w:t>озвол</w:t>
            </w:r>
            <w:r>
              <w:rPr>
                <w:rFonts w:ascii="Times New Roman" w:eastAsia="Times New Roman" w:hAnsi="Times New Roman"/>
                <w:color w:val="auto"/>
                <w:sz w:val="24"/>
                <w:lang w:val="uk-UA"/>
              </w:rPr>
              <w:t>яє</w:t>
            </w:r>
            <w:r w:rsidR="00B33E25" w:rsidRPr="00796D25">
              <w:rPr>
                <w:rFonts w:ascii="Times New Roman" w:eastAsia="Times New Roman" w:hAnsi="Times New Roman"/>
                <w:color w:val="auto"/>
                <w:sz w:val="24"/>
                <w:lang w:val="uk-UA"/>
              </w:rPr>
              <w:t xml:space="preserve"> </w:t>
            </w:r>
            <w:r w:rsidR="00B33E25" w:rsidRPr="00796D25">
              <w:rPr>
                <w:rFonts w:ascii="Times New Roman" w:eastAsia="Times New Roman" w:hAnsi="Times New Roman" w:cs="Times New Roman"/>
                <w:bCs/>
                <w:color w:val="000000" w:themeColor="text1"/>
                <w:sz w:val="24"/>
                <w:szCs w:val="24"/>
                <w:lang w:val="uk-UA" w:eastAsia="uk-UA"/>
              </w:rPr>
              <w:t>адаптувати систем</w:t>
            </w:r>
            <w:r>
              <w:rPr>
                <w:rFonts w:ascii="Times New Roman" w:eastAsia="Times New Roman" w:hAnsi="Times New Roman" w:cs="Times New Roman"/>
                <w:bCs/>
                <w:color w:val="000000" w:themeColor="text1"/>
                <w:sz w:val="24"/>
                <w:szCs w:val="24"/>
                <w:lang w:val="uk-UA" w:eastAsia="uk-UA"/>
              </w:rPr>
              <w:t>у</w:t>
            </w:r>
            <w:r w:rsidR="00B33E25" w:rsidRPr="00796D25">
              <w:rPr>
                <w:rFonts w:ascii="Times New Roman" w:eastAsia="Times New Roman" w:hAnsi="Times New Roman" w:cs="Times New Roman"/>
                <w:bCs/>
                <w:color w:val="000000" w:themeColor="text1"/>
                <w:sz w:val="24"/>
                <w:szCs w:val="24"/>
                <w:lang w:val="uk-UA" w:eastAsia="uk-UA"/>
              </w:rPr>
              <w:t xml:space="preserve"> вищої освіти до демографічних змін, забезпечит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єдність державного управління вищою освітою та збільшит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спроможність до фінансування її відновлення та розвитку, зменшит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перенавантаження викладачів та підвищит</w:t>
            </w:r>
            <w:r>
              <w:rPr>
                <w:rFonts w:ascii="Times New Roman" w:eastAsia="Times New Roman" w:hAnsi="Times New Roman" w:cs="Times New Roman"/>
                <w:bCs/>
                <w:color w:val="000000" w:themeColor="text1"/>
                <w:sz w:val="24"/>
                <w:szCs w:val="24"/>
                <w:lang w:val="uk-UA" w:eastAsia="uk-UA"/>
              </w:rPr>
              <w:t>и</w:t>
            </w:r>
            <w:r w:rsidR="00B33E25" w:rsidRPr="00796D25">
              <w:rPr>
                <w:rFonts w:ascii="Times New Roman" w:eastAsia="Times New Roman" w:hAnsi="Times New Roman" w:cs="Times New Roman"/>
                <w:bCs/>
                <w:color w:val="000000" w:themeColor="text1"/>
                <w:sz w:val="24"/>
                <w:szCs w:val="24"/>
                <w:lang w:val="uk-UA" w:eastAsia="uk-UA"/>
              </w:rPr>
              <w:t xml:space="preserve"> концентрацію фінансових ресурсів</w:t>
            </w:r>
            <w:r>
              <w:rPr>
                <w:rFonts w:ascii="Times New Roman" w:eastAsia="Times New Roman" w:hAnsi="Times New Roman" w:cs="Times New Roman"/>
                <w:bCs/>
                <w:color w:val="000000" w:themeColor="text1"/>
                <w:sz w:val="24"/>
                <w:szCs w:val="24"/>
                <w:lang w:val="uk-UA" w:eastAsia="uk-UA"/>
              </w:rPr>
              <w:t xml:space="preserve"> на якісній </w:t>
            </w:r>
            <w:r>
              <w:rPr>
                <w:rFonts w:ascii="Times New Roman" w:eastAsia="Times New Roman" w:hAnsi="Times New Roman" w:cs="Times New Roman"/>
                <w:bCs/>
                <w:color w:val="000000" w:themeColor="text1"/>
                <w:sz w:val="24"/>
                <w:szCs w:val="24"/>
                <w:lang w:val="uk-UA" w:eastAsia="uk-UA"/>
              </w:rPr>
              <w:lastRenderedPageBreak/>
              <w:t>підготовці фахівців,</w:t>
            </w:r>
            <w:r w:rsidR="00287583">
              <w:rPr>
                <w:rFonts w:ascii="Times New Roman" w:eastAsia="Times New Roman" w:hAnsi="Times New Roman" w:cs="Times New Roman"/>
                <w:bCs/>
                <w:color w:val="000000" w:themeColor="text1"/>
                <w:sz w:val="24"/>
                <w:szCs w:val="24"/>
                <w:lang w:val="uk-UA" w:eastAsia="uk-UA"/>
              </w:rPr>
              <w:t xml:space="preserve"> підвищити</w:t>
            </w:r>
            <w:r w:rsidR="00B33E25" w:rsidRPr="00796D25">
              <w:rPr>
                <w:rFonts w:ascii="Times New Roman" w:eastAsia="Times New Roman" w:hAnsi="Times New Roman" w:cs="Times New Roman"/>
                <w:bCs/>
                <w:color w:val="000000" w:themeColor="text1"/>
                <w:sz w:val="24"/>
                <w:szCs w:val="24"/>
                <w:lang w:val="uk-UA" w:eastAsia="uk-UA"/>
              </w:rPr>
              <w:t xml:space="preserve"> частк</w:t>
            </w:r>
            <w:r w:rsidR="00287583">
              <w:rPr>
                <w:rFonts w:ascii="Times New Roman" w:eastAsia="Times New Roman" w:hAnsi="Times New Roman" w:cs="Times New Roman"/>
                <w:bCs/>
                <w:color w:val="000000" w:themeColor="text1"/>
                <w:sz w:val="24"/>
                <w:szCs w:val="24"/>
                <w:lang w:val="uk-UA" w:eastAsia="uk-UA"/>
              </w:rPr>
              <w:t>у</w:t>
            </w:r>
            <w:r w:rsidR="00B33E25" w:rsidRPr="00796D25">
              <w:rPr>
                <w:rFonts w:ascii="Times New Roman" w:eastAsia="Times New Roman" w:hAnsi="Times New Roman" w:cs="Times New Roman"/>
                <w:bCs/>
                <w:color w:val="000000" w:themeColor="text1"/>
                <w:sz w:val="24"/>
                <w:szCs w:val="24"/>
                <w:lang w:val="uk-UA" w:eastAsia="uk-UA"/>
              </w:rPr>
              <w:t xml:space="preserve"> випускників, які задоволені якістю та </w:t>
            </w:r>
            <w:r w:rsidR="00287583">
              <w:rPr>
                <w:rFonts w:ascii="Times New Roman" w:eastAsia="Times New Roman" w:hAnsi="Times New Roman" w:cs="Times New Roman"/>
                <w:bCs/>
                <w:color w:val="000000" w:themeColor="text1"/>
                <w:sz w:val="24"/>
                <w:szCs w:val="24"/>
                <w:lang w:val="uk-UA" w:eastAsia="uk-UA"/>
              </w:rPr>
              <w:t xml:space="preserve">здобутими завдяки вищій освіті </w:t>
            </w:r>
            <w:r w:rsidR="00B33E25" w:rsidRPr="00796D25">
              <w:rPr>
                <w:rFonts w:ascii="Times New Roman" w:eastAsia="Times New Roman" w:hAnsi="Times New Roman" w:cs="Times New Roman"/>
                <w:bCs/>
                <w:color w:val="000000" w:themeColor="text1"/>
                <w:sz w:val="24"/>
                <w:szCs w:val="24"/>
                <w:lang w:val="uk-UA" w:eastAsia="uk-UA"/>
              </w:rPr>
              <w:t>компетентностями, покращеним та модернізованим освітнім середовищем</w:t>
            </w:r>
            <w:r w:rsidR="00287583">
              <w:rPr>
                <w:rFonts w:ascii="Times New Roman" w:eastAsia="Times New Roman" w:hAnsi="Times New Roman" w:cs="Times New Roman"/>
                <w:bCs/>
                <w:color w:val="000000" w:themeColor="text1"/>
                <w:sz w:val="24"/>
                <w:szCs w:val="24"/>
                <w:lang w:val="uk-UA" w:eastAsia="uk-UA"/>
              </w:rPr>
              <w:t>,</w:t>
            </w:r>
            <w:r w:rsidR="00287583" w:rsidRPr="00287583">
              <w:rPr>
                <w:rFonts w:ascii="Times New Roman" w:hAnsi="Times New Roman" w:cs="Times New Roman"/>
                <w:sz w:val="24"/>
                <w:szCs w:val="24"/>
                <w:lang w:val="uk-UA"/>
              </w:rPr>
              <w:t xml:space="preserve"> виконати ре</w:t>
            </w:r>
            <w:r w:rsidR="00287583">
              <w:rPr>
                <w:rFonts w:ascii="Times New Roman" w:hAnsi="Times New Roman" w:cs="Times New Roman"/>
                <w:sz w:val="24"/>
                <w:szCs w:val="24"/>
                <w:lang w:val="uk-UA"/>
              </w:rPr>
              <w:t>комендацій Європейської комісії.</w:t>
            </w:r>
          </w:p>
          <w:p w:rsidR="004266C6" w:rsidRPr="004266C6" w:rsidRDefault="004266C6" w:rsidP="00D73041">
            <w:pPr>
              <w:pStyle w:val="Textbody"/>
              <w:spacing w:after="0" w:line="240" w:lineRule="auto"/>
              <w:jc w:val="both"/>
              <w:rPr>
                <w:rFonts w:ascii="Times New Roman" w:eastAsia="Times New Roman" w:hAnsi="Times New Roman" w:cs="Times New Roman"/>
                <w:color w:val="auto"/>
                <w:sz w:val="24"/>
                <w:szCs w:val="24"/>
                <w:lang w:val="uk-UA"/>
              </w:rPr>
            </w:pPr>
            <w:r>
              <w:rPr>
                <w:rFonts w:ascii="Times New Roman" w:hAnsi="Times New Roman" w:cs="Times New Roman"/>
                <w:sz w:val="24"/>
                <w:szCs w:val="24"/>
                <w:lang w:val="uk-UA"/>
              </w:rPr>
              <w:t xml:space="preserve">Дозволяє </w:t>
            </w:r>
            <w:r w:rsidRPr="004266C6">
              <w:rPr>
                <w:rFonts w:ascii="Times New Roman" w:hAnsi="Times New Roman" w:cs="Times New Roman"/>
                <w:sz w:val="24"/>
                <w:szCs w:val="24"/>
                <w:lang w:val="uk-UA"/>
              </w:rPr>
              <w:t>підвищити ефективність роботи кожного типу закладів</w:t>
            </w:r>
            <w:r>
              <w:rPr>
                <w:rFonts w:ascii="Times New Roman" w:hAnsi="Times New Roman" w:cs="Times New Roman"/>
                <w:sz w:val="24"/>
                <w:szCs w:val="24"/>
                <w:lang w:val="uk-UA"/>
              </w:rPr>
              <w:t xml:space="preserve"> вищої освіти</w:t>
            </w:r>
            <w:r w:rsidRPr="004266C6">
              <w:rPr>
                <w:rFonts w:ascii="Times New Roman" w:hAnsi="Times New Roman" w:cs="Times New Roman"/>
                <w:sz w:val="24"/>
                <w:szCs w:val="24"/>
                <w:lang w:val="uk-UA"/>
              </w:rPr>
              <w:t xml:space="preserve"> для створення ефективної, якісної та конкурентоспроможної системи вищої освіти</w:t>
            </w:r>
          </w:p>
        </w:tc>
      </w:tr>
      <w:tr w:rsidR="00ED421B" w:rsidRPr="00796D25" w:rsidTr="00D73041">
        <w:tc>
          <w:tcPr>
            <w:tcW w:w="1979" w:type="dxa"/>
            <w:gridSpan w:val="3"/>
            <w:tcBorders>
              <w:top w:val="single" w:sz="4" w:space="0" w:color="auto"/>
            </w:tcBorders>
            <w:shd w:val="clear" w:color="auto" w:fill="auto"/>
            <w:tcMar>
              <w:top w:w="57" w:type="dxa"/>
              <w:left w:w="57" w:type="dxa"/>
              <w:bottom w:w="57" w:type="dxa"/>
              <w:right w:w="57" w:type="dxa"/>
            </w:tcMar>
          </w:tcPr>
          <w:p w:rsidR="00ED421B" w:rsidRPr="00796D25" w:rsidRDefault="00ED421B" w:rsidP="00B33E25">
            <w:pPr>
              <w:pStyle w:val="TableContents"/>
              <w:spacing w:line="240" w:lineRule="auto"/>
              <w:rPr>
                <w:rFonts w:ascii="Times New Roman" w:eastAsia="Times New Roman" w:hAnsi="Times New Roman"/>
                <w:color w:val="auto"/>
                <w:sz w:val="24"/>
                <w:lang w:val="uk-UA"/>
              </w:rPr>
            </w:pPr>
          </w:p>
        </w:tc>
        <w:tc>
          <w:tcPr>
            <w:tcW w:w="2269" w:type="dxa"/>
            <w:tcBorders>
              <w:top w:val="single" w:sz="4" w:space="0" w:color="auto"/>
            </w:tcBorders>
            <w:shd w:val="clear" w:color="auto" w:fill="auto"/>
            <w:tcMar>
              <w:top w:w="57" w:type="dxa"/>
              <w:left w:w="57" w:type="dxa"/>
              <w:bottom w:w="57" w:type="dxa"/>
              <w:right w:w="57" w:type="dxa"/>
            </w:tcMar>
          </w:tcPr>
          <w:p w:rsidR="00ED421B" w:rsidRPr="00D73041" w:rsidRDefault="00ED421B" w:rsidP="00D73041">
            <w:pPr>
              <w:pStyle w:val="Textbody"/>
              <w:spacing w:after="0" w:line="240" w:lineRule="auto"/>
              <w:jc w:val="center"/>
              <w:rPr>
                <w:rFonts w:ascii="Times New Roman" w:eastAsia="Times New Roman" w:hAnsi="Times New Roman"/>
                <w:color w:val="auto"/>
                <w:sz w:val="20"/>
                <w:lang w:val="uk-UA"/>
              </w:rPr>
            </w:pPr>
          </w:p>
        </w:tc>
        <w:tc>
          <w:tcPr>
            <w:tcW w:w="5462" w:type="dxa"/>
            <w:gridSpan w:val="4"/>
            <w:tcBorders>
              <w:top w:val="single" w:sz="4" w:space="0" w:color="auto"/>
            </w:tcBorders>
            <w:shd w:val="clear" w:color="auto" w:fill="auto"/>
            <w:tcMar>
              <w:top w:w="57" w:type="dxa"/>
              <w:left w:w="57" w:type="dxa"/>
              <w:bottom w:w="57" w:type="dxa"/>
              <w:right w:w="57" w:type="dxa"/>
            </w:tcMar>
          </w:tcPr>
          <w:p w:rsidR="00ED421B" w:rsidRPr="00796D25" w:rsidRDefault="00ED421B" w:rsidP="00F20314">
            <w:pPr>
              <w:pStyle w:val="Textbody"/>
              <w:spacing w:after="0" w:line="240" w:lineRule="auto"/>
              <w:jc w:val="both"/>
              <w:rPr>
                <w:rFonts w:ascii="Times New Roman" w:hAnsi="Times New Roman"/>
                <w:color w:val="auto"/>
                <w:sz w:val="24"/>
                <w:szCs w:val="24"/>
                <w:lang w:val="uk-UA"/>
              </w:rPr>
            </w:pPr>
          </w:p>
        </w:tc>
      </w:tr>
      <w:tr w:rsidR="00B33E25" w:rsidRPr="00796D25" w:rsidTr="00D73041">
        <w:tc>
          <w:tcPr>
            <w:tcW w:w="1884"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Рейтинг результативності</w:t>
            </w:r>
          </w:p>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p>
        </w:tc>
        <w:tc>
          <w:tcPr>
            <w:tcW w:w="2646" w:type="dxa"/>
            <w:gridSpan w:val="3"/>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Вигоди (підсумок)</w:t>
            </w:r>
          </w:p>
        </w:tc>
        <w:tc>
          <w:tcPr>
            <w:tcW w:w="2583" w:type="dxa"/>
            <w:gridSpan w:val="2"/>
            <w:tcBorders>
              <w:top w:val="single" w:sz="4" w:space="0" w:color="000000"/>
              <w:left w:val="single" w:sz="4" w:space="0" w:color="000000"/>
              <w:bottom w:val="single" w:sz="4" w:space="0" w:color="000000"/>
            </w:tcBorders>
            <w:shd w:val="clear" w:color="auto" w:fill="auto"/>
            <w:tcMar>
              <w:top w:w="57" w:type="dxa"/>
              <w:left w:w="57" w:type="dxa"/>
              <w:bottom w:w="57" w:type="dxa"/>
              <w:right w:w="57" w:type="dxa"/>
            </w:tcMar>
          </w:tcPr>
          <w:p w:rsidR="00B33E25" w:rsidRPr="00ED421B" w:rsidRDefault="00B33E25" w:rsidP="00B33E25">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Витрати (підсумок)</w:t>
            </w:r>
          </w:p>
        </w:tc>
        <w:tc>
          <w:tcPr>
            <w:tcW w:w="2597"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ED421B" w:rsidRDefault="00B33E25" w:rsidP="00D73041">
            <w:pPr>
              <w:pStyle w:val="TableContents"/>
              <w:spacing w:line="240" w:lineRule="auto"/>
              <w:jc w:val="center"/>
              <w:rPr>
                <w:rFonts w:ascii="Times New Roman" w:eastAsia="Times New Roman" w:hAnsi="Times New Roman"/>
                <w:b/>
                <w:color w:val="auto"/>
                <w:szCs w:val="22"/>
                <w:lang w:val="uk-UA"/>
              </w:rPr>
            </w:pPr>
            <w:r w:rsidRPr="00ED421B">
              <w:rPr>
                <w:rFonts w:ascii="Times New Roman" w:eastAsia="Times New Roman" w:hAnsi="Times New Roman"/>
                <w:b/>
                <w:color w:val="auto"/>
                <w:szCs w:val="22"/>
                <w:lang w:val="uk-UA"/>
              </w:rPr>
              <w:t>Обґрунтування відповідного місця альтернативи у рейтингу</w:t>
            </w:r>
          </w:p>
        </w:tc>
      </w:tr>
      <w:tr w:rsidR="005F1C27" w:rsidRPr="000C6EBE" w:rsidTr="00D73041">
        <w:tc>
          <w:tcPr>
            <w:tcW w:w="1884"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Альтернатива 1</w:t>
            </w:r>
          </w:p>
        </w:tc>
        <w:tc>
          <w:tcPr>
            <w:tcW w:w="2646" w:type="dxa"/>
            <w:gridSpan w:val="3"/>
            <w:tcBorders>
              <w:left w:val="single" w:sz="4" w:space="0" w:color="000000"/>
              <w:bottom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w:t>
            </w:r>
            <w:r w:rsidR="00287583" w:rsidRPr="000C6EBE">
              <w:rPr>
                <w:rFonts w:ascii="Times New Roman" w:eastAsia="Times New Roman" w:hAnsi="Times New Roman"/>
                <w:b/>
                <w:color w:val="auto"/>
                <w:sz w:val="23"/>
                <w:szCs w:val="23"/>
                <w:lang w:val="uk-UA"/>
              </w:rPr>
              <w:t>ля держави</w:t>
            </w:r>
            <w:r w:rsidRPr="000C6EBE">
              <w:rPr>
                <w:rFonts w:ascii="Times New Roman" w:eastAsia="Times New Roman" w:hAnsi="Times New Roman"/>
                <w:b/>
                <w:color w:val="auto"/>
                <w:sz w:val="23"/>
                <w:szCs w:val="23"/>
                <w:lang w:val="uk-UA"/>
              </w:rPr>
              <w:t>:</w:t>
            </w:r>
          </w:p>
          <w:p w:rsidR="005F1C27" w:rsidRPr="000C6EBE" w:rsidRDefault="00287583"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w:t>
            </w:r>
            <w:r w:rsidR="005F1C27" w:rsidRPr="000C6EBE">
              <w:rPr>
                <w:rFonts w:ascii="Times New Roman" w:eastAsia="Times New Roman" w:hAnsi="Times New Roman"/>
                <w:color w:val="auto"/>
                <w:sz w:val="23"/>
                <w:szCs w:val="23"/>
                <w:lang w:val="uk-UA"/>
              </w:rPr>
              <w:t xml:space="preserve">ідсутні. </w:t>
            </w:r>
          </w:p>
          <w:p w:rsidR="005F1C27" w:rsidRPr="000C6EBE" w:rsidRDefault="00287583"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5F1C27" w:rsidRPr="000C6EBE" w:rsidRDefault="00287583"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 xml:space="preserve">відсутні. </w:t>
            </w:r>
            <w:r w:rsidR="005F1C27" w:rsidRPr="000C6EBE">
              <w:rPr>
                <w:rFonts w:ascii="Times New Roman" w:eastAsia="Times New Roman" w:hAnsi="Times New Roman"/>
                <w:color w:val="auto"/>
                <w:sz w:val="23"/>
                <w:szCs w:val="23"/>
                <w:lang w:val="uk-UA"/>
              </w:rPr>
              <w:t>Громадяни не отримують якісні освітні послуги.</w:t>
            </w:r>
          </w:p>
          <w:p w:rsidR="005F1C27" w:rsidRPr="000C6EBE" w:rsidRDefault="00287583"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sidRPr="000C6EBE">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Відсутні</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p>
        </w:tc>
        <w:tc>
          <w:tcPr>
            <w:tcW w:w="2583" w:type="dxa"/>
            <w:gridSpan w:val="2"/>
            <w:tcBorders>
              <w:left w:val="single" w:sz="4" w:space="0" w:color="000000"/>
              <w:bottom w:val="single" w:sz="4" w:space="0" w:color="000000"/>
            </w:tcBorders>
            <w:shd w:val="clear" w:color="auto" w:fill="auto"/>
            <w:tcMar>
              <w:top w:w="57" w:type="dxa"/>
              <w:left w:w="57" w:type="dxa"/>
              <w:bottom w:w="57" w:type="dxa"/>
              <w:right w:w="57" w:type="dxa"/>
            </w:tcMar>
          </w:tcPr>
          <w:p w:rsidR="005F1C27" w:rsidRPr="00792561" w:rsidRDefault="005F1C27" w:rsidP="00792561">
            <w:pPr>
              <w:pStyle w:val="TableContents"/>
              <w:spacing w:line="240" w:lineRule="auto"/>
              <w:jc w:val="both"/>
              <w:rPr>
                <w:rFonts w:ascii="Times New Roman" w:eastAsia="Times New Roman" w:hAnsi="Times New Roman" w:cs="Times New Roman"/>
                <w:b/>
                <w:color w:val="auto"/>
                <w:sz w:val="23"/>
                <w:szCs w:val="23"/>
                <w:lang w:val="uk-UA"/>
              </w:rPr>
            </w:pPr>
            <w:r w:rsidRPr="000C6EBE">
              <w:rPr>
                <w:rFonts w:ascii="Times New Roman" w:eastAsia="Times New Roman" w:hAnsi="Times New Roman"/>
                <w:b/>
                <w:color w:val="auto"/>
                <w:sz w:val="23"/>
                <w:szCs w:val="23"/>
                <w:lang w:val="uk-UA"/>
              </w:rPr>
              <w:t>Д</w:t>
            </w:r>
            <w:r w:rsidR="00792561">
              <w:rPr>
                <w:rFonts w:ascii="Times New Roman" w:eastAsia="Times New Roman" w:hAnsi="Times New Roman"/>
                <w:b/>
                <w:color w:val="auto"/>
                <w:sz w:val="23"/>
                <w:szCs w:val="23"/>
                <w:lang w:val="uk-UA"/>
              </w:rPr>
              <w:t>ля держави</w:t>
            </w:r>
            <w:r w:rsidRPr="000C6EBE">
              <w:rPr>
                <w:rFonts w:ascii="Times New Roman" w:eastAsia="Times New Roman" w:hAnsi="Times New Roman"/>
                <w:b/>
                <w:color w:val="auto"/>
                <w:sz w:val="23"/>
                <w:szCs w:val="23"/>
                <w:lang w:val="uk-UA"/>
              </w:rPr>
              <w:t>:</w:t>
            </w:r>
            <w:r w:rsidR="00792561">
              <w:rPr>
                <w:rFonts w:ascii="Times New Roman" w:eastAsia="Times New Roman" w:hAnsi="Times New Roman"/>
                <w:b/>
                <w:color w:val="auto"/>
                <w:sz w:val="23"/>
                <w:szCs w:val="23"/>
                <w:lang w:val="uk-UA"/>
              </w:rPr>
              <w:t xml:space="preserve"> </w:t>
            </w:r>
            <w:r w:rsidR="00792561" w:rsidRPr="00792561">
              <w:rPr>
                <w:rFonts w:ascii="Times New Roman" w:eastAsia="Times New Roman" w:hAnsi="Times New Roman"/>
                <w:color w:val="auto"/>
                <w:sz w:val="23"/>
                <w:szCs w:val="23"/>
                <w:lang w:val="uk-UA"/>
              </w:rPr>
              <w:t>не буде виконано вимогу пункту</w:t>
            </w:r>
            <w:r w:rsidR="00C264E5">
              <w:rPr>
                <w:rFonts w:ascii="Times New Roman" w:eastAsia="Times New Roman" w:hAnsi="Times New Roman"/>
                <w:color w:val="auto"/>
                <w:sz w:val="23"/>
                <w:szCs w:val="23"/>
                <w:lang w:val="uk-UA"/>
              </w:rPr>
              <w:t xml:space="preserve"> 139</w:t>
            </w:r>
            <w:r w:rsidR="00792561" w:rsidRPr="00792561">
              <w:rPr>
                <w:rFonts w:ascii="Times New Roman" w:eastAsia="Times New Roman" w:hAnsi="Times New Roman"/>
                <w:color w:val="auto"/>
                <w:sz w:val="23"/>
                <w:szCs w:val="23"/>
                <w:lang w:val="uk-UA"/>
              </w:rPr>
              <w:t xml:space="preserve"> </w:t>
            </w:r>
            <w:r w:rsidR="00792561" w:rsidRPr="00792561">
              <w:rPr>
                <w:rFonts w:ascii="Times New Roman" w:hAnsi="Times New Roman" w:cs="Times New Roman"/>
                <w:lang w:val="uk-UA"/>
              </w:rPr>
              <w:t>План</w:t>
            </w:r>
            <w:r w:rsidR="00C264E5">
              <w:rPr>
                <w:rFonts w:ascii="Times New Roman" w:hAnsi="Times New Roman" w:cs="Times New Roman"/>
                <w:lang w:val="uk-UA"/>
              </w:rPr>
              <w:t>у</w:t>
            </w:r>
            <w:r w:rsidR="00792561" w:rsidRPr="00792561">
              <w:rPr>
                <w:rFonts w:ascii="Times New Roman" w:hAnsi="Times New Roman" w:cs="Times New Roman"/>
                <w:lang w:val="uk-UA"/>
              </w:rPr>
              <w:t xml:space="preserve"> пріоритетних дій Уряду на 202</w:t>
            </w:r>
            <w:r w:rsidR="00C264E5">
              <w:rPr>
                <w:rFonts w:ascii="Times New Roman" w:hAnsi="Times New Roman" w:cs="Times New Roman"/>
                <w:lang w:val="uk-UA"/>
              </w:rPr>
              <w:t>4</w:t>
            </w:r>
            <w:r w:rsidR="00792561" w:rsidRPr="00792561">
              <w:rPr>
                <w:rFonts w:ascii="Times New Roman" w:hAnsi="Times New Roman" w:cs="Times New Roman"/>
                <w:lang w:val="uk-UA"/>
              </w:rPr>
              <w:t xml:space="preserve"> рік.</w:t>
            </w:r>
          </w:p>
          <w:p w:rsidR="005F1C27" w:rsidRPr="000C6EBE" w:rsidRDefault="005F1C27" w:rsidP="005F1C27">
            <w:pPr>
              <w:pStyle w:val="TableContents"/>
              <w:spacing w:line="240" w:lineRule="auto"/>
              <w:rPr>
                <w:rFonts w:ascii="Times New Roman" w:eastAsia="Times New Roman" w:hAnsi="Times New Roman"/>
                <w:b/>
                <w:color w:val="auto"/>
                <w:sz w:val="23"/>
                <w:szCs w:val="23"/>
                <w:lang w:val="uk-UA"/>
              </w:rPr>
            </w:pPr>
            <w:r w:rsidRPr="000C6EBE">
              <w:rPr>
                <w:rFonts w:ascii="Times New Roman" w:eastAsia="Times New Roman" w:hAnsi="Times New Roman"/>
                <w:color w:val="auto"/>
                <w:sz w:val="23"/>
                <w:szCs w:val="23"/>
                <w:lang w:val="uk-UA"/>
              </w:rPr>
              <w:t xml:space="preserve">Витрати, пов’язані із обробкою звернень </w:t>
            </w:r>
          </w:p>
          <w:p w:rsidR="005F1C27" w:rsidRPr="000C6EBE" w:rsidRDefault="00C264E5" w:rsidP="005F1C27">
            <w:pPr>
              <w:pStyle w:val="TableContents"/>
              <w:spacing w:line="240" w:lineRule="auto"/>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внаслідок невідповідного виконання своїх зобов’язань суб’єктами надання освітніх послуг, неякісні освітні послуги</w:t>
            </w:r>
          </w:p>
          <w:p w:rsidR="005F1C27" w:rsidRPr="000C6EBE" w:rsidRDefault="00C264E5" w:rsidP="005F1C27">
            <w:pPr>
              <w:pStyle w:val="TableContents"/>
              <w:spacing w:line="240" w:lineRule="auto"/>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287583">
            <w:pPr>
              <w:pStyle w:val="Textbody"/>
              <w:spacing w:after="120"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Витрати, пов’язані з ліцензування</w:t>
            </w:r>
            <w:r w:rsidR="004266C6">
              <w:rPr>
                <w:rFonts w:ascii="Times New Roman" w:eastAsia="Times New Roman" w:hAnsi="Times New Roman"/>
                <w:color w:val="auto"/>
                <w:sz w:val="23"/>
                <w:szCs w:val="23"/>
                <w:lang w:val="uk-UA"/>
              </w:rPr>
              <w:t>м</w:t>
            </w:r>
            <w:r w:rsidRPr="000C6EBE">
              <w:rPr>
                <w:rFonts w:ascii="Times New Roman" w:eastAsia="Times New Roman" w:hAnsi="Times New Roman"/>
                <w:color w:val="auto"/>
                <w:sz w:val="23"/>
                <w:szCs w:val="23"/>
                <w:lang w:val="uk-UA"/>
              </w:rPr>
              <w:t xml:space="preserve"> рівнів освіти та акредитації наявних освітніх програм</w:t>
            </w:r>
          </w:p>
        </w:tc>
        <w:tc>
          <w:tcPr>
            <w:tcW w:w="2597" w:type="dxa"/>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 xml:space="preserve">Неможливість фінансово забезпечити відновлення та модернізацію ЗВО, подальше погіршення якості </w:t>
            </w:r>
            <w:r w:rsidR="004266C6">
              <w:rPr>
                <w:rFonts w:ascii="Times New Roman" w:eastAsia="Times New Roman" w:hAnsi="Times New Roman"/>
                <w:color w:val="auto"/>
                <w:sz w:val="23"/>
                <w:szCs w:val="23"/>
                <w:lang w:val="uk-UA"/>
              </w:rPr>
              <w:t xml:space="preserve">вищої </w:t>
            </w:r>
            <w:r w:rsidRPr="000C6EBE">
              <w:rPr>
                <w:rFonts w:ascii="Times New Roman" w:eastAsia="Times New Roman" w:hAnsi="Times New Roman"/>
                <w:color w:val="auto"/>
                <w:sz w:val="23"/>
                <w:szCs w:val="23"/>
                <w:lang w:val="uk-UA"/>
              </w:rPr>
              <w:t>освіти  та її знецінення у суспільстві, роботодавців, погіршення ситуації з боку держави із позиції її некерованості, стихійний розвиток ситуації на ринку освіти</w:t>
            </w:r>
          </w:p>
        </w:tc>
      </w:tr>
      <w:tr w:rsidR="005F1C27" w:rsidRPr="000C6EBE" w:rsidTr="00D73041">
        <w:tc>
          <w:tcPr>
            <w:tcW w:w="1884" w:type="dxa"/>
            <w:gridSpan w:val="2"/>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rPr>
                <w:rFonts w:ascii="Times New Roman" w:eastAsia="Times New Roman" w:hAnsi="Times New Roman"/>
                <w:b/>
                <w:color w:val="auto"/>
                <w:sz w:val="23"/>
                <w:szCs w:val="23"/>
              </w:rPr>
            </w:pPr>
            <w:r w:rsidRPr="000C6EBE">
              <w:rPr>
                <w:rFonts w:ascii="Times New Roman" w:eastAsia="Times New Roman" w:hAnsi="Times New Roman"/>
                <w:b/>
                <w:color w:val="auto"/>
                <w:sz w:val="23"/>
                <w:szCs w:val="23"/>
                <w:lang w:val="uk-UA"/>
              </w:rPr>
              <w:t xml:space="preserve">Альтернатива </w:t>
            </w:r>
            <w:r w:rsidRPr="000C6EBE">
              <w:rPr>
                <w:rFonts w:ascii="Times New Roman" w:eastAsia="Times New Roman" w:hAnsi="Times New Roman"/>
                <w:b/>
                <w:color w:val="auto"/>
                <w:sz w:val="23"/>
                <w:szCs w:val="23"/>
              </w:rPr>
              <w:t>2</w:t>
            </w:r>
          </w:p>
        </w:tc>
        <w:tc>
          <w:tcPr>
            <w:tcW w:w="2646" w:type="dxa"/>
            <w:gridSpan w:val="3"/>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ED5711" w:rsidRPr="000C6EBE" w:rsidRDefault="00ED5711" w:rsidP="005F1C27">
            <w:pPr>
              <w:pStyle w:val="TableContents"/>
              <w:spacing w:line="240" w:lineRule="auto"/>
              <w:jc w:val="both"/>
              <w:rPr>
                <w:rFonts w:ascii="Times New Roman" w:hAnsi="Times New Roman" w:cs="Times New Roman"/>
                <w:sz w:val="23"/>
                <w:szCs w:val="23"/>
                <w:lang w:val="uk-UA"/>
              </w:rPr>
            </w:pPr>
            <w:r w:rsidRPr="000C6EBE">
              <w:rPr>
                <w:rFonts w:ascii="Times New Roman" w:hAnsi="Times New Roman" w:cs="Times New Roman"/>
                <w:sz w:val="23"/>
                <w:szCs w:val="23"/>
                <w:lang w:val="uk-UA"/>
              </w:rPr>
              <w:t xml:space="preserve">У разі </w:t>
            </w:r>
            <w:r w:rsidR="000C6EBE">
              <w:rPr>
                <w:rFonts w:ascii="Times New Roman" w:hAnsi="Times New Roman" w:cs="Times New Roman"/>
                <w:sz w:val="23"/>
                <w:szCs w:val="23"/>
                <w:lang w:val="uk-UA"/>
              </w:rPr>
              <w:t>розвитку подій за Альтернативою </w:t>
            </w:r>
            <w:r w:rsidRPr="000C6EBE">
              <w:rPr>
                <w:rFonts w:ascii="Times New Roman" w:hAnsi="Times New Roman" w:cs="Times New Roman"/>
                <w:sz w:val="23"/>
                <w:szCs w:val="23"/>
                <w:lang w:val="uk-UA"/>
              </w:rPr>
              <w:t>2 виникають такі вигоди:</w:t>
            </w:r>
          </w:p>
          <w:p w:rsidR="005F1C27" w:rsidRPr="000C6EBE" w:rsidRDefault="005F1C27" w:rsidP="00E47BBE">
            <w:pPr>
              <w:pStyle w:val="TableContents"/>
              <w:spacing w:before="120"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w:t>
            </w:r>
            <w:r w:rsidR="00ED5711" w:rsidRPr="000C6EBE">
              <w:rPr>
                <w:rFonts w:ascii="Times New Roman" w:eastAsia="Times New Roman" w:hAnsi="Times New Roman"/>
                <w:b/>
                <w:color w:val="auto"/>
                <w:sz w:val="23"/>
                <w:szCs w:val="23"/>
                <w:lang w:val="uk-UA"/>
              </w:rPr>
              <w:t>ля д</w:t>
            </w:r>
            <w:r w:rsidRPr="000C6EBE">
              <w:rPr>
                <w:rFonts w:ascii="Times New Roman" w:eastAsia="Times New Roman" w:hAnsi="Times New Roman"/>
                <w:b/>
                <w:color w:val="auto"/>
                <w:sz w:val="23"/>
                <w:szCs w:val="23"/>
                <w:lang w:val="uk-UA"/>
              </w:rPr>
              <w:t>ержав</w:t>
            </w:r>
            <w:r w:rsidR="00ED5711" w:rsidRPr="000C6EBE">
              <w:rPr>
                <w:rFonts w:ascii="Times New Roman" w:eastAsia="Times New Roman" w:hAnsi="Times New Roman"/>
                <w:b/>
                <w:color w:val="auto"/>
                <w:sz w:val="23"/>
                <w:szCs w:val="23"/>
                <w:lang w:val="uk-UA"/>
              </w:rPr>
              <w:t>и</w:t>
            </w:r>
            <w:r w:rsidRPr="000C6EBE">
              <w:rPr>
                <w:rFonts w:ascii="Times New Roman" w:eastAsia="Times New Roman" w:hAnsi="Times New Roman"/>
                <w:b/>
                <w:color w:val="auto"/>
                <w:sz w:val="23"/>
                <w:szCs w:val="23"/>
                <w:lang w:val="uk-UA"/>
              </w:rPr>
              <w:t>:</w:t>
            </w:r>
          </w:p>
          <w:p w:rsidR="0037731E" w:rsidRPr="0037731E" w:rsidRDefault="003A447A" w:rsidP="00AB4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Виконуються вимоги європейської інтеграції,</w:t>
            </w:r>
            <w:r w:rsidR="0037731E" w:rsidRPr="0037731E">
              <w:rPr>
                <w:rFonts w:ascii="Times New Roman" w:hAnsi="Times New Roman" w:cs="Times New Roman"/>
                <w:sz w:val="24"/>
                <w:szCs w:val="24"/>
              </w:rPr>
              <w:t xml:space="preserve"> </w:t>
            </w:r>
            <w:r>
              <w:rPr>
                <w:rFonts w:ascii="Times New Roman" w:hAnsi="Times New Roman" w:cs="Times New Roman"/>
                <w:sz w:val="24"/>
                <w:szCs w:val="24"/>
              </w:rPr>
              <w:t>полегшується а</w:t>
            </w:r>
            <w:r w:rsidR="0037731E" w:rsidRPr="0037731E">
              <w:rPr>
                <w:rFonts w:ascii="Times New Roman" w:hAnsi="Times New Roman" w:cs="Times New Roman"/>
                <w:sz w:val="24"/>
                <w:szCs w:val="24"/>
              </w:rPr>
              <w:t>даптація системи вищої освіти до демографічних змін та зміни регіональної структури економіки</w:t>
            </w:r>
            <w:r>
              <w:rPr>
                <w:rFonts w:ascii="Times New Roman" w:hAnsi="Times New Roman" w:cs="Times New Roman"/>
                <w:sz w:val="24"/>
                <w:szCs w:val="24"/>
              </w:rPr>
              <w:t xml:space="preserve">, </w:t>
            </w:r>
            <w:r w:rsidR="0037731E" w:rsidRPr="0037731E">
              <w:rPr>
                <w:rFonts w:ascii="Times New Roman" w:hAnsi="Times New Roman" w:cs="Times New Roman"/>
                <w:sz w:val="24"/>
                <w:szCs w:val="24"/>
              </w:rPr>
              <w:t xml:space="preserve"> </w:t>
            </w:r>
          </w:p>
          <w:p w:rsidR="0037731E" w:rsidRPr="0037731E" w:rsidRDefault="003A447A" w:rsidP="00AB4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0037731E" w:rsidRPr="0037731E">
              <w:rPr>
                <w:rFonts w:ascii="Times New Roman" w:hAnsi="Times New Roman" w:cs="Times New Roman"/>
                <w:sz w:val="24"/>
                <w:szCs w:val="24"/>
              </w:rPr>
              <w:t>абезпеч</w:t>
            </w:r>
            <w:r>
              <w:rPr>
                <w:rFonts w:ascii="Times New Roman" w:hAnsi="Times New Roman" w:cs="Times New Roman"/>
                <w:sz w:val="24"/>
                <w:szCs w:val="24"/>
              </w:rPr>
              <w:t>ується</w:t>
            </w:r>
            <w:r w:rsidR="0037731E" w:rsidRPr="0037731E">
              <w:rPr>
                <w:rFonts w:ascii="Times New Roman" w:hAnsi="Times New Roman" w:cs="Times New Roman"/>
                <w:sz w:val="24"/>
                <w:szCs w:val="24"/>
              </w:rPr>
              <w:t xml:space="preserve"> єдн</w:t>
            </w:r>
            <w:r>
              <w:rPr>
                <w:rFonts w:ascii="Times New Roman" w:hAnsi="Times New Roman" w:cs="Times New Roman"/>
                <w:sz w:val="24"/>
                <w:szCs w:val="24"/>
              </w:rPr>
              <w:t>і</w:t>
            </w:r>
            <w:r w:rsidR="0037731E" w:rsidRPr="0037731E">
              <w:rPr>
                <w:rFonts w:ascii="Times New Roman" w:hAnsi="Times New Roman" w:cs="Times New Roman"/>
                <w:sz w:val="24"/>
                <w:szCs w:val="24"/>
              </w:rPr>
              <w:t>ст</w:t>
            </w:r>
            <w:r>
              <w:rPr>
                <w:rFonts w:ascii="Times New Roman" w:hAnsi="Times New Roman" w:cs="Times New Roman"/>
                <w:sz w:val="24"/>
                <w:szCs w:val="24"/>
              </w:rPr>
              <w:t>ь</w:t>
            </w:r>
            <w:r w:rsidR="0037731E" w:rsidRPr="0037731E">
              <w:rPr>
                <w:rFonts w:ascii="Times New Roman" w:hAnsi="Times New Roman" w:cs="Times New Roman"/>
                <w:sz w:val="24"/>
                <w:szCs w:val="24"/>
              </w:rPr>
              <w:t xml:space="preserve"> державного управління вищою освітою, що </w:t>
            </w:r>
            <w:r w:rsidR="00357425">
              <w:rPr>
                <w:rFonts w:ascii="Times New Roman" w:hAnsi="Times New Roman" w:cs="Times New Roman"/>
                <w:sz w:val="24"/>
                <w:szCs w:val="24"/>
              </w:rPr>
              <w:lastRenderedPageBreak/>
              <w:t>збільшить</w:t>
            </w:r>
            <w:r w:rsidR="0065088D">
              <w:rPr>
                <w:rFonts w:ascii="Times New Roman" w:hAnsi="Times New Roman" w:cs="Times New Roman"/>
                <w:sz w:val="24"/>
                <w:szCs w:val="24"/>
              </w:rPr>
              <w:t xml:space="preserve"> </w:t>
            </w:r>
            <w:proofErr w:type="spellStart"/>
            <w:r w:rsidR="0037731E" w:rsidRPr="0037731E">
              <w:rPr>
                <w:rFonts w:ascii="Times New Roman" w:hAnsi="Times New Roman" w:cs="Times New Roman"/>
                <w:sz w:val="24"/>
                <w:szCs w:val="24"/>
              </w:rPr>
              <w:t>спромож</w:t>
            </w:r>
            <w:r w:rsidR="0065088D">
              <w:rPr>
                <w:rFonts w:ascii="Times New Roman" w:hAnsi="Times New Roman" w:cs="Times New Roman"/>
                <w:sz w:val="24"/>
                <w:szCs w:val="24"/>
              </w:rPr>
              <w:t>-</w:t>
            </w:r>
            <w:r w:rsidR="0037731E" w:rsidRPr="0037731E">
              <w:rPr>
                <w:rFonts w:ascii="Times New Roman" w:hAnsi="Times New Roman" w:cs="Times New Roman"/>
                <w:sz w:val="24"/>
                <w:szCs w:val="24"/>
              </w:rPr>
              <w:t>ність</w:t>
            </w:r>
            <w:proofErr w:type="spellEnd"/>
            <w:r w:rsidR="0065088D">
              <w:rPr>
                <w:rFonts w:ascii="Times New Roman" w:hAnsi="Times New Roman" w:cs="Times New Roman"/>
                <w:sz w:val="24"/>
                <w:szCs w:val="24"/>
              </w:rPr>
              <w:t xml:space="preserve"> до фінансування її відновлення та </w:t>
            </w:r>
            <w:r w:rsidR="0037731E" w:rsidRPr="0037731E">
              <w:rPr>
                <w:rFonts w:ascii="Times New Roman" w:hAnsi="Times New Roman" w:cs="Times New Roman"/>
                <w:sz w:val="24"/>
                <w:szCs w:val="24"/>
              </w:rPr>
              <w:t>розвитку</w:t>
            </w:r>
          </w:p>
          <w:p w:rsidR="0037731E" w:rsidRPr="0037731E" w:rsidRDefault="003A447A" w:rsidP="00AB4F90">
            <w:pPr>
              <w:spacing w:after="0" w:line="240" w:lineRule="auto"/>
              <w:jc w:val="both"/>
              <w:rPr>
                <w:rFonts w:ascii="Times New Roman" w:hAnsi="Times New Roman" w:cs="Times New Roman"/>
                <w:sz w:val="24"/>
                <w:szCs w:val="24"/>
              </w:rPr>
            </w:pPr>
            <w:r>
              <w:rPr>
                <w:rFonts w:ascii="Times New Roman" w:eastAsia="Times New Roman" w:hAnsi="Times New Roman"/>
                <w:sz w:val="23"/>
                <w:szCs w:val="23"/>
              </w:rPr>
              <w:t>зменшуються</w:t>
            </w:r>
            <w:r w:rsidR="00894135">
              <w:rPr>
                <w:rFonts w:ascii="Times New Roman" w:eastAsia="Times New Roman" w:hAnsi="Times New Roman"/>
                <w:sz w:val="23"/>
                <w:szCs w:val="23"/>
              </w:rPr>
              <w:t xml:space="preserve"> витрат</w:t>
            </w:r>
            <w:r>
              <w:rPr>
                <w:rFonts w:ascii="Times New Roman" w:eastAsia="Times New Roman" w:hAnsi="Times New Roman"/>
                <w:sz w:val="23"/>
                <w:szCs w:val="23"/>
              </w:rPr>
              <w:t>и</w:t>
            </w:r>
            <w:r w:rsidR="00894135">
              <w:rPr>
                <w:rFonts w:ascii="Times New Roman" w:eastAsia="Times New Roman" w:hAnsi="Times New Roman"/>
                <w:sz w:val="23"/>
                <w:szCs w:val="23"/>
              </w:rPr>
              <w:t xml:space="preserve"> на адміністративний персонал розпорошеної мережі</w:t>
            </w:r>
            <w:r>
              <w:rPr>
                <w:rFonts w:ascii="Times New Roman" w:eastAsia="Times New Roman" w:hAnsi="Times New Roman"/>
                <w:sz w:val="23"/>
                <w:szCs w:val="23"/>
              </w:rPr>
              <w:t>, з</w:t>
            </w:r>
            <w:r w:rsidR="0037731E" w:rsidRPr="0037731E">
              <w:rPr>
                <w:rFonts w:ascii="Times New Roman" w:hAnsi="Times New Roman" w:cs="Times New Roman"/>
                <w:sz w:val="24"/>
                <w:szCs w:val="24"/>
              </w:rPr>
              <w:t>менш</w:t>
            </w:r>
            <w:r>
              <w:rPr>
                <w:rFonts w:ascii="Times New Roman" w:hAnsi="Times New Roman" w:cs="Times New Roman"/>
                <w:sz w:val="24"/>
                <w:szCs w:val="24"/>
              </w:rPr>
              <w:t>ується</w:t>
            </w:r>
            <w:r w:rsidR="0037731E" w:rsidRPr="0037731E">
              <w:rPr>
                <w:rFonts w:ascii="Times New Roman" w:hAnsi="Times New Roman" w:cs="Times New Roman"/>
                <w:sz w:val="24"/>
                <w:szCs w:val="24"/>
              </w:rPr>
              <w:t xml:space="preserve"> перенавантаження викладачів. </w:t>
            </w:r>
            <w:r w:rsidR="0065088D">
              <w:rPr>
                <w:rFonts w:ascii="Times New Roman" w:hAnsi="Times New Roman"/>
                <w:sz w:val="24"/>
                <w:szCs w:val="24"/>
              </w:rPr>
              <w:t>П</w:t>
            </w:r>
            <w:r w:rsidR="0037731E" w:rsidRPr="0037731E">
              <w:rPr>
                <w:rFonts w:ascii="Times New Roman" w:hAnsi="Times New Roman"/>
                <w:sz w:val="24"/>
                <w:szCs w:val="24"/>
              </w:rPr>
              <w:t>ідвищ</w:t>
            </w:r>
            <w:r>
              <w:rPr>
                <w:rFonts w:ascii="Times New Roman" w:hAnsi="Times New Roman"/>
                <w:sz w:val="24"/>
                <w:szCs w:val="24"/>
              </w:rPr>
              <w:t>ується</w:t>
            </w:r>
            <w:r w:rsidR="0037731E" w:rsidRPr="0037731E">
              <w:rPr>
                <w:rFonts w:ascii="Times New Roman" w:hAnsi="Times New Roman"/>
                <w:sz w:val="24"/>
                <w:szCs w:val="24"/>
              </w:rPr>
              <w:t xml:space="preserve"> як</w:t>
            </w:r>
            <w:r>
              <w:rPr>
                <w:rFonts w:ascii="Times New Roman" w:hAnsi="Times New Roman"/>
                <w:sz w:val="24"/>
                <w:szCs w:val="24"/>
              </w:rPr>
              <w:t>і</w:t>
            </w:r>
            <w:r w:rsidR="0037731E" w:rsidRPr="0037731E">
              <w:rPr>
                <w:rFonts w:ascii="Times New Roman" w:hAnsi="Times New Roman"/>
                <w:sz w:val="24"/>
                <w:szCs w:val="24"/>
              </w:rPr>
              <w:t>ст</w:t>
            </w:r>
            <w:r>
              <w:rPr>
                <w:rFonts w:ascii="Times New Roman" w:hAnsi="Times New Roman"/>
                <w:sz w:val="24"/>
                <w:szCs w:val="24"/>
              </w:rPr>
              <w:t>ь</w:t>
            </w:r>
            <w:r w:rsidR="0037731E" w:rsidRPr="0037731E">
              <w:rPr>
                <w:rFonts w:ascii="Times New Roman" w:hAnsi="Times New Roman"/>
                <w:sz w:val="24"/>
                <w:szCs w:val="24"/>
              </w:rPr>
              <w:t xml:space="preserve"> вищої освіти шляхом виведення з ринку значної частини суб’єктів освітньої діяльності з суперечливою </w:t>
            </w:r>
            <w:proofErr w:type="spellStart"/>
            <w:r w:rsidR="0037731E" w:rsidRPr="0037731E">
              <w:rPr>
                <w:rFonts w:ascii="Times New Roman" w:hAnsi="Times New Roman"/>
                <w:sz w:val="24"/>
                <w:szCs w:val="24"/>
              </w:rPr>
              <w:t>репута</w:t>
            </w:r>
            <w:proofErr w:type="spellEnd"/>
            <w:r w:rsidR="0065088D">
              <w:rPr>
                <w:rFonts w:ascii="Times New Roman" w:hAnsi="Times New Roman"/>
                <w:sz w:val="24"/>
                <w:szCs w:val="24"/>
              </w:rPr>
              <w:t>-</w:t>
            </w:r>
            <w:r w:rsidR="0037731E" w:rsidRPr="0037731E">
              <w:rPr>
                <w:rFonts w:ascii="Times New Roman" w:hAnsi="Times New Roman"/>
                <w:sz w:val="24"/>
                <w:szCs w:val="24"/>
              </w:rPr>
              <w:t xml:space="preserve">цією, а також </w:t>
            </w:r>
            <w:proofErr w:type="spellStart"/>
            <w:r w:rsidR="0037731E" w:rsidRPr="0037731E">
              <w:rPr>
                <w:rFonts w:ascii="Times New Roman" w:hAnsi="Times New Roman"/>
                <w:sz w:val="24"/>
                <w:szCs w:val="24"/>
              </w:rPr>
              <w:t>зосеред</w:t>
            </w:r>
            <w:r w:rsidR="0065088D">
              <w:rPr>
                <w:rFonts w:ascii="Times New Roman" w:hAnsi="Times New Roman"/>
                <w:sz w:val="24"/>
                <w:szCs w:val="24"/>
              </w:rPr>
              <w:t>-</w:t>
            </w:r>
            <w:r w:rsidR="0037731E" w:rsidRPr="0037731E">
              <w:rPr>
                <w:rFonts w:ascii="Times New Roman" w:hAnsi="Times New Roman"/>
                <w:sz w:val="24"/>
                <w:szCs w:val="24"/>
              </w:rPr>
              <w:t>женню</w:t>
            </w:r>
            <w:proofErr w:type="spellEnd"/>
            <w:r w:rsidR="0037731E" w:rsidRPr="0037731E">
              <w:rPr>
                <w:rFonts w:ascii="Times New Roman" w:hAnsi="Times New Roman"/>
                <w:sz w:val="24"/>
                <w:szCs w:val="24"/>
              </w:rPr>
              <w:t xml:space="preserve"> закладів вищої освіти на підготовці фахівців з вищою освітою. </w:t>
            </w:r>
            <w:r w:rsidR="0037731E" w:rsidRPr="0037731E">
              <w:rPr>
                <w:rFonts w:ascii="Times New Roman" w:hAnsi="Times New Roman" w:cs="Times New Roman"/>
                <w:sz w:val="24"/>
                <w:szCs w:val="24"/>
              </w:rPr>
              <w:t>Зроста</w:t>
            </w:r>
            <w:r>
              <w:rPr>
                <w:rFonts w:ascii="Times New Roman" w:hAnsi="Times New Roman" w:cs="Times New Roman"/>
                <w:sz w:val="24"/>
                <w:szCs w:val="24"/>
              </w:rPr>
              <w:t>є</w:t>
            </w:r>
            <w:r w:rsidR="0037731E" w:rsidRPr="0037731E">
              <w:rPr>
                <w:rFonts w:ascii="Times New Roman" w:hAnsi="Times New Roman" w:cs="Times New Roman"/>
                <w:sz w:val="24"/>
                <w:szCs w:val="24"/>
              </w:rPr>
              <w:t xml:space="preserve"> рів</w:t>
            </w:r>
            <w:r>
              <w:rPr>
                <w:rFonts w:ascii="Times New Roman" w:hAnsi="Times New Roman" w:cs="Times New Roman"/>
                <w:sz w:val="24"/>
                <w:szCs w:val="24"/>
              </w:rPr>
              <w:t>е</w:t>
            </w:r>
            <w:r w:rsidR="0037731E" w:rsidRPr="0037731E">
              <w:rPr>
                <w:rFonts w:ascii="Times New Roman" w:hAnsi="Times New Roman" w:cs="Times New Roman"/>
                <w:sz w:val="24"/>
                <w:szCs w:val="24"/>
              </w:rPr>
              <w:t>н</w:t>
            </w:r>
            <w:r>
              <w:rPr>
                <w:rFonts w:ascii="Times New Roman" w:hAnsi="Times New Roman" w:cs="Times New Roman"/>
                <w:sz w:val="24"/>
                <w:szCs w:val="24"/>
              </w:rPr>
              <w:t>ь</w:t>
            </w:r>
            <w:r w:rsidR="0037731E" w:rsidRPr="0037731E">
              <w:rPr>
                <w:rFonts w:ascii="Times New Roman" w:hAnsi="Times New Roman" w:cs="Times New Roman"/>
                <w:sz w:val="24"/>
                <w:szCs w:val="24"/>
              </w:rPr>
              <w:t xml:space="preserve"> довіри до системи вищої освіти з боку всіх </w:t>
            </w:r>
            <w:proofErr w:type="spellStart"/>
            <w:r w:rsidR="0037731E" w:rsidRPr="0037731E">
              <w:rPr>
                <w:rFonts w:ascii="Times New Roman" w:hAnsi="Times New Roman" w:cs="Times New Roman"/>
                <w:sz w:val="24"/>
                <w:szCs w:val="24"/>
              </w:rPr>
              <w:t>стейкхолдерів</w:t>
            </w:r>
            <w:proofErr w:type="spellEnd"/>
            <w:r w:rsidR="0037731E" w:rsidRPr="0037731E">
              <w:rPr>
                <w:rFonts w:ascii="Times New Roman" w:hAnsi="Times New Roman" w:cs="Times New Roman"/>
                <w:sz w:val="24"/>
                <w:szCs w:val="24"/>
              </w:rPr>
              <w:t>.</w:t>
            </w:r>
          </w:p>
          <w:p w:rsidR="005F1C27" w:rsidRPr="000C6EBE" w:rsidRDefault="00304030" w:rsidP="00E47BBE">
            <w:pPr>
              <w:pStyle w:val="TableContents"/>
              <w:spacing w:before="120"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ромадян:</w:t>
            </w:r>
          </w:p>
          <w:p w:rsidR="00AB4F90" w:rsidRPr="00AB4F90" w:rsidRDefault="00AB4F90" w:rsidP="00AB4F90">
            <w:pPr>
              <w:spacing w:after="0" w:line="240" w:lineRule="auto"/>
              <w:jc w:val="both"/>
              <w:rPr>
                <w:rFonts w:ascii="Times New Roman" w:hAnsi="Times New Roman" w:cs="Times New Roman"/>
                <w:sz w:val="24"/>
                <w:szCs w:val="24"/>
              </w:rPr>
            </w:pPr>
            <w:r w:rsidRPr="00AB4F90">
              <w:rPr>
                <w:rFonts w:ascii="Times New Roman" w:hAnsi="Times New Roman" w:cs="Times New Roman"/>
                <w:sz w:val="24"/>
                <w:szCs w:val="24"/>
              </w:rPr>
              <w:t xml:space="preserve">Модернізація мережі закладів освіти спричинить вплив на громадян, оскільки дозволить обирати тип закладу вищої освіти залежно від своїх цілей, амбіцій та </w:t>
            </w:r>
            <w:proofErr w:type="spellStart"/>
            <w:r w:rsidRPr="00AB4F90">
              <w:rPr>
                <w:rFonts w:ascii="Times New Roman" w:hAnsi="Times New Roman" w:cs="Times New Roman"/>
                <w:sz w:val="24"/>
                <w:szCs w:val="24"/>
              </w:rPr>
              <w:t>зацікавле</w:t>
            </w:r>
            <w:r>
              <w:rPr>
                <w:rFonts w:ascii="Times New Roman" w:hAnsi="Times New Roman" w:cs="Times New Roman"/>
                <w:sz w:val="24"/>
                <w:szCs w:val="24"/>
              </w:rPr>
              <w:t>-</w:t>
            </w:r>
            <w:r w:rsidRPr="00AB4F90">
              <w:rPr>
                <w:rFonts w:ascii="Times New Roman" w:hAnsi="Times New Roman" w:cs="Times New Roman"/>
                <w:sz w:val="24"/>
                <w:szCs w:val="24"/>
              </w:rPr>
              <w:t>ності</w:t>
            </w:r>
            <w:proofErr w:type="spellEnd"/>
            <w:r w:rsidRPr="00AB4F90">
              <w:rPr>
                <w:rFonts w:ascii="Times New Roman" w:hAnsi="Times New Roman" w:cs="Times New Roman"/>
                <w:sz w:val="24"/>
                <w:szCs w:val="24"/>
              </w:rPr>
              <w:t xml:space="preserve"> професією.</w:t>
            </w:r>
          </w:p>
          <w:p w:rsidR="00AB4F90" w:rsidRPr="00AB4F90" w:rsidRDefault="009A4752" w:rsidP="00AB4F90">
            <w:pPr>
              <w:spacing w:after="0" w:line="240" w:lineRule="auto"/>
              <w:jc w:val="both"/>
              <w:rPr>
                <w:rFonts w:ascii="Times New Roman" w:hAnsi="Times New Roman"/>
                <w:sz w:val="24"/>
                <w:szCs w:val="24"/>
              </w:rPr>
            </w:pPr>
            <w:r>
              <w:rPr>
                <w:rFonts w:ascii="Times New Roman" w:hAnsi="Times New Roman" w:cs="Times New Roman"/>
                <w:sz w:val="24"/>
                <w:szCs w:val="24"/>
              </w:rPr>
              <w:t>Модернізована мережа закладів освіти</w:t>
            </w:r>
            <w:r w:rsidR="00AB4F90" w:rsidRPr="00AB4F90">
              <w:rPr>
                <w:rFonts w:ascii="Times New Roman" w:hAnsi="Times New Roman" w:cs="Times New Roman"/>
                <w:sz w:val="24"/>
                <w:szCs w:val="24"/>
              </w:rPr>
              <w:t xml:space="preserve"> розширить можливості для формування </w:t>
            </w:r>
            <w:r w:rsidR="00AB4F90" w:rsidRPr="00AB4F90">
              <w:rPr>
                <w:rFonts w:ascii="Times New Roman" w:hAnsi="Times New Roman"/>
                <w:sz w:val="24"/>
                <w:szCs w:val="24"/>
              </w:rPr>
              <w:t>індивідуальної траєкторії навчання здобувачам освіти.</w:t>
            </w:r>
            <w:r w:rsidR="00AB4F90" w:rsidRPr="00AB4F90">
              <w:rPr>
                <w:rFonts w:ascii="Times New Roman" w:hAnsi="Times New Roman" w:cs="Times New Roman"/>
                <w:sz w:val="24"/>
                <w:szCs w:val="24"/>
              </w:rPr>
              <w:t xml:space="preserve"> Підвищиться частка випускників, які задоволені якістю та здобутими </w:t>
            </w:r>
            <w:proofErr w:type="spellStart"/>
            <w:r w:rsidR="00AB4F90" w:rsidRPr="00AB4F90">
              <w:rPr>
                <w:rFonts w:ascii="Times New Roman" w:hAnsi="Times New Roman" w:cs="Times New Roman"/>
                <w:sz w:val="24"/>
                <w:szCs w:val="24"/>
              </w:rPr>
              <w:t>компетент</w:t>
            </w:r>
            <w:r w:rsidR="00AB4F90">
              <w:rPr>
                <w:rFonts w:ascii="Times New Roman" w:hAnsi="Times New Roman" w:cs="Times New Roman"/>
                <w:sz w:val="24"/>
                <w:szCs w:val="24"/>
              </w:rPr>
              <w:t>-</w:t>
            </w:r>
            <w:r w:rsidR="00AB4F90" w:rsidRPr="00AB4F90">
              <w:rPr>
                <w:rFonts w:ascii="Times New Roman" w:hAnsi="Times New Roman" w:cs="Times New Roman"/>
                <w:sz w:val="24"/>
                <w:szCs w:val="24"/>
              </w:rPr>
              <w:t>ностями</w:t>
            </w:r>
            <w:proofErr w:type="spellEnd"/>
            <w:r w:rsidR="00AB4F90" w:rsidRPr="00AB4F90">
              <w:rPr>
                <w:rFonts w:ascii="Times New Roman" w:hAnsi="Times New Roman" w:cs="Times New Roman"/>
                <w:sz w:val="24"/>
                <w:szCs w:val="24"/>
              </w:rPr>
              <w:t>, збільшиться частка</w:t>
            </w:r>
            <w:r w:rsidR="00AB4F90">
              <w:rPr>
                <w:rFonts w:ascii="Times New Roman" w:hAnsi="Times New Roman" w:cs="Times New Roman"/>
                <w:sz w:val="24"/>
                <w:szCs w:val="24"/>
              </w:rPr>
              <w:t xml:space="preserve"> випускників, які </w:t>
            </w:r>
            <w:r w:rsidR="00AB4F90" w:rsidRPr="00AB4F90">
              <w:rPr>
                <w:rFonts w:ascii="Times New Roman" w:hAnsi="Times New Roman" w:cs="Times New Roman"/>
                <w:sz w:val="24"/>
                <w:szCs w:val="24"/>
              </w:rPr>
              <w:t xml:space="preserve"> більш </w:t>
            </w:r>
            <w:proofErr w:type="spellStart"/>
            <w:r w:rsidR="00AB4F90" w:rsidRPr="00AB4F90">
              <w:rPr>
                <w:rFonts w:ascii="Times New Roman" w:hAnsi="Times New Roman" w:cs="Times New Roman"/>
                <w:sz w:val="24"/>
                <w:szCs w:val="24"/>
              </w:rPr>
              <w:t>конкурентоспро</w:t>
            </w:r>
            <w:r w:rsidR="00AB4F90">
              <w:rPr>
                <w:rFonts w:ascii="Times New Roman" w:hAnsi="Times New Roman" w:cs="Times New Roman"/>
                <w:sz w:val="24"/>
                <w:szCs w:val="24"/>
              </w:rPr>
              <w:t>-</w:t>
            </w:r>
            <w:r w:rsidR="00AB4F90" w:rsidRPr="00AB4F90">
              <w:rPr>
                <w:rFonts w:ascii="Times New Roman" w:hAnsi="Times New Roman" w:cs="Times New Roman"/>
                <w:sz w:val="24"/>
                <w:szCs w:val="24"/>
              </w:rPr>
              <w:t>можні</w:t>
            </w:r>
            <w:proofErr w:type="spellEnd"/>
            <w:r w:rsidR="00AB4F90" w:rsidRPr="00AB4F90">
              <w:rPr>
                <w:rFonts w:ascii="Times New Roman" w:hAnsi="Times New Roman" w:cs="Times New Roman"/>
                <w:sz w:val="24"/>
                <w:szCs w:val="24"/>
              </w:rPr>
              <w:t xml:space="preserve"> на ринку праці </w:t>
            </w:r>
            <w:r w:rsidR="00AB4F90" w:rsidRPr="00AB4F90">
              <w:rPr>
                <w:rFonts w:ascii="Times New Roman" w:hAnsi="Times New Roman" w:cs="Times New Roman"/>
                <w:sz w:val="24"/>
                <w:szCs w:val="24"/>
              </w:rPr>
              <w:lastRenderedPageBreak/>
              <w:t>завдяки покращеному та модернізованому освіт</w:t>
            </w:r>
            <w:r w:rsidR="00AB4F90">
              <w:rPr>
                <w:rFonts w:ascii="Times New Roman" w:hAnsi="Times New Roman" w:cs="Times New Roman"/>
                <w:sz w:val="24"/>
                <w:szCs w:val="24"/>
              </w:rPr>
              <w:t>-</w:t>
            </w:r>
            <w:r w:rsidR="00AB4F90" w:rsidRPr="00AB4F90">
              <w:rPr>
                <w:rFonts w:ascii="Times New Roman" w:hAnsi="Times New Roman" w:cs="Times New Roman"/>
                <w:sz w:val="24"/>
                <w:szCs w:val="24"/>
              </w:rPr>
              <w:t xml:space="preserve">ньому середовищу. Здобувачі ступеня доктора філософії матимуть доступ до більш якісних освітніх компонентів, в тому числі за вибірковою складовою </w:t>
            </w:r>
            <w:proofErr w:type="spellStart"/>
            <w:r w:rsidR="00AB4F90" w:rsidRPr="00AB4F90">
              <w:rPr>
                <w:rFonts w:ascii="Times New Roman" w:hAnsi="Times New Roman" w:cs="Times New Roman"/>
                <w:sz w:val="24"/>
                <w:szCs w:val="24"/>
              </w:rPr>
              <w:t>освітньо</w:t>
            </w:r>
            <w:proofErr w:type="spellEnd"/>
            <w:r w:rsidR="00AB4F90" w:rsidRPr="00AB4F90">
              <w:rPr>
                <w:rFonts w:ascii="Times New Roman" w:hAnsi="Times New Roman" w:cs="Times New Roman"/>
                <w:sz w:val="24"/>
                <w:szCs w:val="24"/>
              </w:rPr>
              <w:t>-наукової програми.</w:t>
            </w:r>
          </w:p>
          <w:p w:rsidR="005F1C27" w:rsidRPr="000C6EBE" w:rsidRDefault="003E30E1" w:rsidP="000C6EBE">
            <w:pPr>
              <w:pStyle w:val="TableContents"/>
              <w:spacing w:before="16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ів</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EB3E43" w:rsidP="00E97B10">
            <w:pPr>
              <w:pStyle w:val="TableContents"/>
              <w:spacing w:after="120" w:line="240" w:lineRule="auto"/>
              <w:jc w:val="both"/>
              <w:rPr>
                <w:rFonts w:ascii="Times New Roman" w:eastAsia="Times New Roman" w:hAnsi="Times New Roman"/>
                <w:b/>
                <w:color w:val="auto"/>
                <w:sz w:val="23"/>
                <w:szCs w:val="23"/>
                <w:lang w:val="uk-UA"/>
              </w:rPr>
            </w:pPr>
            <w:r w:rsidRPr="00E97B10">
              <w:rPr>
                <w:rFonts w:ascii="Times New Roman" w:hAnsi="Times New Roman" w:cs="Times New Roman"/>
                <w:sz w:val="24"/>
                <w:szCs w:val="24"/>
                <w:lang w:val="uk-UA"/>
              </w:rPr>
              <w:t>Модернізація</w:t>
            </w:r>
            <w:r w:rsidR="003E30E1" w:rsidRPr="00E97B10">
              <w:rPr>
                <w:rFonts w:ascii="Times New Roman" w:hAnsi="Times New Roman" w:cs="Times New Roman"/>
                <w:sz w:val="24"/>
                <w:szCs w:val="24"/>
                <w:lang w:val="uk-UA"/>
              </w:rPr>
              <w:t xml:space="preserve"> закладів освіти задля об’єднання ресурсів і посилення освітньої пропозиції</w:t>
            </w:r>
            <w:r w:rsidR="00E97B10" w:rsidRPr="00E97B10">
              <w:rPr>
                <w:rFonts w:ascii="Times New Roman" w:hAnsi="Times New Roman" w:cs="Times New Roman"/>
                <w:sz w:val="24"/>
                <w:szCs w:val="24"/>
                <w:lang w:val="uk-UA"/>
              </w:rPr>
              <w:t>,</w:t>
            </w:r>
            <w:r w:rsidR="00E97B10">
              <w:rPr>
                <w:rFonts w:ascii="Times New Roman" w:hAnsi="Times New Roman" w:cs="Times New Roman"/>
                <w:sz w:val="24"/>
                <w:szCs w:val="24"/>
                <w:lang w:val="uk-UA"/>
              </w:rPr>
              <w:t xml:space="preserve"> де </w:t>
            </w:r>
            <w:r w:rsidR="00E97B10" w:rsidRPr="00E97B10">
              <w:rPr>
                <w:rFonts w:ascii="Times New Roman" w:eastAsia="Times New Roman" w:hAnsi="Times New Roman"/>
                <w:color w:val="auto"/>
                <w:sz w:val="24"/>
                <w:szCs w:val="24"/>
                <w:lang w:val="uk-UA"/>
              </w:rPr>
              <w:t xml:space="preserve"> </w:t>
            </w:r>
            <w:r w:rsidR="00E97B10" w:rsidRPr="00E97B10">
              <w:rPr>
                <w:rFonts w:ascii="Times New Roman" w:eastAsia="Times New Roman" w:hAnsi="Times New Roman"/>
                <w:color w:val="auto"/>
                <w:sz w:val="24"/>
                <w:szCs w:val="24"/>
                <w:lang w:val="uk-UA"/>
              </w:rPr>
              <w:t>науково-педагогічні працівники матимуть доступ до більших фінансових ресурсів для досліджень, участі у міжнародних програмах тощ</w:t>
            </w:r>
            <w:r w:rsidR="00E97B10">
              <w:rPr>
                <w:rFonts w:ascii="Times New Roman" w:eastAsia="Times New Roman" w:hAnsi="Times New Roman"/>
                <w:color w:val="auto"/>
                <w:sz w:val="24"/>
                <w:szCs w:val="24"/>
                <w:lang w:val="uk-UA"/>
              </w:rPr>
              <w:t>о.</w:t>
            </w:r>
            <w:r w:rsidR="003E30E1" w:rsidRPr="00E97B10">
              <w:rPr>
                <w:rFonts w:ascii="Times New Roman" w:hAnsi="Times New Roman" w:cs="Times New Roman"/>
                <w:sz w:val="24"/>
                <w:szCs w:val="24"/>
                <w:lang w:val="uk-UA"/>
              </w:rPr>
              <w:t xml:space="preserve"> Збільшення інвестицій та фокусу фінансування об’єднаних закладів. </w:t>
            </w:r>
            <w:r w:rsidR="005F1C27" w:rsidRPr="00E97B10">
              <w:rPr>
                <w:rFonts w:ascii="Times New Roman" w:eastAsia="Times New Roman" w:hAnsi="Times New Roman"/>
                <w:color w:val="auto"/>
                <w:sz w:val="24"/>
                <w:szCs w:val="24"/>
                <w:lang w:val="uk-UA"/>
              </w:rPr>
              <w:t>Економія коштів внаслідок реорганізації деяких ТВСП та коледжів</w:t>
            </w:r>
            <w:r w:rsidR="005F1C27" w:rsidRPr="000C6EBE">
              <w:rPr>
                <w:rFonts w:ascii="Times New Roman" w:eastAsia="Times New Roman" w:hAnsi="Times New Roman"/>
                <w:color w:val="auto"/>
                <w:sz w:val="23"/>
                <w:szCs w:val="23"/>
                <w:lang w:val="uk-UA"/>
              </w:rPr>
              <w:t xml:space="preserve"> у ЗФПО із відповідною меншою за вартістю процедурою акредитації</w:t>
            </w:r>
            <w:r w:rsidR="000C6EBE">
              <w:rPr>
                <w:rFonts w:ascii="Times New Roman" w:eastAsia="Times New Roman" w:hAnsi="Times New Roman"/>
                <w:color w:val="auto"/>
                <w:sz w:val="23"/>
                <w:szCs w:val="23"/>
                <w:lang w:val="uk-UA"/>
              </w:rPr>
              <w:t xml:space="preserve">; </w:t>
            </w:r>
            <w:r w:rsidR="000C6EBE" w:rsidRPr="00796D25">
              <w:rPr>
                <w:rFonts w:ascii="Times New Roman" w:eastAsia="Times New Roman" w:hAnsi="Times New Roman" w:cs="Times New Roman"/>
                <w:sz w:val="24"/>
                <w:szCs w:val="24"/>
                <w:shd w:val="clear" w:color="auto" w:fill="FFFFFF"/>
                <w:lang w:val="uk-UA" w:eastAsia="uk-UA"/>
              </w:rPr>
              <w:t>покращення репутації закладу та довіри споживачів</w:t>
            </w:r>
            <w:r w:rsidR="000C6EBE">
              <w:rPr>
                <w:rFonts w:ascii="Times New Roman" w:eastAsia="Times New Roman" w:hAnsi="Times New Roman" w:cs="Times New Roman"/>
                <w:sz w:val="24"/>
                <w:szCs w:val="24"/>
                <w:shd w:val="clear" w:color="auto" w:fill="FFFFFF"/>
                <w:lang w:val="uk-UA" w:eastAsia="uk-UA"/>
              </w:rPr>
              <w:t>.</w:t>
            </w:r>
            <w:r w:rsidR="005F1C27" w:rsidRPr="000C6EBE">
              <w:rPr>
                <w:rFonts w:ascii="Times New Roman" w:eastAsia="Times New Roman" w:hAnsi="Times New Roman"/>
                <w:color w:val="auto"/>
                <w:sz w:val="23"/>
                <w:szCs w:val="23"/>
                <w:lang w:val="uk-UA"/>
              </w:rPr>
              <w:t xml:space="preserve"> </w:t>
            </w:r>
          </w:p>
        </w:tc>
        <w:tc>
          <w:tcPr>
            <w:tcW w:w="2583" w:type="dxa"/>
            <w:gridSpan w:val="2"/>
            <w:tcBorders>
              <w:top w:val="single" w:sz="4" w:space="0" w:color="000000"/>
              <w:left w:val="single" w:sz="4" w:space="0" w:color="000000"/>
              <w:bottom w:val="single" w:sz="4" w:space="0" w:color="auto"/>
            </w:tcBorders>
            <w:shd w:val="clear" w:color="auto" w:fill="auto"/>
            <w:tcMar>
              <w:top w:w="57" w:type="dxa"/>
              <w:left w:w="57" w:type="dxa"/>
              <w:bottom w:w="57" w:type="dxa"/>
              <w:right w:w="57" w:type="dxa"/>
            </w:tcMar>
          </w:tcPr>
          <w:p w:rsidR="005F1C27" w:rsidRPr="000C6EBE" w:rsidRDefault="005F1C27" w:rsidP="005F1C27">
            <w:pPr>
              <w:pStyle w:val="TableContents"/>
              <w:spacing w:line="240" w:lineRule="auto"/>
              <w:jc w:val="both"/>
              <w:rPr>
                <w:rFonts w:ascii="Times New Roman" w:eastAsia="Times New Roman" w:hAnsi="Times New Roman"/>
                <w:b/>
                <w:color w:val="auto"/>
                <w:sz w:val="23"/>
                <w:szCs w:val="23"/>
                <w:lang w:val="uk-UA"/>
              </w:rPr>
            </w:pPr>
            <w:r w:rsidRPr="000C6EBE">
              <w:rPr>
                <w:rFonts w:ascii="Times New Roman" w:eastAsia="Times New Roman" w:hAnsi="Times New Roman"/>
                <w:b/>
                <w:color w:val="auto"/>
                <w:sz w:val="23"/>
                <w:szCs w:val="23"/>
                <w:lang w:val="uk-UA"/>
              </w:rPr>
              <w:lastRenderedPageBreak/>
              <w:t>Д</w:t>
            </w:r>
            <w:r w:rsidR="00C264E5">
              <w:rPr>
                <w:rFonts w:ascii="Times New Roman" w:eastAsia="Times New Roman" w:hAnsi="Times New Roman"/>
                <w:b/>
                <w:color w:val="auto"/>
                <w:sz w:val="23"/>
                <w:szCs w:val="23"/>
                <w:lang w:val="uk-UA"/>
              </w:rPr>
              <w:t>ля д</w:t>
            </w:r>
            <w:r w:rsidRPr="000C6EBE">
              <w:rPr>
                <w:rFonts w:ascii="Times New Roman" w:eastAsia="Times New Roman" w:hAnsi="Times New Roman"/>
                <w:b/>
                <w:color w:val="auto"/>
                <w:sz w:val="23"/>
                <w:szCs w:val="23"/>
                <w:lang w:val="uk-UA"/>
              </w:rPr>
              <w:t>ержав</w:t>
            </w:r>
            <w:r w:rsidR="00C264E5">
              <w:rPr>
                <w:rFonts w:ascii="Times New Roman" w:eastAsia="Times New Roman" w:hAnsi="Times New Roman"/>
                <w:b/>
                <w:color w:val="auto"/>
                <w:sz w:val="23"/>
                <w:szCs w:val="23"/>
                <w:lang w:val="uk-UA"/>
              </w:rPr>
              <w:t>и</w:t>
            </w:r>
            <w:r w:rsidRPr="000C6EBE">
              <w:rPr>
                <w:rFonts w:ascii="Times New Roman" w:eastAsia="Times New Roman" w:hAnsi="Times New Roman"/>
                <w:b/>
                <w:color w:val="auto"/>
                <w:sz w:val="23"/>
                <w:szCs w:val="23"/>
                <w:lang w:val="uk-UA"/>
              </w:rPr>
              <w:t>:</w:t>
            </w:r>
          </w:p>
          <w:p w:rsidR="00255E3A" w:rsidRDefault="00255E3A" w:rsidP="00255E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Реалізація </w:t>
            </w:r>
            <w:proofErr w:type="spellStart"/>
            <w:r>
              <w:rPr>
                <w:rFonts w:ascii="Times New Roman" w:hAnsi="Times New Roman" w:cs="Times New Roman"/>
                <w:sz w:val="24"/>
                <w:szCs w:val="24"/>
              </w:rPr>
              <w:t>проєкту</w:t>
            </w:r>
            <w:proofErr w:type="spellEnd"/>
            <w:r>
              <w:rPr>
                <w:rFonts w:ascii="Times New Roman" w:hAnsi="Times New Roman" w:cs="Times New Roman"/>
                <w:sz w:val="24"/>
                <w:szCs w:val="24"/>
              </w:rPr>
              <w:t xml:space="preserve"> Закону не потребуватиме додаткових витрат з державного бюджету, витрати в межах бюджетних асигнувань.</w:t>
            </w:r>
          </w:p>
          <w:p w:rsidR="005F1C27" w:rsidRPr="000C6EBE" w:rsidRDefault="00C264E5" w:rsidP="00E47BBE">
            <w:pPr>
              <w:pStyle w:val="TableContents"/>
              <w:spacing w:before="12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г</w:t>
            </w:r>
            <w:r w:rsidR="005F1C27" w:rsidRPr="000C6EBE">
              <w:rPr>
                <w:rFonts w:ascii="Times New Roman" w:eastAsia="Times New Roman" w:hAnsi="Times New Roman"/>
                <w:b/>
                <w:color w:val="auto"/>
                <w:sz w:val="23"/>
                <w:szCs w:val="23"/>
                <w:lang w:val="uk-UA"/>
              </w:rPr>
              <w:t>ро</w:t>
            </w:r>
            <w:r>
              <w:rPr>
                <w:rFonts w:ascii="Times New Roman" w:eastAsia="Times New Roman" w:hAnsi="Times New Roman"/>
                <w:b/>
                <w:color w:val="auto"/>
                <w:sz w:val="23"/>
                <w:szCs w:val="23"/>
                <w:lang w:val="uk-UA"/>
              </w:rPr>
              <w:t>мадян</w:t>
            </w:r>
            <w:r w:rsidR="005F1C27" w:rsidRPr="000C6EBE">
              <w:rPr>
                <w:rFonts w:ascii="Times New Roman" w:eastAsia="Times New Roman" w:hAnsi="Times New Roman"/>
                <w:b/>
                <w:color w:val="auto"/>
                <w:sz w:val="23"/>
                <w:szCs w:val="23"/>
                <w:lang w:val="uk-UA"/>
              </w:rPr>
              <w:t>:</w:t>
            </w:r>
          </w:p>
          <w:p w:rsidR="005F1C27" w:rsidRPr="000C6EBE" w:rsidRDefault="005F1C27" w:rsidP="005F1C27">
            <w:pPr>
              <w:pStyle w:val="TableContents"/>
              <w:spacing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t>Додаткові витрати відсутні.</w:t>
            </w:r>
          </w:p>
          <w:p w:rsidR="005F1C27" w:rsidRPr="000C6EBE" w:rsidRDefault="00C264E5" w:rsidP="00E47BBE">
            <w:pPr>
              <w:pStyle w:val="TableContents"/>
              <w:spacing w:before="120" w:line="240" w:lineRule="auto"/>
              <w:jc w:val="both"/>
              <w:rPr>
                <w:rFonts w:ascii="Times New Roman" w:eastAsia="Times New Roman" w:hAnsi="Times New Roman"/>
                <w:b/>
                <w:color w:val="auto"/>
                <w:sz w:val="23"/>
                <w:szCs w:val="23"/>
                <w:lang w:val="uk-UA"/>
              </w:rPr>
            </w:pPr>
            <w:r>
              <w:rPr>
                <w:rFonts w:ascii="Times New Roman" w:eastAsia="Times New Roman" w:hAnsi="Times New Roman"/>
                <w:b/>
                <w:color w:val="auto"/>
                <w:sz w:val="23"/>
                <w:szCs w:val="23"/>
                <w:lang w:val="uk-UA"/>
              </w:rPr>
              <w:t>Для с</w:t>
            </w:r>
            <w:r w:rsidR="005F1C27" w:rsidRPr="000C6EBE">
              <w:rPr>
                <w:rFonts w:ascii="Times New Roman" w:eastAsia="Times New Roman" w:hAnsi="Times New Roman"/>
                <w:b/>
                <w:color w:val="auto"/>
                <w:sz w:val="23"/>
                <w:szCs w:val="23"/>
                <w:lang w:val="uk-UA"/>
              </w:rPr>
              <w:t>уб’єкт</w:t>
            </w:r>
            <w:r>
              <w:rPr>
                <w:rFonts w:ascii="Times New Roman" w:eastAsia="Times New Roman" w:hAnsi="Times New Roman"/>
                <w:b/>
                <w:color w:val="auto"/>
                <w:sz w:val="23"/>
                <w:szCs w:val="23"/>
                <w:lang w:val="uk-UA"/>
              </w:rPr>
              <w:t xml:space="preserve">ів </w:t>
            </w:r>
            <w:r w:rsidR="005F1C27" w:rsidRPr="000C6EBE">
              <w:rPr>
                <w:rFonts w:ascii="Times New Roman" w:eastAsia="Times New Roman" w:hAnsi="Times New Roman"/>
                <w:b/>
                <w:color w:val="auto"/>
                <w:sz w:val="23"/>
                <w:szCs w:val="23"/>
                <w:lang w:val="uk-UA"/>
              </w:rPr>
              <w:t xml:space="preserve"> господарювання:</w:t>
            </w:r>
          </w:p>
          <w:p w:rsidR="005F1C27" w:rsidRPr="000C6EBE" w:rsidRDefault="005F1C27" w:rsidP="005F1C27">
            <w:pPr>
              <w:pStyle w:val="Textbody"/>
              <w:spacing w:after="0" w:line="240" w:lineRule="auto"/>
              <w:jc w:val="both"/>
              <w:rPr>
                <w:rFonts w:ascii="Times New Roman" w:eastAsia="Times New Roman" w:hAnsi="Times New Roman"/>
                <w:color w:val="auto"/>
                <w:sz w:val="23"/>
                <w:szCs w:val="23"/>
                <w:lang w:val="uk-UA"/>
              </w:rPr>
            </w:pPr>
            <w:r w:rsidRPr="000C6EBE">
              <w:rPr>
                <w:rFonts w:ascii="Times New Roman" w:eastAsia="Times New Roman" w:hAnsi="Times New Roman"/>
                <w:color w:val="auto"/>
                <w:sz w:val="23"/>
                <w:szCs w:val="23"/>
                <w:lang w:val="uk-UA"/>
              </w:rPr>
              <w:lastRenderedPageBreak/>
              <w:t>Витрати, пов’язані із необхідністю звертат</w:t>
            </w:r>
            <w:r w:rsidR="00255E3A">
              <w:rPr>
                <w:rFonts w:ascii="Times New Roman" w:eastAsia="Times New Roman" w:hAnsi="Times New Roman"/>
                <w:color w:val="auto"/>
                <w:sz w:val="23"/>
                <w:szCs w:val="23"/>
                <w:lang w:val="uk-UA"/>
              </w:rPr>
              <w:t>ися для переоформлення ліцензій та сертифікатів про акредитацію ОП.</w:t>
            </w:r>
          </w:p>
          <w:p w:rsidR="005F1C27" w:rsidRPr="000C6EBE" w:rsidRDefault="005F1C27" w:rsidP="0040196B">
            <w:pPr>
              <w:pStyle w:val="Textbody"/>
              <w:spacing w:after="0" w:line="240" w:lineRule="auto"/>
              <w:ind w:left="57"/>
              <w:rPr>
                <w:rFonts w:ascii="Times New Roman" w:hAnsi="Times New Roman" w:cs="Times New Roman"/>
                <w:sz w:val="23"/>
                <w:szCs w:val="23"/>
                <w:lang w:val="uk-UA"/>
              </w:rPr>
            </w:pPr>
          </w:p>
        </w:tc>
        <w:tc>
          <w:tcPr>
            <w:tcW w:w="2597" w:type="dxa"/>
            <w:tcBorders>
              <w:top w:val="single" w:sz="4" w:space="0" w:color="000000"/>
              <w:left w:val="single" w:sz="4" w:space="0" w:color="000000"/>
              <w:bottom w:val="single" w:sz="4" w:space="0" w:color="auto"/>
              <w:right w:val="single" w:sz="4" w:space="0" w:color="000000"/>
            </w:tcBorders>
            <w:shd w:val="clear" w:color="auto" w:fill="auto"/>
            <w:tcMar>
              <w:top w:w="57" w:type="dxa"/>
              <w:left w:w="57" w:type="dxa"/>
              <w:bottom w:w="57" w:type="dxa"/>
              <w:right w:w="57" w:type="dxa"/>
            </w:tcMar>
          </w:tcPr>
          <w:p w:rsidR="007E3289" w:rsidRDefault="000C6EBE" w:rsidP="005F1C27">
            <w:pPr>
              <w:pStyle w:val="TableContents"/>
              <w:spacing w:line="240" w:lineRule="auto"/>
              <w:jc w:val="both"/>
              <w:rPr>
                <w:rFonts w:ascii="Times New Roman" w:eastAsia="Times New Roman" w:hAnsi="Times New Roman" w:cs="Times New Roman"/>
                <w:color w:val="auto"/>
                <w:sz w:val="23"/>
                <w:szCs w:val="23"/>
                <w:lang w:val="uk-UA"/>
              </w:rPr>
            </w:pPr>
            <w:r w:rsidRPr="000C6EBE">
              <w:rPr>
                <w:rFonts w:ascii="Times New Roman" w:hAnsi="Times New Roman" w:cs="Times New Roman"/>
                <w:sz w:val="23"/>
                <w:szCs w:val="23"/>
                <w:lang w:val="uk-UA"/>
              </w:rPr>
              <w:lastRenderedPageBreak/>
              <w:t xml:space="preserve">Оцінка </w:t>
            </w:r>
            <w:proofErr w:type="spellStart"/>
            <w:r w:rsidRPr="000C6EBE">
              <w:rPr>
                <w:rFonts w:ascii="Times New Roman" w:hAnsi="Times New Roman" w:cs="Times New Roman"/>
                <w:sz w:val="23"/>
                <w:szCs w:val="23"/>
                <w:lang w:val="uk-UA"/>
              </w:rPr>
              <w:t>вигод</w:t>
            </w:r>
            <w:proofErr w:type="spellEnd"/>
            <w:r w:rsidRPr="000C6EBE">
              <w:rPr>
                <w:rFonts w:ascii="Times New Roman" w:hAnsi="Times New Roman" w:cs="Times New Roman"/>
                <w:sz w:val="23"/>
                <w:szCs w:val="23"/>
                <w:lang w:val="uk-UA"/>
              </w:rPr>
              <w:t xml:space="preserve"> і витрат реалізації альтернативи 2 відповідає критеріям оцінки ступеня досягнення визначених цілей</w:t>
            </w:r>
            <w:r w:rsidR="007E3289">
              <w:rPr>
                <w:rFonts w:ascii="Times New Roman" w:eastAsia="Times New Roman" w:hAnsi="Times New Roman" w:cs="Times New Roman"/>
                <w:color w:val="auto"/>
                <w:sz w:val="23"/>
                <w:szCs w:val="23"/>
                <w:lang w:val="uk-UA"/>
              </w:rPr>
              <w:t>.</w:t>
            </w:r>
          </w:p>
          <w:p w:rsidR="005F1C27" w:rsidRPr="000C6EBE" w:rsidRDefault="00894135" w:rsidP="00683576">
            <w:pPr>
              <w:pStyle w:val="TableContents"/>
              <w:spacing w:line="240" w:lineRule="auto"/>
              <w:jc w:val="both"/>
              <w:rPr>
                <w:rFonts w:ascii="Times New Roman" w:eastAsia="Times New Roman" w:hAnsi="Times New Roman"/>
                <w:color w:val="auto"/>
                <w:sz w:val="23"/>
                <w:szCs w:val="23"/>
                <w:lang w:val="uk-UA"/>
              </w:rPr>
            </w:pPr>
            <w:r>
              <w:rPr>
                <w:rFonts w:ascii="Times New Roman" w:hAnsi="Times New Roman" w:cs="Times New Roman"/>
                <w:sz w:val="24"/>
                <w:szCs w:val="24"/>
                <w:lang w:val="uk-UA"/>
              </w:rPr>
              <w:t xml:space="preserve">Прийняття </w:t>
            </w:r>
            <w:r w:rsidR="003A447A">
              <w:rPr>
                <w:rFonts w:ascii="Times New Roman" w:hAnsi="Times New Roman" w:cs="Times New Roman"/>
                <w:sz w:val="24"/>
                <w:szCs w:val="24"/>
                <w:lang w:val="uk-UA"/>
              </w:rPr>
              <w:t>цієї альтернативи</w:t>
            </w:r>
            <w:r>
              <w:rPr>
                <w:rFonts w:ascii="Times New Roman" w:hAnsi="Times New Roman" w:cs="Times New Roman"/>
                <w:sz w:val="24"/>
                <w:szCs w:val="24"/>
                <w:lang w:val="uk-UA"/>
              </w:rPr>
              <w:t xml:space="preserve"> с</w:t>
            </w:r>
            <w:r w:rsidRPr="00894135">
              <w:rPr>
                <w:rFonts w:ascii="Times New Roman" w:hAnsi="Times New Roman" w:cs="Times New Roman"/>
                <w:sz w:val="24"/>
                <w:szCs w:val="24"/>
                <w:lang w:val="uk-UA"/>
              </w:rPr>
              <w:t>прия</w:t>
            </w:r>
            <w:r>
              <w:rPr>
                <w:rFonts w:ascii="Times New Roman" w:hAnsi="Times New Roman" w:cs="Times New Roman"/>
                <w:sz w:val="24"/>
                <w:szCs w:val="24"/>
                <w:lang w:val="uk-UA"/>
              </w:rPr>
              <w:t>тиме</w:t>
            </w:r>
            <w:r w:rsidRPr="00894135">
              <w:rPr>
                <w:rFonts w:ascii="Times New Roman" w:hAnsi="Times New Roman" w:cs="Times New Roman"/>
                <w:sz w:val="24"/>
                <w:szCs w:val="24"/>
                <w:lang w:val="uk-UA"/>
              </w:rPr>
              <w:t xml:space="preserve"> європейській інтеграції України</w:t>
            </w:r>
            <w:r w:rsidR="00E97B10">
              <w:rPr>
                <w:rFonts w:ascii="Times New Roman" w:eastAsia="Times New Roman" w:hAnsi="Times New Roman"/>
                <w:color w:val="auto"/>
                <w:sz w:val="23"/>
                <w:szCs w:val="23"/>
                <w:lang w:val="uk-UA"/>
              </w:rPr>
              <w:t>;</w:t>
            </w:r>
            <w:r w:rsidR="005A4339" w:rsidRPr="00894135">
              <w:rPr>
                <w:rFonts w:ascii="Times New Roman" w:eastAsia="Times New Roman" w:hAnsi="Times New Roman"/>
                <w:color w:val="auto"/>
                <w:sz w:val="23"/>
                <w:szCs w:val="23"/>
                <w:lang w:val="uk-UA"/>
              </w:rPr>
              <w:t xml:space="preserve"> </w:t>
            </w:r>
            <w:r w:rsidR="005F1C27" w:rsidRPr="00894135">
              <w:rPr>
                <w:rFonts w:ascii="Times New Roman" w:eastAsia="Times New Roman" w:hAnsi="Times New Roman"/>
                <w:color w:val="auto"/>
                <w:sz w:val="23"/>
                <w:szCs w:val="23"/>
                <w:lang w:val="uk-UA"/>
              </w:rPr>
              <w:t>модернізована</w:t>
            </w:r>
            <w:r w:rsidR="005F1C27" w:rsidRPr="000C6EBE">
              <w:rPr>
                <w:rFonts w:ascii="Times New Roman" w:eastAsia="Times New Roman" w:hAnsi="Times New Roman"/>
                <w:color w:val="auto"/>
                <w:sz w:val="23"/>
                <w:szCs w:val="23"/>
                <w:lang w:val="uk-UA"/>
              </w:rPr>
              <w:t xml:space="preserve"> </w:t>
            </w:r>
            <w:r w:rsidR="00683576">
              <w:rPr>
                <w:rFonts w:ascii="Times New Roman" w:eastAsia="Times New Roman" w:hAnsi="Times New Roman"/>
                <w:color w:val="auto"/>
                <w:sz w:val="23"/>
                <w:szCs w:val="23"/>
                <w:lang w:val="uk-UA"/>
              </w:rPr>
              <w:t>мережа закладів</w:t>
            </w:r>
            <w:r w:rsidR="005F1C27" w:rsidRPr="000C6EBE">
              <w:rPr>
                <w:rFonts w:ascii="Times New Roman" w:eastAsia="Times New Roman" w:hAnsi="Times New Roman"/>
                <w:color w:val="auto"/>
                <w:sz w:val="23"/>
                <w:szCs w:val="23"/>
                <w:lang w:val="uk-UA"/>
              </w:rPr>
              <w:t xml:space="preserve"> вищої освіти</w:t>
            </w:r>
            <w:r w:rsidR="00683576">
              <w:rPr>
                <w:rFonts w:ascii="Times New Roman" w:eastAsia="Times New Roman" w:hAnsi="Times New Roman"/>
                <w:color w:val="auto"/>
                <w:sz w:val="23"/>
                <w:szCs w:val="23"/>
                <w:lang w:val="uk-UA"/>
              </w:rPr>
              <w:t xml:space="preserve"> забезпечить ефективне функціонування системи вищої освіти</w:t>
            </w:r>
            <w:r w:rsidR="009A4752">
              <w:rPr>
                <w:rFonts w:ascii="Times New Roman" w:eastAsia="Times New Roman" w:hAnsi="Times New Roman"/>
                <w:color w:val="auto"/>
                <w:sz w:val="23"/>
                <w:szCs w:val="23"/>
                <w:lang w:val="uk-UA"/>
              </w:rPr>
              <w:t xml:space="preserve">, </w:t>
            </w:r>
            <w:r w:rsidR="00E97B10" w:rsidRPr="00E97B10">
              <w:rPr>
                <w:rFonts w:ascii="Times New Roman" w:hAnsi="Times New Roman" w:cs="Times New Roman"/>
                <w:sz w:val="24"/>
                <w:szCs w:val="24"/>
                <w:lang w:val="uk-UA"/>
              </w:rPr>
              <w:t>підвищ</w:t>
            </w:r>
            <w:r w:rsidR="00E97B10">
              <w:rPr>
                <w:rFonts w:ascii="Times New Roman" w:hAnsi="Times New Roman" w:cs="Times New Roman"/>
                <w:sz w:val="24"/>
                <w:szCs w:val="24"/>
                <w:lang w:val="uk-UA"/>
              </w:rPr>
              <w:t>и</w:t>
            </w:r>
            <w:r w:rsidR="00E97B10" w:rsidRPr="00E97B10">
              <w:rPr>
                <w:rFonts w:ascii="Times New Roman" w:hAnsi="Times New Roman" w:cs="Times New Roman"/>
                <w:sz w:val="24"/>
                <w:szCs w:val="24"/>
                <w:lang w:val="uk-UA"/>
              </w:rPr>
              <w:t xml:space="preserve">ть </w:t>
            </w:r>
            <w:r w:rsidR="00E97B10" w:rsidRPr="00E97B10">
              <w:rPr>
                <w:rFonts w:ascii="Times New Roman" w:hAnsi="Times New Roman" w:cs="Times New Roman"/>
                <w:sz w:val="24"/>
                <w:szCs w:val="24"/>
                <w:lang w:val="uk-UA"/>
              </w:rPr>
              <w:lastRenderedPageBreak/>
              <w:t>концентраці</w:t>
            </w:r>
            <w:r w:rsidR="00E97B10">
              <w:rPr>
                <w:rFonts w:ascii="Times New Roman" w:hAnsi="Times New Roman" w:cs="Times New Roman"/>
                <w:sz w:val="24"/>
                <w:szCs w:val="24"/>
                <w:lang w:val="uk-UA"/>
              </w:rPr>
              <w:t>ю</w:t>
            </w:r>
            <w:r w:rsidR="00E97B10" w:rsidRPr="00E97B10">
              <w:rPr>
                <w:rFonts w:ascii="Times New Roman" w:hAnsi="Times New Roman" w:cs="Times New Roman"/>
                <w:sz w:val="24"/>
                <w:szCs w:val="24"/>
                <w:lang w:val="uk-UA"/>
              </w:rPr>
              <w:t xml:space="preserve"> </w:t>
            </w:r>
            <w:proofErr w:type="spellStart"/>
            <w:r w:rsidR="00E97B10" w:rsidRPr="00E97B10">
              <w:rPr>
                <w:rFonts w:ascii="Times New Roman" w:hAnsi="Times New Roman" w:cs="Times New Roman"/>
                <w:sz w:val="24"/>
                <w:szCs w:val="24"/>
                <w:lang w:val="uk-UA"/>
              </w:rPr>
              <w:t>фінансо</w:t>
            </w:r>
            <w:r w:rsidR="00E97B10">
              <w:rPr>
                <w:rFonts w:ascii="Times New Roman" w:hAnsi="Times New Roman" w:cs="Times New Roman"/>
                <w:sz w:val="24"/>
                <w:szCs w:val="24"/>
                <w:lang w:val="uk-UA"/>
              </w:rPr>
              <w:t>-</w:t>
            </w:r>
            <w:r w:rsidR="00E97B10" w:rsidRPr="00E97B10">
              <w:rPr>
                <w:rFonts w:ascii="Times New Roman" w:hAnsi="Times New Roman" w:cs="Times New Roman"/>
                <w:sz w:val="24"/>
                <w:szCs w:val="24"/>
                <w:lang w:val="uk-UA"/>
              </w:rPr>
              <w:t>вих</w:t>
            </w:r>
            <w:proofErr w:type="spellEnd"/>
            <w:r w:rsidR="00E97B10" w:rsidRPr="00E97B10">
              <w:rPr>
                <w:rFonts w:ascii="Times New Roman" w:hAnsi="Times New Roman" w:cs="Times New Roman"/>
                <w:sz w:val="24"/>
                <w:szCs w:val="24"/>
                <w:lang w:val="uk-UA"/>
              </w:rPr>
              <w:t xml:space="preserve"> ресурсів на якісній підготовці фахівців</w:t>
            </w:r>
            <w:r w:rsidR="00683576">
              <w:rPr>
                <w:rFonts w:ascii="Times New Roman" w:hAnsi="Times New Roman" w:cs="Times New Roman"/>
                <w:sz w:val="24"/>
                <w:szCs w:val="24"/>
                <w:lang w:val="uk-UA"/>
              </w:rPr>
              <w:t xml:space="preserve"> та підвищить якість освіти.</w:t>
            </w:r>
          </w:p>
        </w:tc>
      </w:tr>
      <w:tr w:rsidR="00D73041" w:rsidRPr="00796D25" w:rsidTr="00D73041">
        <w:tc>
          <w:tcPr>
            <w:tcW w:w="1870" w:type="dxa"/>
            <w:tcBorders>
              <w:top w:val="single" w:sz="4" w:space="0" w:color="auto"/>
              <w:bottom w:val="single" w:sz="4" w:space="0" w:color="auto"/>
            </w:tcBorders>
            <w:shd w:val="clear" w:color="auto" w:fill="auto"/>
            <w:tcMar>
              <w:top w:w="57" w:type="dxa"/>
              <w:left w:w="57" w:type="dxa"/>
              <w:bottom w:w="57" w:type="dxa"/>
              <w:right w:w="57" w:type="dxa"/>
            </w:tcMar>
          </w:tcPr>
          <w:p w:rsidR="00D73041" w:rsidRPr="00796D25" w:rsidRDefault="00D73041" w:rsidP="00B33E25">
            <w:pPr>
              <w:pStyle w:val="TableContents"/>
              <w:spacing w:line="240" w:lineRule="auto"/>
              <w:rPr>
                <w:rFonts w:ascii="Times New Roman" w:eastAsia="Times New Roman" w:hAnsi="Times New Roman"/>
                <w:b/>
                <w:color w:val="auto"/>
                <w:sz w:val="24"/>
                <w:lang w:val="uk-UA"/>
              </w:rPr>
            </w:pPr>
          </w:p>
        </w:tc>
        <w:tc>
          <w:tcPr>
            <w:tcW w:w="3905" w:type="dxa"/>
            <w:gridSpan w:val="5"/>
            <w:tcBorders>
              <w:top w:val="single" w:sz="4" w:space="0" w:color="auto"/>
              <w:bottom w:val="single" w:sz="4" w:space="0" w:color="auto"/>
            </w:tcBorders>
            <w:shd w:val="clear" w:color="auto" w:fill="auto"/>
            <w:tcMar>
              <w:top w:w="57" w:type="dxa"/>
              <w:left w:w="57" w:type="dxa"/>
              <w:bottom w:w="57" w:type="dxa"/>
              <w:right w:w="57" w:type="dxa"/>
            </w:tcMar>
          </w:tcPr>
          <w:p w:rsidR="00D73041" w:rsidRPr="00796D25" w:rsidRDefault="00D73041" w:rsidP="00B33E25">
            <w:pPr>
              <w:pStyle w:val="TableContents"/>
              <w:spacing w:line="240" w:lineRule="auto"/>
              <w:rPr>
                <w:rFonts w:ascii="Times New Roman" w:eastAsia="Times New Roman" w:hAnsi="Times New Roman"/>
                <w:b/>
                <w:color w:val="auto"/>
                <w:sz w:val="24"/>
                <w:lang w:val="uk-UA"/>
              </w:rPr>
            </w:pPr>
          </w:p>
        </w:tc>
        <w:tc>
          <w:tcPr>
            <w:tcW w:w="3935" w:type="dxa"/>
            <w:gridSpan w:val="2"/>
            <w:tcBorders>
              <w:top w:val="single" w:sz="4" w:space="0" w:color="auto"/>
              <w:bottom w:val="single" w:sz="4" w:space="0" w:color="auto"/>
            </w:tcBorders>
            <w:shd w:val="clear" w:color="auto" w:fill="auto"/>
            <w:tcMar>
              <w:top w:w="57" w:type="dxa"/>
              <w:left w:w="57" w:type="dxa"/>
              <w:bottom w:w="57" w:type="dxa"/>
              <w:right w:w="57" w:type="dxa"/>
            </w:tcMar>
          </w:tcPr>
          <w:p w:rsidR="00D73041" w:rsidRPr="00796D25" w:rsidRDefault="00D73041" w:rsidP="00B33E25">
            <w:pPr>
              <w:pStyle w:val="TableContents"/>
              <w:spacing w:line="240" w:lineRule="auto"/>
              <w:rPr>
                <w:rFonts w:ascii="Times New Roman" w:eastAsia="Times New Roman" w:hAnsi="Times New Roman"/>
                <w:b/>
                <w:color w:val="auto"/>
                <w:sz w:val="24"/>
                <w:lang w:val="uk-UA"/>
              </w:rPr>
            </w:pPr>
          </w:p>
        </w:tc>
      </w:tr>
      <w:tr w:rsidR="00B33E25" w:rsidRPr="00796D25" w:rsidTr="00D73041">
        <w:tc>
          <w:tcPr>
            <w:tcW w:w="1870" w:type="dxa"/>
            <w:tcBorders>
              <w:top w:val="single" w:sz="4" w:space="0" w:color="auto"/>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Рейтинг</w:t>
            </w:r>
          </w:p>
        </w:tc>
        <w:tc>
          <w:tcPr>
            <w:tcW w:w="3905" w:type="dxa"/>
            <w:gridSpan w:val="5"/>
            <w:tcBorders>
              <w:top w:val="single" w:sz="4" w:space="0" w:color="auto"/>
              <w:left w:val="single" w:sz="4" w:space="0" w:color="000000"/>
              <w:bottom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Аргументи щодо переваги обраної альтернативи/причини відмови від альтернативи</w:t>
            </w:r>
          </w:p>
        </w:tc>
        <w:tc>
          <w:tcPr>
            <w:tcW w:w="3935" w:type="dxa"/>
            <w:gridSpan w:val="2"/>
            <w:tcBorders>
              <w:top w:val="single" w:sz="4" w:space="0" w:color="auto"/>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B33E25" w:rsidRPr="00796D25" w:rsidRDefault="00B33E25" w:rsidP="00B33E25">
            <w:pPr>
              <w:pStyle w:val="TableContents"/>
              <w:spacing w:line="240" w:lineRule="auto"/>
              <w:rPr>
                <w:rFonts w:ascii="Times New Roman" w:eastAsia="Times New Roman" w:hAnsi="Times New Roman"/>
                <w:b/>
                <w:color w:val="auto"/>
                <w:sz w:val="24"/>
                <w:lang w:val="uk-UA"/>
              </w:rPr>
            </w:pPr>
            <w:r w:rsidRPr="00796D25">
              <w:rPr>
                <w:rFonts w:ascii="Times New Roman" w:eastAsia="Times New Roman" w:hAnsi="Times New Roman"/>
                <w:b/>
                <w:color w:val="auto"/>
                <w:sz w:val="24"/>
                <w:lang w:val="uk-UA"/>
              </w:rPr>
              <w:t>Оцінка ризику зовнішніх чинників на дію запропонованого регуляторного акта</w:t>
            </w:r>
          </w:p>
        </w:tc>
      </w:tr>
      <w:tr w:rsidR="003D17E4" w:rsidRPr="00796D25" w:rsidTr="00D73041">
        <w:tc>
          <w:tcPr>
            <w:tcW w:w="1870" w:type="dxa"/>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1</w:t>
            </w:r>
          </w:p>
        </w:tc>
        <w:tc>
          <w:tcPr>
            <w:tcW w:w="3905" w:type="dxa"/>
            <w:gridSpan w:val="5"/>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7E3289" w:rsidP="007E3289">
            <w:pPr>
              <w:pStyle w:val="TableContents"/>
              <w:spacing w:line="240" w:lineRule="auto"/>
              <w:rPr>
                <w:rFonts w:ascii="Times New Roman" w:eastAsia="Times New Roman" w:hAnsi="Times New Roman"/>
                <w:color w:val="auto"/>
                <w:sz w:val="24"/>
                <w:lang w:val="uk-UA"/>
              </w:rPr>
            </w:pPr>
            <w:r>
              <w:rPr>
                <w:rFonts w:ascii="Times New Roman" w:eastAsia="Times New Roman" w:hAnsi="Times New Roman"/>
                <w:color w:val="auto"/>
                <w:sz w:val="24"/>
                <w:lang w:val="uk-UA"/>
              </w:rPr>
              <w:t>У альтернативи</w:t>
            </w:r>
            <w:r w:rsidR="003D17E4">
              <w:rPr>
                <w:rFonts w:ascii="Times New Roman" w:eastAsia="Times New Roman" w:hAnsi="Times New Roman"/>
                <w:color w:val="auto"/>
                <w:sz w:val="24"/>
                <w:lang w:val="uk-UA"/>
              </w:rPr>
              <w:t xml:space="preserve"> відсутні</w:t>
            </w:r>
            <w:r>
              <w:rPr>
                <w:rFonts w:ascii="Times New Roman" w:eastAsia="Times New Roman" w:hAnsi="Times New Roman"/>
                <w:color w:val="auto"/>
                <w:sz w:val="24"/>
                <w:lang w:val="uk-UA"/>
              </w:rPr>
              <w:t xml:space="preserve"> пер</w:t>
            </w:r>
            <w:r w:rsidR="00EB3E43">
              <w:rPr>
                <w:rFonts w:ascii="Times New Roman" w:eastAsia="Times New Roman" w:hAnsi="Times New Roman"/>
                <w:color w:val="auto"/>
                <w:sz w:val="24"/>
                <w:lang w:val="uk-UA"/>
              </w:rPr>
              <w:t>е</w:t>
            </w:r>
            <w:r>
              <w:rPr>
                <w:rFonts w:ascii="Times New Roman" w:eastAsia="Times New Roman" w:hAnsi="Times New Roman"/>
                <w:color w:val="auto"/>
                <w:sz w:val="24"/>
                <w:lang w:val="uk-UA"/>
              </w:rPr>
              <w:t>ваги</w:t>
            </w:r>
            <w:r w:rsidR="003D17E4">
              <w:rPr>
                <w:rFonts w:ascii="Times New Roman" w:eastAsia="Times New Roman" w:hAnsi="Times New Roman"/>
                <w:color w:val="auto"/>
                <w:sz w:val="24"/>
                <w:lang w:val="uk-UA"/>
              </w:rPr>
              <w:t>. Поточний стан с</w:t>
            </w:r>
            <w:r>
              <w:rPr>
                <w:rFonts w:ascii="Times New Roman" w:eastAsia="Times New Roman" w:hAnsi="Times New Roman"/>
                <w:color w:val="auto"/>
                <w:sz w:val="24"/>
                <w:lang w:val="uk-UA"/>
              </w:rPr>
              <w:t>прав консервує описані проблеми, найнижчий фінансовий результат.</w:t>
            </w:r>
          </w:p>
        </w:tc>
        <w:tc>
          <w:tcPr>
            <w:tcW w:w="3935"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3D17E4">
              <w:rPr>
                <w:rFonts w:ascii="Times New Roman" w:hAnsi="Times New Roman" w:cs="Times New Roman"/>
                <w:sz w:val="24"/>
                <w:szCs w:val="24"/>
                <w:lang w:val="uk-UA"/>
              </w:rPr>
              <w:t xml:space="preserve">Рекомендації Європейської Комісії та загалом процес євроінтеграції є зовнішнім чинником, що спричиняє потребу у зміні поточного стану справ. </w:t>
            </w:r>
          </w:p>
        </w:tc>
      </w:tr>
      <w:tr w:rsidR="003D17E4" w:rsidRPr="00796D25" w:rsidTr="00D73041">
        <w:tc>
          <w:tcPr>
            <w:tcW w:w="1870" w:type="dxa"/>
            <w:tcBorders>
              <w:left w:val="single" w:sz="4" w:space="0" w:color="000000"/>
              <w:bottom w:val="single" w:sz="4" w:space="0" w:color="000000"/>
            </w:tcBorders>
            <w:shd w:val="clear" w:color="auto" w:fill="auto"/>
            <w:tcMar>
              <w:top w:w="57" w:type="dxa"/>
              <w:left w:w="57" w:type="dxa"/>
              <w:bottom w:w="57" w:type="dxa"/>
              <w:right w:w="57" w:type="dxa"/>
            </w:tcMar>
          </w:tcPr>
          <w:p w:rsidR="003D17E4" w:rsidRPr="00796D25" w:rsidRDefault="003D17E4" w:rsidP="003D17E4">
            <w:pPr>
              <w:pStyle w:val="TableContents"/>
              <w:spacing w:line="240" w:lineRule="auto"/>
              <w:rPr>
                <w:rFonts w:ascii="Times New Roman" w:eastAsia="Times New Roman" w:hAnsi="Times New Roman"/>
                <w:color w:val="auto"/>
                <w:sz w:val="24"/>
                <w:lang w:val="uk-UA"/>
              </w:rPr>
            </w:pPr>
            <w:r w:rsidRPr="00796D25">
              <w:rPr>
                <w:rFonts w:ascii="Times New Roman" w:eastAsia="Times New Roman" w:hAnsi="Times New Roman"/>
                <w:color w:val="auto"/>
                <w:sz w:val="24"/>
                <w:lang w:val="uk-UA"/>
              </w:rPr>
              <w:t>Альтернатива 2</w:t>
            </w:r>
          </w:p>
        </w:tc>
        <w:tc>
          <w:tcPr>
            <w:tcW w:w="3905" w:type="dxa"/>
            <w:gridSpan w:val="5"/>
            <w:tcBorders>
              <w:left w:val="single" w:sz="4" w:space="0" w:color="000000"/>
              <w:bottom w:val="single" w:sz="4" w:space="0" w:color="000000"/>
            </w:tcBorders>
            <w:shd w:val="clear" w:color="auto" w:fill="auto"/>
            <w:tcMar>
              <w:top w:w="57" w:type="dxa"/>
              <w:left w:w="57" w:type="dxa"/>
              <w:bottom w:w="57" w:type="dxa"/>
              <w:right w:w="57" w:type="dxa"/>
            </w:tcMar>
          </w:tcPr>
          <w:p w:rsidR="003D17E4" w:rsidRPr="003D17E4" w:rsidRDefault="007E3289" w:rsidP="003D17E4">
            <w:pPr>
              <w:pStyle w:val="TableContents"/>
              <w:spacing w:line="240" w:lineRule="auto"/>
              <w:jc w:val="both"/>
              <w:rPr>
                <w:rFonts w:ascii="Times New Roman" w:hAnsi="Times New Roman" w:cs="Times New Roman"/>
                <w:sz w:val="24"/>
                <w:szCs w:val="24"/>
                <w:lang w:val="uk-UA"/>
              </w:rPr>
            </w:pPr>
            <w:r>
              <w:rPr>
                <w:rFonts w:ascii="Times New Roman" w:hAnsi="Times New Roman"/>
                <w:color w:val="auto"/>
                <w:sz w:val="24"/>
                <w:szCs w:val="24"/>
                <w:lang w:val="uk-UA"/>
              </w:rPr>
              <w:t xml:space="preserve">Прийняття </w:t>
            </w:r>
            <w:proofErr w:type="spellStart"/>
            <w:r>
              <w:rPr>
                <w:rFonts w:ascii="Times New Roman" w:hAnsi="Times New Roman"/>
                <w:color w:val="auto"/>
                <w:sz w:val="24"/>
                <w:szCs w:val="24"/>
                <w:lang w:val="uk-UA"/>
              </w:rPr>
              <w:t>проєкту</w:t>
            </w:r>
            <w:proofErr w:type="spellEnd"/>
            <w:r>
              <w:rPr>
                <w:rFonts w:ascii="Times New Roman" w:hAnsi="Times New Roman"/>
                <w:color w:val="auto"/>
                <w:sz w:val="24"/>
                <w:szCs w:val="24"/>
                <w:lang w:val="uk-UA"/>
              </w:rPr>
              <w:t xml:space="preserve"> </w:t>
            </w:r>
            <w:proofErr w:type="spellStart"/>
            <w:r>
              <w:rPr>
                <w:rFonts w:ascii="Times New Roman" w:hAnsi="Times New Roman"/>
                <w:color w:val="auto"/>
                <w:sz w:val="24"/>
                <w:szCs w:val="24"/>
                <w:lang w:val="uk-UA"/>
              </w:rPr>
              <w:t>акта</w:t>
            </w:r>
            <w:proofErr w:type="spellEnd"/>
            <w:r>
              <w:rPr>
                <w:rFonts w:ascii="Times New Roman" w:hAnsi="Times New Roman"/>
                <w:color w:val="auto"/>
                <w:sz w:val="24"/>
                <w:szCs w:val="24"/>
                <w:lang w:val="uk-UA"/>
              </w:rPr>
              <w:t xml:space="preserve"> забезпечить досягнення поставлених цілей та є </w:t>
            </w:r>
            <w:r w:rsidR="003D17E4">
              <w:rPr>
                <w:rFonts w:ascii="Times New Roman" w:hAnsi="Times New Roman"/>
                <w:color w:val="auto"/>
                <w:sz w:val="24"/>
                <w:szCs w:val="24"/>
                <w:lang w:val="uk-UA"/>
              </w:rPr>
              <w:t xml:space="preserve"> </w:t>
            </w:r>
            <w:r w:rsidR="003D17E4" w:rsidRPr="003D17E4">
              <w:rPr>
                <w:rFonts w:ascii="Times New Roman" w:hAnsi="Times New Roman" w:cs="Times New Roman"/>
                <w:sz w:val="24"/>
                <w:szCs w:val="24"/>
                <w:lang w:val="uk-UA"/>
              </w:rPr>
              <w:lastRenderedPageBreak/>
              <w:t>найбільш раціональним варіантом врахування інтересів всіх основних груп, на яких проблема справляє вплив.</w:t>
            </w:r>
          </w:p>
          <w:p w:rsidR="003D17E4" w:rsidRPr="00796D25" w:rsidRDefault="003D17E4" w:rsidP="003D17E4">
            <w:pPr>
              <w:pStyle w:val="TableContents"/>
              <w:spacing w:line="240" w:lineRule="auto"/>
              <w:rPr>
                <w:rFonts w:ascii="Times New Roman" w:eastAsia="Times New Roman" w:hAnsi="Times New Roman"/>
                <w:color w:val="auto"/>
                <w:sz w:val="24"/>
                <w:lang w:val="uk-UA"/>
              </w:rPr>
            </w:pPr>
          </w:p>
        </w:tc>
        <w:tc>
          <w:tcPr>
            <w:tcW w:w="3935" w:type="dxa"/>
            <w:gridSpan w:val="2"/>
            <w:tcBorders>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rsidR="003D17E4" w:rsidRPr="003D17E4" w:rsidRDefault="003D17E4" w:rsidP="003D17E4">
            <w:pPr>
              <w:pStyle w:val="TableContents"/>
              <w:spacing w:line="240" w:lineRule="auto"/>
              <w:rPr>
                <w:rFonts w:ascii="Times New Roman" w:eastAsia="Times New Roman" w:hAnsi="Times New Roman"/>
                <w:color w:val="auto"/>
                <w:sz w:val="23"/>
                <w:szCs w:val="23"/>
                <w:lang w:val="uk-UA"/>
              </w:rPr>
            </w:pPr>
            <w:r w:rsidRPr="003D17E4">
              <w:rPr>
                <w:rFonts w:ascii="Times New Roman" w:eastAsia="Times New Roman" w:hAnsi="Times New Roman"/>
                <w:color w:val="auto"/>
                <w:sz w:val="23"/>
                <w:szCs w:val="23"/>
                <w:lang w:val="uk-UA"/>
              </w:rPr>
              <w:lastRenderedPageBreak/>
              <w:t xml:space="preserve">Представники зацікавлених сторін, експерти процесу беруть активну </w:t>
            </w:r>
            <w:r w:rsidRPr="003D17E4">
              <w:rPr>
                <w:rFonts w:ascii="Times New Roman" w:eastAsia="Times New Roman" w:hAnsi="Times New Roman"/>
                <w:color w:val="auto"/>
                <w:sz w:val="23"/>
                <w:szCs w:val="23"/>
                <w:lang w:val="uk-UA"/>
              </w:rPr>
              <w:lastRenderedPageBreak/>
              <w:t>участь у розробці проєкту, тому у найближчому часі не передбачається поява необхідності внесення суттєвих змін.</w:t>
            </w:r>
          </w:p>
        </w:tc>
      </w:tr>
    </w:tbl>
    <w:p w:rsidR="00683576" w:rsidRDefault="00683576" w:rsidP="00CB703A">
      <w:pPr>
        <w:spacing w:after="120" w:line="240" w:lineRule="auto"/>
        <w:ind w:firstLine="709"/>
        <w:jc w:val="both"/>
        <w:rPr>
          <w:rFonts w:ascii="Times New Roman" w:hAnsi="Times New Roman" w:cs="Times New Roman"/>
          <w:sz w:val="28"/>
          <w:szCs w:val="28"/>
        </w:rPr>
      </w:pPr>
    </w:p>
    <w:p w:rsidR="003D17E4" w:rsidRDefault="003D17E4" w:rsidP="00CB703A">
      <w:pPr>
        <w:spacing w:after="120" w:line="240" w:lineRule="auto"/>
        <w:ind w:firstLine="709"/>
        <w:jc w:val="both"/>
        <w:rPr>
          <w:rFonts w:ascii="Times New Roman" w:hAnsi="Times New Roman" w:cs="Times New Roman"/>
          <w:sz w:val="28"/>
          <w:szCs w:val="28"/>
        </w:rPr>
      </w:pPr>
      <w:r w:rsidRPr="003D17E4">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w:t>
      </w:r>
    </w:p>
    <w:p w:rsidR="009C0407" w:rsidRDefault="009C0407" w:rsidP="00683576">
      <w:pPr>
        <w:spacing w:before="240" w:after="0"/>
        <w:ind w:hanging="142"/>
        <w:jc w:val="center"/>
        <w:rPr>
          <w:rFonts w:ascii="Times New Roman" w:hAnsi="Times New Roman" w:cs="Times New Roman"/>
          <w:b/>
          <w:sz w:val="28"/>
          <w:szCs w:val="28"/>
        </w:rPr>
      </w:pPr>
      <w:r>
        <w:rPr>
          <w:rFonts w:ascii="Times New Roman" w:hAnsi="Times New Roman" w:cs="Times New Roman"/>
          <w:b/>
          <w:sz w:val="28"/>
          <w:szCs w:val="28"/>
          <w:lang w:val="en-US"/>
        </w:rPr>
        <w:t>V</w:t>
      </w:r>
      <w:r w:rsidRPr="00E35251">
        <w:rPr>
          <w:rFonts w:ascii="Times New Roman" w:hAnsi="Times New Roman" w:cs="Times New Roman"/>
          <w:b/>
          <w:sz w:val="28"/>
          <w:szCs w:val="28"/>
          <w:lang w:val="ru-RU"/>
        </w:rPr>
        <w:t>.</w:t>
      </w:r>
      <w:r>
        <w:rPr>
          <w:rFonts w:ascii="Times New Roman" w:hAnsi="Times New Roman" w:cs="Times New Roman"/>
          <w:b/>
          <w:sz w:val="28"/>
          <w:szCs w:val="28"/>
        </w:rPr>
        <w:t xml:space="preserve"> Механізми та заходи, які забезпечать розв’язання визначеної проблеми</w:t>
      </w:r>
    </w:p>
    <w:p w:rsidR="00B33E25" w:rsidRPr="00796D25" w:rsidRDefault="00B33E25" w:rsidP="00683576">
      <w:pPr>
        <w:pStyle w:val="1"/>
        <w:spacing w:after="12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Запропоновані механізми регуляторного акта, за допомогою яких можна розв’язати проблему:</w:t>
      </w:r>
    </w:p>
    <w:p w:rsidR="00B33E25" w:rsidRPr="00796D25" w:rsidRDefault="00B33E25" w:rsidP="00CB703A">
      <w:pPr>
        <w:pStyle w:val="1"/>
        <w:numPr>
          <w:ilvl w:val="0"/>
          <w:numId w:val="2"/>
        </w:numPr>
        <w:spacing w:line="240" w:lineRule="auto"/>
        <w:ind w:left="714" w:hanging="35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погодження проєкту </w:t>
      </w:r>
      <w:r w:rsidRPr="00796D25">
        <w:rPr>
          <w:rFonts w:ascii="Times New Roman" w:eastAsia="Times New Roman" w:hAnsi="Times New Roman" w:cs="Times New Roman"/>
          <w:sz w:val="28"/>
          <w:szCs w:val="28"/>
          <w:lang w:val="uk-UA" w:eastAsia="uk-UA"/>
        </w:rPr>
        <w:t>Закону України «Про внесення змін до деяких законів України (щодо створення передумов для модернізації мережі закладів вищої освіти)»</w:t>
      </w:r>
      <w:r w:rsidRPr="00796D25">
        <w:rPr>
          <w:rFonts w:ascii="Times New Roman" w:eastAsia="Times New Roman" w:hAnsi="Times New Roman"/>
          <w:color w:val="auto"/>
          <w:sz w:val="28"/>
          <w:lang w:val="uk-UA"/>
        </w:rPr>
        <w:t>;</w:t>
      </w:r>
    </w:p>
    <w:p w:rsidR="00B33E25" w:rsidRPr="00796D25" w:rsidRDefault="00B33E25" w:rsidP="00CB703A">
      <w:pPr>
        <w:pStyle w:val="1"/>
        <w:numPr>
          <w:ilvl w:val="0"/>
          <w:numId w:val="2"/>
        </w:numPr>
        <w:spacing w:line="240" w:lineRule="auto"/>
        <w:ind w:left="714" w:hanging="35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заклади вищої та фахової передвищої освіти з залученням усіх </w:t>
      </w:r>
      <w:proofErr w:type="spellStart"/>
      <w:r w:rsidRPr="00796D25">
        <w:rPr>
          <w:rFonts w:ascii="Times New Roman" w:eastAsia="Times New Roman" w:hAnsi="Times New Roman"/>
          <w:color w:val="auto"/>
          <w:sz w:val="28"/>
          <w:lang w:val="uk-UA"/>
        </w:rPr>
        <w:t>стейкхолдерів</w:t>
      </w:r>
      <w:proofErr w:type="spellEnd"/>
      <w:r w:rsidRPr="00796D25">
        <w:rPr>
          <w:rFonts w:ascii="Times New Roman" w:eastAsia="Times New Roman" w:hAnsi="Times New Roman"/>
          <w:color w:val="auto"/>
          <w:sz w:val="28"/>
          <w:lang w:val="uk-UA"/>
        </w:rPr>
        <w:t xml:space="preserve">, в тому числі місцевими органами самоврядування приймають рішення щодо подальшого функціонування та варіантів реорганізації; </w:t>
      </w:r>
    </w:p>
    <w:p w:rsidR="00B33E25" w:rsidRPr="00796D25" w:rsidRDefault="00B33E25" w:rsidP="00CB703A">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заклад вищої освіти:</w:t>
      </w:r>
    </w:p>
    <w:p w:rsidR="00B33E25" w:rsidRPr="00796D25" w:rsidRDefault="00B33E25" w:rsidP="00683576">
      <w:pPr>
        <w:pStyle w:val="1"/>
        <w:spacing w:before="80" w:after="80"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реорганізацію або припинення діяльності ТВСП, реорганізує ТВСП та в разі подальшого функціонування у статусі юридичної особи (ЗВО або ЗФПО) переоформлює ліцензії на освітню діяльність</w:t>
      </w:r>
      <w:r w:rsidR="00CB703A">
        <w:rPr>
          <w:rFonts w:ascii="Times New Roman" w:eastAsia="Times New Roman" w:hAnsi="Times New Roman"/>
          <w:color w:val="auto"/>
          <w:sz w:val="28"/>
          <w:lang w:val="uk-UA"/>
        </w:rPr>
        <w:t xml:space="preserve"> та сертифікати про акредитацію</w:t>
      </w:r>
      <w:r w:rsidRPr="00796D25">
        <w:rPr>
          <w:rFonts w:ascii="Times New Roman" w:eastAsia="Times New Roman" w:hAnsi="Times New Roman"/>
          <w:color w:val="auto"/>
          <w:sz w:val="28"/>
          <w:lang w:val="uk-UA"/>
        </w:rPr>
        <w:t>;</w:t>
      </w:r>
    </w:p>
    <w:p w:rsidR="00B33E25" w:rsidRPr="00796D25" w:rsidRDefault="00B33E25" w:rsidP="00CB703A">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реорганізацію або припинення діяльності коледжу як ЗВО, реорганізує та в разі подальшого функціонування у статусі ЗФПО переоформлює ліцензії на освітню діяльність</w:t>
      </w:r>
      <w:r w:rsidR="00CB703A">
        <w:rPr>
          <w:rFonts w:ascii="Times New Roman" w:eastAsia="Times New Roman" w:hAnsi="Times New Roman"/>
          <w:color w:val="auto"/>
          <w:sz w:val="28"/>
          <w:lang w:val="uk-UA"/>
        </w:rPr>
        <w:t xml:space="preserve"> та сертифікати про акредитацію</w:t>
      </w:r>
      <w:r w:rsidRPr="00796D25">
        <w:rPr>
          <w:rFonts w:ascii="Times New Roman" w:eastAsia="Times New Roman" w:hAnsi="Times New Roman"/>
          <w:color w:val="auto"/>
          <w:sz w:val="28"/>
          <w:lang w:val="uk-UA"/>
        </w:rPr>
        <w:t>;</w:t>
      </w:r>
    </w:p>
    <w:p w:rsidR="00B33E25" w:rsidRPr="00796D25" w:rsidRDefault="00B33E25" w:rsidP="00683576">
      <w:pPr>
        <w:pStyle w:val="1"/>
        <w:spacing w:before="80" w:after="80"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про припинення діяльності фахового коледжу або виокремлення з структури ЗВО в самостійну юридичну особу із наступним переоформленням ліцензій на освітню діяльність</w:t>
      </w:r>
      <w:r w:rsidR="00CB703A">
        <w:rPr>
          <w:rFonts w:ascii="Times New Roman" w:eastAsia="Times New Roman" w:hAnsi="Times New Roman"/>
          <w:color w:val="auto"/>
          <w:sz w:val="28"/>
          <w:lang w:val="uk-UA"/>
        </w:rPr>
        <w:t xml:space="preserve"> та сертифікатів про акредитацію</w:t>
      </w:r>
      <w:r w:rsidRPr="00796D25">
        <w:rPr>
          <w:rFonts w:ascii="Times New Roman" w:eastAsia="Times New Roman" w:hAnsi="Times New Roman"/>
          <w:color w:val="auto"/>
          <w:sz w:val="28"/>
          <w:lang w:val="uk-UA"/>
        </w:rPr>
        <w:t>, та переходить у комунальну власність;</w:t>
      </w:r>
    </w:p>
    <w:p w:rsidR="00B33E25" w:rsidRDefault="00B33E25" w:rsidP="00CB703A">
      <w:pPr>
        <w:pStyle w:val="1"/>
        <w:spacing w:line="240" w:lineRule="auto"/>
        <w:ind w:left="720"/>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проводить інформаційні, організаційні заходи;</w:t>
      </w:r>
    </w:p>
    <w:p w:rsidR="00C84256" w:rsidRPr="00796D25" w:rsidRDefault="00C84256" w:rsidP="00CB703A">
      <w:pPr>
        <w:pStyle w:val="1"/>
        <w:numPr>
          <w:ilvl w:val="0"/>
          <w:numId w:val="2"/>
        </w:numPr>
        <w:spacing w:line="240" w:lineRule="auto"/>
        <w:ind w:left="714" w:hanging="35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приймає рішення щодо ліцензування та відкриття магістерського рівня здобуття освіти за спеціальностями, за якими ЗВО або наукова установа веде підготовку докторів філософії або реалізує спільно з іншим ЗВО освітньо-наукову програму третього рівня здобуття вищої освіти.</w:t>
      </w:r>
    </w:p>
    <w:p w:rsidR="00B33E25" w:rsidRPr="00796D25" w:rsidRDefault="00B33E25" w:rsidP="00683576">
      <w:pPr>
        <w:pStyle w:val="1"/>
        <w:spacing w:before="240" w:after="120"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Заходи, які мають здійснити органи влади для впровадження цього регуляторного акта:</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lastRenderedPageBreak/>
        <w:t>забезпечити інформування всіх заінтересованих сторін системи вищої та фахової передвищої освіти про зміст Закону України;</w:t>
      </w:r>
    </w:p>
    <w:p w:rsidR="00B33E25" w:rsidRPr="00796D25" w:rsidRDefault="00B33E25" w:rsidP="00CB703A">
      <w:pPr>
        <w:pStyle w:val="1"/>
        <w:numPr>
          <w:ilvl w:val="0"/>
          <w:numId w:val="2"/>
        </w:numPr>
        <w:spacing w:line="240" w:lineRule="auto"/>
        <w:ind w:left="714" w:hanging="357"/>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Міністерство освіти і науки України шляхом оприлюднення на офіційних сайтах додаткової інформації, а також шляхом проведення нарад та семінарів доводить до них інформацію та рекомендації із застосування та запровадження нормативно-правових актів у сфері вищої та фахової передвищої освіти;</w:t>
      </w:r>
    </w:p>
    <w:p w:rsidR="00B33E25" w:rsidRPr="00796D25" w:rsidRDefault="00B33E25" w:rsidP="00B33E25">
      <w:pPr>
        <w:pStyle w:val="1"/>
        <w:numPr>
          <w:ilvl w:val="0"/>
          <w:numId w:val="2"/>
        </w:numPr>
        <w:suppressAutoHyphens w:val="0"/>
        <w:spacing w:line="240" w:lineRule="auto"/>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забезпечує переоформлення ліцензій на провадження освітньої діяльності;</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E90245">
        <w:rPr>
          <w:rFonts w:ascii="Times New Roman" w:hAnsi="Times New Roman" w:cs="Times New Roman"/>
          <w:color w:val="000000" w:themeColor="text1"/>
          <w:sz w:val="28"/>
          <w:lang w:val="uk-UA"/>
        </w:rPr>
        <w:t xml:space="preserve">забезпечує процес консолідації управління цивільними закладами вищої освіти державної форми власності (крім </w:t>
      </w:r>
      <w:r>
        <w:rPr>
          <w:rFonts w:ascii="Times New Roman" w:hAnsi="Times New Roman" w:cs="Times New Roman"/>
          <w:color w:val="000000" w:themeColor="text1"/>
          <w:sz w:val="28"/>
          <w:lang w:val="uk-UA"/>
        </w:rPr>
        <w:t xml:space="preserve">управління медичними закладами вищої освіти) </w:t>
      </w:r>
      <w:r w:rsidRPr="00E90245">
        <w:rPr>
          <w:rFonts w:ascii="Times New Roman" w:hAnsi="Times New Roman" w:cs="Times New Roman"/>
          <w:color w:val="000000" w:themeColor="text1"/>
          <w:sz w:val="28"/>
          <w:lang w:val="uk-UA"/>
        </w:rPr>
        <w:t>шляхом віднесення їх до сфери управління одного державного органу</w:t>
      </w:r>
      <w:r w:rsidRPr="00796D25">
        <w:rPr>
          <w:rFonts w:ascii="Times New Roman" w:eastAsia="Times New Roman" w:hAnsi="Times New Roman"/>
          <w:color w:val="auto"/>
          <w:sz w:val="28"/>
          <w:lang w:val="uk-UA"/>
        </w:rPr>
        <w:t>;</w:t>
      </w:r>
    </w:p>
    <w:p w:rsidR="00B33E25" w:rsidRPr="00796D25" w:rsidRDefault="00B33E25" w:rsidP="00B33E25">
      <w:pPr>
        <w:pStyle w:val="1"/>
        <w:numPr>
          <w:ilvl w:val="0"/>
          <w:numId w:val="2"/>
        </w:numPr>
        <w:spacing w:line="240" w:lineRule="auto"/>
        <w:jc w:val="both"/>
        <w:rPr>
          <w:rFonts w:ascii="Times New Roman" w:eastAsia="Times New Roman" w:hAnsi="Times New Roman"/>
          <w:color w:val="auto"/>
          <w:sz w:val="28"/>
          <w:lang w:val="uk-UA"/>
        </w:rPr>
      </w:pPr>
      <w:r w:rsidRPr="00796D25">
        <w:rPr>
          <w:rFonts w:ascii="Times New Roman" w:hAnsi="Times New Roman" w:cs="Times New Roman"/>
          <w:color w:val="000000" w:themeColor="text1"/>
          <w:sz w:val="28"/>
          <w:lang w:val="uk-UA"/>
        </w:rPr>
        <w:t>вносить зміни до паспортів відповідних бюджетних програм</w:t>
      </w:r>
      <w:r w:rsidRPr="00796D25">
        <w:rPr>
          <w:rFonts w:ascii="Times New Roman" w:eastAsia="Times New Roman" w:hAnsi="Times New Roman"/>
          <w:color w:val="auto"/>
          <w:sz w:val="28"/>
          <w:lang w:val="uk-UA"/>
        </w:rPr>
        <w:t>.</w:t>
      </w:r>
    </w:p>
    <w:p w:rsidR="009C0407" w:rsidRDefault="009C0407" w:rsidP="00683576">
      <w:pPr>
        <w:spacing w:before="160"/>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3844A0" w:rsidRDefault="003844A0" w:rsidP="00E67627">
      <w:pPr>
        <w:spacing w:after="0"/>
        <w:ind w:firstLine="709"/>
        <w:jc w:val="both"/>
      </w:pPr>
      <w:r w:rsidRPr="003844A0">
        <w:rPr>
          <w:rFonts w:ascii="Times New Roman" w:hAnsi="Times New Roman" w:cs="Times New Roman"/>
          <w:sz w:val="28"/>
          <w:szCs w:val="28"/>
        </w:rPr>
        <w:t>Реалізація проєкту регуляторного акта не потребує додаткових витрат із державного бюджету України, тому розрахунок бюджетних витрат не здійснювався.</w:t>
      </w:r>
      <w:r>
        <w:t xml:space="preserve"> </w:t>
      </w:r>
    </w:p>
    <w:p w:rsidR="00064661" w:rsidRDefault="00064661" w:rsidP="00E67627">
      <w:pPr>
        <w:spacing w:after="0"/>
        <w:ind w:firstLine="709"/>
        <w:jc w:val="both"/>
        <w:rPr>
          <w:rFonts w:ascii="Times New Roman" w:hAnsi="Times New Roman" w:cs="Times New Roman"/>
          <w:sz w:val="28"/>
          <w:szCs w:val="28"/>
        </w:rPr>
      </w:pPr>
      <w:r w:rsidRPr="00064661">
        <w:rPr>
          <w:rFonts w:ascii="Times New Roman" w:hAnsi="Times New Roman" w:cs="Times New Roman"/>
          <w:sz w:val="28"/>
          <w:szCs w:val="28"/>
        </w:rPr>
        <w:t xml:space="preserve">Розрахунок витрат суб’єктів малого підприємництва (М-Тест) не проводився, оскільки питома вага суб’єктів малого бізнесу (малих та мікропідприємств разом) у загальній кількості суб’єктів господарювання, на яких поширюється регулювання, не перевищує 10 відсотків. </w:t>
      </w:r>
    </w:p>
    <w:p w:rsidR="00B33E25" w:rsidRPr="00796D25" w:rsidRDefault="003844A0" w:rsidP="00E67627">
      <w:pPr>
        <w:spacing w:after="0"/>
        <w:ind w:right="-1" w:firstLine="709"/>
        <w:jc w:val="both"/>
        <w:rPr>
          <w:rFonts w:ascii="Times New Roman" w:hAnsi="Times New Roman" w:cs="Times New Roman"/>
          <w:sz w:val="28"/>
          <w:szCs w:val="28"/>
        </w:rPr>
      </w:pPr>
      <w:r>
        <w:rPr>
          <w:rFonts w:ascii="Times New Roman" w:hAnsi="Times New Roman" w:cs="Times New Roman"/>
          <w:sz w:val="28"/>
          <w:szCs w:val="28"/>
        </w:rPr>
        <w:t>В</w:t>
      </w:r>
      <w:r w:rsidR="00B33E25" w:rsidRPr="00796D25">
        <w:rPr>
          <w:rFonts w:ascii="Times New Roman" w:hAnsi="Times New Roman" w:cs="Times New Roman"/>
          <w:sz w:val="28"/>
          <w:szCs w:val="28"/>
        </w:rPr>
        <w:t>итрат</w:t>
      </w:r>
      <w:r>
        <w:rPr>
          <w:rFonts w:ascii="Times New Roman" w:hAnsi="Times New Roman" w:cs="Times New Roman"/>
          <w:sz w:val="28"/>
          <w:szCs w:val="28"/>
        </w:rPr>
        <w:t>и</w:t>
      </w:r>
      <w:r w:rsidR="00B33E25" w:rsidRPr="00796D25">
        <w:rPr>
          <w:rFonts w:ascii="Times New Roman" w:hAnsi="Times New Roman" w:cs="Times New Roman"/>
          <w:sz w:val="28"/>
          <w:szCs w:val="28"/>
          <w:shd w:val="clear" w:color="auto" w:fill="FFFFFF"/>
        </w:rPr>
        <w:t>, які виникають</w:t>
      </w:r>
      <w:r>
        <w:rPr>
          <w:rFonts w:ascii="Times New Roman" w:hAnsi="Times New Roman" w:cs="Times New Roman"/>
          <w:sz w:val="28"/>
          <w:szCs w:val="28"/>
          <w:shd w:val="clear" w:color="auto" w:fill="FFFFFF"/>
        </w:rPr>
        <w:t xml:space="preserve"> у</w:t>
      </w:r>
      <w:r w:rsidR="00B33E25" w:rsidRPr="00796D25">
        <w:rPr>
          <w:rFonts w:ascii="Times New Roman" w:hAnsi="Times New Roman" w:cs="Times New Roman"/>
          <w:sz w:val="28"/>
          <w:szCs w:val="28"/>
          <w:shd w:val="clear" w:color="auto" w:fill="FFFFFF"/>
        </w:rPr>
        <w:t xml:space="preserve"> </w:t>
      </w:r>
      <w:r w:rsidRPr="00796D25">
        <w:rPr>
          <w:rFonts w:ascii="Times New Roman" w:hAnsi="Times New Roman" w:cs="Times New Roman"/>
          <w:sz w:val="28"/>
          <w:szCs w:val="28"/>
          <w:shd w:val="clear" w:color="auto" w:fill="FFFFFF"/>
        </w:rPr>
        <w:t xml:space="preserve">суб’єктів господарювання </w:t>
      </w:r>
      <w:r w:rsidR="00B33E25" w:rsidRPr="00796D25">
        <w:rPr>
          <w:rFonts w:ascii="Times New Roman" w:hAnsi="Times New Roman" w:cs="Times New Roman"/>
          <w:sz w:val="28"/>
          <w:szCs w:val="28"/>
          <w:shd w:val="clear" w:color="auto" w:fill="FFFFFF"/>
        </w:rPr>
        <w:t>внаслідок дії регуляторного акта</w:t>
      </w:r>
      <w:r w:rsidR="00064661">
        <w:rPr>
          <w:rFonts w:ascii="Times New Roman" w:hAnsi="Times New Roman" w:cs="Times New Roman"/>
          <w:sz w:val="28"/>
          <w:szCs w:val="28"/>
        </w:rPr>
        <w:t xml:space="preserve">, наведені у </w:t>
      </w:r>
      <w:r w:rsidR="00B33E25" w:rsidRPr="00796D25">
        <w:rPr>
          <w:rFonts w:ascii="Times New Roman" w:hAnsi="Times New Roman" w:cs="Times New Roman"/>
          <w:sz w:val="28"/>
          <w:szCs w:val="28"/>
        </w:rPr>
        <w:t>Додатк</w:t>
      </w:r>
      <w:r w:rsidR="00064661">
        <w:rPr>
          <w:rFonts w:ascii="Times New Roman" w:hAnsi="Times New Roman" w:cs="Times New Roman"/>
          <w:sz w:val="28"/>
          <w:szCs w:val="28"/>
        </w:rPr>
        <w:t>у</w:t>
      </w:r>
      <w:r w:rsidR="00B33E25" w:rsidRPr="00796D25">
        <w:rPr>
          <w:rFonts w:ascii="Times New Roman" w:hAnsi="Times New Roman" w:cs="Times New Roman"/>
          <w:sz w:val="28"/>
          <w:szCs w:val="28"/>
        </w:rPr>
        <w:t xml:space="preserve"> 2 </w:t>
      </w:r>
      <w:r w:rsidR="006A395C">
        <w:rPr>
          <w:rFonts w:ascii="Times New Roman" w:hAnsi="Times New Roman" w:cs="Times New Roman"/>
          <w:sz w:val="28"/>
          <w:szCs w:val="28"/>
        </w:rPr>
        <w:t xml:space="preserve">до </w:t>
      </w:r>
      <w:r>
        <w:rPr>
          <w:rFonts w:ascii="Times New Roman" w:hAnsi="Times New Roman" w:cs="Times New Roman"/>
          <w:sz w:val="28"/>
          <w:szCs w:val="28"/>
        </w:rPr>
        <w:t>Методики</w:t>
      </w:r>
      <w:r w:rsidR="00B33E25" w:rsidRPr="00796D25">
        <w:rPr>
          <w:rFonts w:ascii="Times New Roman" w:hAnsi="Times New Roman" w:cs="Times New Roman"/>
          <w:sz w:val="28"/>
          <w:szCs w:val="28"/>
        </w:rPr>
        <w:t>.</w:t>
      </w:r>
    </w:p>
    <w:p w:rsidR="009C0407" w:rsidRPr="003844A0" w:rsidRDefault="009C0407" w:rsidP="00683576">
      <w:pPr>
        <w:spacing w:before="160"/>
        <w:jc w:val="center"/>
        <w:rPr>
          <w:rFonts w:ascii="Times New Roman" w:hAnsi="Times New Roman" w:cs="Times New Roman"/>
          <w:b/>
          <w:bCs/>
          <w:sz w:val="28"/>
          <w:szCs w:val="28"/>
          <w:shd w:val="clear" w:color="auto" w:fill="FFFFFF"/>
        </w:rPr>
      </w:pPr>
      <w:r w:rsidRPr="003844A0">
        <w:rPr>
          <w:rFonts w:ascii="Times New Roman" w:hAnsi="Times New Roman" w:cs="Times New Roman"/>
          <w:b/>
          <w:bCs/>
          <w:sz w:val="28"/>
          <w:szCs w:val="28"/>
          <w:shd w:val="clear" w:color="auto" w:fill="FFFFFF"/>
        </w:rPr>
        <w:t>VII. Обґрунтування запропонованого строку дії регуляторного акта</w:t>
      </w:r>
    </w:p>
    <w:p w:rsidR="00B33E25" w:rsidRPr="003844A0" w:rsidRDefault="00B33E25" w:rsidP="00E67627">
      <w:pPr>
        <w:pStyle w:val="1"/>
        <w:widowControl w:val="0"/>
        <w:tabs>
          <w:tab w:val="left" w:pos="0"/>
        </w:tabs>
        <w:suppressAutoHyphens w:val="0"/>
        <w:spacing w:line="259"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Строк дії регуляторного акта не обмежується у часі, що дасть змогу досягти цілей державного регулювання.</w:t>
      </w:r>
    </w:p>
    <w:p w:rsidR="00B33E25" w:rsidRPr="003844A0"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Зміна строку дії регуляторного акта можлива в разі зміни міжнародно-правових актів чи законодавчих актів України вищої юридичної сили, на виконання яких розроблений цей проект регуляторного акта.</w:t>
      </w:r>
    </w:p>
    <w:p w:rsidR="00B33E25" w:rsidRPr="003844A0" w:rsidRDefault="00B33E25" w:rsidP="00E67627">
      <w:pPr>
        <w:pStyle w:val="1"/>
        <w:widowControl w:val="0"/>
        <w:tabs>
          <w:tab w:val="left" w:pos="0"/>
        </w:tabs>
        <w:suppressAutoHyphens w:val="0"/>
        <w:spacing w:line="259" w:lineRule="auto"/>
        <w:ind w:firstLine="709"/>
        <w:jc w:val="both"/>
        <w:rPr>
          <w:rFonts w:ascii="Times New Roman" w:eastAsia="Times New Roman" w:hAnsi="Times New Roman"/>
          <w:color w:val="auto"/>
          <w:kern w:val="0"/>
          <w:sz w:val="28"/>
          <w:lang w:val="uk-UA"/>
        </w:rPr>
      </w:pPr>
      <w:r w:rsidRPr="003844A0">
        <w:rPr>
          <w:rFonts w:ascii="Times New Roman" w:eastAsia="Times New Roman" w:hAnsi="Times New Roman"/>
          <w:color w:val="auto"/>
          <w:kern w:val="0"/>
          <w:sz w:val="28"/>
          <w:lang w:val="uk-UA"/>
        </w:rPr>
        <w:t>Проєкт регуляторного акта набирає чинності з дня його офіційного опублікування.</w:t>
      </w:r>
    </w:p>
    <w:p w:rsidR="009C0407" w:rsidRPr="003844A0" w:rsidRDefault="009C0407" w:rsidP="00683576">
      <w:pPr>
        <w:spacing w:before="160"/>
        <w:jc w:val="center"/>
        <w:rPr>
          <w:rFonts w:ascii="Times New Roman" w:hAnsi="Times New Roman" w:cs="Times New Roman"/>
          <w:b/>
          <w:bCs/>
          <w:sz w:val="28"/>
          <w:szCs w:val="28"/>
          <w:shd w:val="clear" w:color="auto" w:fill="FFFFFF"/>
        </w:rPr>
      </w:pPr>
      <w:r w:rsidRPr="003844A0">
        <w:rPr>
          <w:rFonts w:ascii="Times New Roman" w:hAnsi="Times New Roman" w:cs="Times New Roman"/>
          <w:b/>
          <w:bCs/>
          <w:sz w:val="28"/>
          <w:szCs w:val="28"/>
          <w:shd w:val="clear" w:color="auto" w:fill="FFFFFF"/>
        </w:rPr>
        <w:t>VIII. Визначення показників результативності дії регуляторного акта</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Прогнозними значеннями показників результативності регуляторного акта є:</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bookmarkStart w:id="0" w:name="n36"/>
      <w:bookmarkEnd w:id="0"/>
      <w:r w:rsidRPr="00796D25">
        <w:rPr>
          <w:rFonts w:ascii="Times New Roman" w:eastAsia="Times New Roman" w:hAnsi="Times New Roman"/>
          <w:sz w:val="28"/>
          <w:lang w:val="uk-UA"/>
        </w:rPr>
        <w:lastRenderedPageBreak/>
        <w:t xml:space="preserve">кількість суб’єктів господарювання, на яких поширюватиметься дія акта – </w:t>
      </w:r>
      <w:r w:rsidR="003844A0">
        <w:rPr>
          <w:rFonts w:ascii="Times New Roman" w:eastAsia="Times New Roman" w:hAnsi="Times New Roman"/>
          <w:sz w:val="28"/>
          <w:lang w:val="uk-UA"/>
        </w:rPr>
        <w:t>674</w:t>
      </w:r>
      <w:r w:rsidRPr="00796D25">
        <w:rPr>
          <w:rFonts w:ascii="Times New Roman" w:eastAsia="Times New Roman" w:hAnsi="Times New Roman"/>
          <w:sz w:val="28"/>
          <w:lang w:val="uk-UA"/>
        </w:rPr>
        <w:t>;</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розмір надходжень до державного та місцевих бюджетів та державних цільових фондів – надходження не передбачаються;</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sz w:val="28"/>
          <w:lang w:val="uk-UA"/>
        </w:rPr>
        <w:t>обсяг коштів і період часу, які витрачатимуться суб’єктами господарювання на виконання вимог регуляторного акта;</w:t>
      </w:r>
    </w:p>
    <w:p w:rsidR="00B33E25" w:rsidRPr="00796D25" w:rsidRDefault="00B33E25" w:rsidP="00E67627">
      <w:pPr>
        <w:pStyle w:val="1"/>
        <w:spacing w:line="259" w:lineRule="auto"/>
        <w:ind w:firstLine="709"/>
        <w:jc w:val="both"/>
        <w:rPr>
          <w:rFonts w:ascii="Times New Roman" w:eastAsia="Times New Roman" w:hAnsi="Times New Roman"/>
          <w:sz w:val="28"/>
          <w:lang w:val="uk-UA"/>
        </w:rPr>
      </w:pPr>
      <w:r w:rsidRPr="00796D25">
        <w:rPr>
          <w:rFonts w:ascii="Times New Roman" w:eastAsia="Times New Roman" w:hAnsi="Times New Roman" w:cs="Times New Roman"/>
          <w:sz w:val="28"/>
          <w:szCs w:val="28"/>
          <w:lang w:val="uk-UA" w:eastAsia="uk-UA"/>
        </w:rPr>
        <w:t xml:space="preserve">рівень поінформованості суб’єктів господарювання та (або) фізичних осіб із основними положеннями проекту регуляторного акта – середній, оскільки зазначений проект акта розміщений на офіційному веб-сайті Міністерства освіти і науки України.  </w:t>
      </w:r>
    </w:p>
    <w:p w:rsidR="00B33E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Кількісними показниками результативності регуляторного акта є:</w:t>
      </w:r>
    </w:p>
    <w:p w:rsidR="00064661" w:rsidRPr="00796D25" w:rsidRDefault="00064661" w:rsidP="00E67627">
      <w:pPr>
        <w:pStyle w:val="1"/>
        <w:suppressAutoHyphens w:val="0"/>
        <w:spacing w:line="259" w:lineRule="auto"/>
        <w:ind w:firstLine="709"/>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кількість університетів, академій, інститутів;</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ТВСП, коледжів, фахових коледжів як структурних підрозділів ЗВО;</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здобувачів вищої та фахової передвищої освіти, які здобувають освіту у ТВСП, коледжах, фахових коледжах як структурних підрозділів ЗВО;</w:t>
      </w:r>
    </w:p>
    <w:p w:rsidR="00B33E25" w:rsidRPr="00796D25" w:rsidRDefault="00B33E25" w:rsidP="00E67627">
      <w:pPr>
        <w:pStyle w:val="1"/>
        <w:suppressAutoHyphens w:val="0"/>
        <w:spacing w:line="259"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кількість цивільних ЗВО державної форми власності, які змінили орган підпорядкування;  </w:t>
      </w:r>
    </w:p>
    <w:p w:rsidR="00B33E25" w:rsidRPr="00796D25" w:rsidRDefault="00B33E25" w:rsidP="00CB703A">
      <w:pPr>
        <w:pStyle w:val="1"/>
        <w:suppressAutoHyphens w:val="0"/>
        <w:spacing w:line="240" w:lineRule="auto"/>
        <w:ind w:firstLine="709"/>
        <w:jc w:val="both"/>
        <w:rPr>
          <w:rFonts w:ascii="Times New Roman" w:eastAsia="Times New Roman" w:hAnsi="Times New Roman"/>
          <w:color w:val="auto"/>
          <w:kern w:val="0"/>
          <w:sz w:val="28"/>
          <w:lang w:val="uk-UA"/>
        </w:rPr>
      </w:pPr>
      <w:r w:rsidRPr="00796D25">
        <w:rPr>
          <w:rFonts w:ascii="Times New Roman" w:eastAsia="Times New Roman" w:hAnsi="Times New Roman" w:cs="Times New Roman"/>
          <w:sz w:val="28"/>
          <w:szCs w:val="28"/>
          <w:lang w:val="uk-UA"/>
        </w:rPr>
        <w:t xml:space="preserve">кількість скарг/звернень суб’єктів господарювання, </w:t>
      </w:r>
      <w:r w:rsidR="00B077AF" w:rsidRPr="00796D25">
        <w:rPr>
          <w:rFonts w:ascii="Times New Roman" w:eastAsia="Times New Roman" w:hAnsi="Times New Roman" w:cs="Times New Roman"/>
          <w:sz w:val="28"/>
          <w:szCs w:val="28"/>
          <w:lang w:val="uk-UA"/>
        </w:rPr>
        <w:t>пов’язані</w:t>
      </w:r>
      <w:r w:rsidRPr="00796D25">
        <w:rPr>
          <w:rFonts w:ascii="Times New Roman" w:eastAsia="Times New Roman" w:hAnsi="Times New Roman" w:cs="Times New Roman"/>
          <w:sz w:val="28"/>
          <w:szCs w:val="28"/>
          <w:lang w:val="uk-UA"/>
        </w:rPr>
        <w:t xml:space="preserve"> із дією регуляторного акта.</w:t>
      </w:r>
    </w:p>
    <w:p w:rsidR="009C0407" w:rsidRPr="00064661" w:rsidRDefault="009C0407" w:rsidP="00683576">
      <w:pPr>
        <w:spacing w:before="160"/>
        <w:jc w:val="center"/>
        <w:rPr>
          <w:rFonts w:ascii="Times New Roman" w:hAnsi="Times New Roman" w:cs="Times New Roman"/>
          <w:b/>
          <w:bCs/>
          <w:sz w:val="28"/>
          <w:szCs w:val="28"/>
          <w:shd w:val="clear" w:color="auto" w:fill="FFFFFF"/>
        </w:rPr>
      </w:pPr>
      <w:r w:rsidRPr="00064661">
        <w:rPr>
          <w:rFonts w:ascii="Times New Roman" w:hAnsi="Times New Roman" w:cs="Times New Roman"/>
          <w:b/>
          <w:bCs/>
          <w:sz w:val="28"/>
          <w:szCs w:val="28"/>
          <w:shd w:val="clear" w:color="auto" w:fill="FFFFFF"/>
        </w:rPr>
        <w:t>IX. Визначення заходів, за допомогою яких здійснюватиметься відстеження результативності дії регуляторного акта</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Базове відстеження результативності вищезазначеного регуляторного акта буде здійснюватися до кінця календарного року з моменту набрання чинності.</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Повторне відстеження планується здійснити через рік після набрання чинності регуляторного акта, в результаті якого відбудеться порівняння показників базового та повторного відстеження. </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Періодичне відстеження здійснюватиметься раз на три роки, починаючи з дня виконання заходів з повторного відстеження.</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Метод проведення відстеження результативності:</w:t>
      </w:r>
    </w:p>
    <w:p w:rsidR="00B33E25" w:rsidRPr="00796D25" w:rsidRDefault="00B077AF"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Pr>
          <w:rFonts w:ascii="Times New Roman" w:eastAsia="Times New Roman" w:hAnsi="Times New Roman"/>
          <w:color w:val="auto"/>
          <w:sz w:val="28"/>
          <w:lang w:val="uk-UA"/>
        </w:rPr>
        <w:t>С</w:t>
      </w:r>
      <w:r w:rsidRPr="00796D25">
        <w:rPr>
          <w:rFonts w:ascii="Times New Roman" w:eastAsia="Times New Roman" w:hAnsi="Times New Roman"/>
          <w:color w:val="auto"/>
          <w:sz w:val="28"/>
          <w:lang w:val="uk-UA"/>
        </w:rPr>
        <w:t>татистичні</w:t>
      </w:r>
      <w:r w:rsidR="00B33E25" w:rsidRPr="00796D25">
        <w:rPr>
          <w:rFonts w:ascii="Times New Roman" w:eastAsia="Times New Roman" w:hAnsi="Times New Roman"/>
          <w:color w:val="auto"/>
          <w:sz w:val="28"/>
          <w:lang w:val="uk-UA"/>
        </w:rPr>
        <w:t xml:space="preserve"> методи.</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Вид даних, за допомогою яких здійснюватиметься відстеження результативності:</w:t>
      </w:r>
    </w:p>
    <w:p w:rsidR="00B33E25" w:rsidRPr="00796D25" w:rsidRDefault="00B33E25" w:rsidP="003844A0">
      <w:pPr>
        <w:pStyle w:val="Textbody"/>
        <w:shd w:val="clear" w:color="auto" w:fill="FFFFFF"/>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Статистичні, наукові дослідження та опитування.</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Цільові групи осіб, що обиратимуться для участі у відповідному опитуванні:</w:t>
      </w:r>
    </w:p>
    <w:p w:rsidR="00B33E25" w:rsidRPr="00796D25" w:rsidRDefault="00B33E25" w:rsidP="003844A0">
      <w:pPr>
        <w:pStyle w:val="Textbody"/>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Цільові аудиторії – ключові </w:t>
      </w:r>
      <w:proofErr w:type="spellStart"/>
      <w:r w:rsidRPr="00796D25">
        <w:rPr>
          <w:rFonts w:ascii="Times New Roman" w:eastAsia="Times New Roman" w:hAnsi="Times New Roman"/>
          <w:color w:val="auto"/>
          <w:sz w:val="28"/>
          <w:lang w:val="uk-UA"/>
        </w:rPr>
        <w:t>стейкхолдери</w:t>
      </w:r>
      <w:proofErr w:type="spellEnd"/>
      <w:r w:rsidRPr="00796D25">
        <w:rPr>
          <w:rFonts w:ascii="Times New Roman" w:eastAsia="Times New Roman" w:hAnsi="Times New Roman"/>
          <w:color w:val="auto"/>
          <w:sz w:val="28"/>
          <w:lang w:val="uk-UA"/>
        </w:rPr>
        <w:t xml:space="preserve"> системи вищої та фахової передвищої освіти, зокрема, здобувачі освіти, роботодавці, керівники закладів освіти, представники місцевих органів самоврядування.</w:t>
      </w:r>
    </w:p>
    <w:p w:rsidR="00B33E25" w:rsidRPr="00796D25" w:rsidRDefault="00B33E25" w:rsidP="003844A0">
      <w:pPr>
        <w:pStyle w:val="Textbody"/>
        <w:spacing w:after="0" w:line="259" w:lineRule="auto"/>
        <w:ind w:firstLine="709"/>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lastRenderedPageBreak/>
        <w:t>Наукові установи, що залучатимуться для проведення відстеження:</w:t>
      </w:r>
    </w:p>
    <w:p w:rsidR="00B33E25" w:rsidRPr="00796D25" w:rsidRDefault="00B33E25" w:rsidP="003844A0">
      <w:pPr>
        <w:pStyle w:val="Textbody"/>
        <w:spacing w:after="0" w:line="259" w:lineRule="auto"/>
        <w:ind w:firstLine="709"/>
        <w:jc w:val="both"/>
        <w:rPr>
          <w:rFonts w:ascii="Times New Roman" w:eastAsia="Times New Roman" w:hAnsi="Times New Roman"/>
          <w:color w:val="auto"/>
          <w:sz w:val="28"/>
          <w:lang w:val="uk-UA"/>
        </w:rPr>
      </w:pPr>
      <w:r w:rsidRPr="00796D25">
        <w:rPr>
          <w:rFonts w:ascii="Times New Roman" w:eastAsia="Times New Roman" w:hAnsi="Times New Roman"/>
          <w:color w:val="auto"/>
          <w:sz w:val="28"/>
          <w:lang w:val="uk-UA"/>
        </w:rPr>
        <w:t xml:space="preserve">До проведення відстеження результативності дії регуляторного акта залучатиметься Державна установа «Науково-методичний центр вищої та фахової передвищої освіти». </w:t>
      </w:r>
    </w:p>
    <w:p w:rsidR="00B33E25" w:rsidRDefault="00B33E25" w:rsidP="00B33E25">
      <w:pPr>
        <w:pStyle w:val="Textbody"/>
        <w:spacing w:after="0" w:line="240" w:lineRule="auto"/>
        <w:ind w:firstLine="720"/>
        <w:jc w:val="both"/>
        <w:rPr>
          <w:rFonts w:ascii="Times New Roman" w:eastAsia="Times New Roman" w:hAnsi="Times New Roman"/>
          <w:color w:val="auto"/>
          <w:sz w:val="28"/>
          <w:lang w:val="uk-UA"/>
        </w:rPr>
      </w:pPr>
    </w:p>
    <w:p w:rsidR="00683576" w:rsidRDefault="00683576" w:rsidP="00B33E25">
      <w:pPr>
        <w:pStyle w:val="Textbody"/>
        <w:spacing w:after="0" w:line="240" w:lineRule="auto"/>
        <w:ind w:firstLine="720"/>
        <w:jc w:val="both"/>
        <w:rPr>
          <w:rFonts w:ascii="Times New Roman" w:eastAsia="Times New Roman" w:hAnsi="Times New Roman"/>
          <w:color w:val="auto"/>
          <w:sz w:val="28"/>
          <w:lang w:val="uk-UA"/>
        </w:rPr>
      </w:pPr>
    </w:p>
    <w:p w:rsidR="00B33E25" w:rsidRPr="00796D25" w:rsidRDefault="00B33E25" w:rsidP="00B33E25">
      <w:pPr>
        <w:pStyle w:val="1"/>
        <w:spacing w:line="240" w:lineRule="auto"/>
        <w:jc w:val="both"/>
        <w:rPr>
          <w:rFonts w:ascii="Times New Roman" w:eastAsia="Times New Roman" w:hAnsi="Times New Roman"/>
          <w:b/>
          <w:color w:val="auto"/>
          <w:sz w:val="28"/>
          <w:lang w:val="uk-UA"/>
        </w:rPr>
      </w:pPr>
      <w:r w:rsidRPr="00796D25">
        <w:rPr>
          <w:rFonts w:ascii="Times New Roman" w:eastAsia="Times New Roman" w:hAnsi="Times New Roman"/>
          <w:b/>
          <w:color w:val="auto"/>
          <w:sz w:val="28"/>
          <w:lang w:val="uk-UA"/>
        </w:rPr>
        <w:t xml:space="preserve">Міністр освіти і науки України </w:t>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ab/>
      </w:r>
      <w:r w:rsidR="003844A0">
        <w:rPr>
          <w:rFonts w:ascii="Times New Roman" w:eastAsia="Times New Roman" w:hAnsi="Times New Roman"/>
          <w:b/>
          <w:color w:val="auto"/>
          <w:sz w:val="28"/>
          <w:lang w:val="uk-UA"/>
        </w:rPr>
        <w:tab/>
      </w:r>
      <w:r w:rsidRPr="00796D25">
        <w:rPr>
          <w:rFonts w:ascii="Times New Roman" w:eastAsia="Times New Roman" w:hAnsi="Times New Roman"/>
          <w:b/>
          <w:color w:val="auto"/>
          <w:sz w:val="28"/>
          <w:lang w:val="uk-UA"/>
        </w:rPr>
        <w:t>Оксен ЛІСОВИЙ</w:t>
      </w: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683576" w:rsidRDefault="00683576" w:rsidP="00064661">
      <w:pPr>
        <w:pStyle w:val="1"/>
        <w:spacing w:line="240" w:lineRule="auto"/>
        <w:ind w:left="2259" w:firstLine="5529"/>
        <w:rPr>
          <w:rFonts w:ascii="Times New Roman" w:eastAsia="Times New Roman" w:hAnsi="Times New Roman"/>
          <w:color w:val="auto"/>
          <w:kern w:val="0"/>
          <w:sz w:val="28"/>
          <w:lang w:val="uk-UA"/>
        </w:rPr>
      </w:pPr>
    </w:p>
    <w:p w:rsidR="00B33E25" w:rsidRPr="00796D25" w:rsidRDefault="00B33E25" w:rsidP="00064661">
      <w:pPr>
        <w:pStyle w:val="1"/>
        <w:spacing w:line="240" w:lineRule="auto"/>
        <w:ind w:left="2259" w:firstLine="5529"/>
        <w:rPr>
          <w:rFonts w:ascii="Times New Roman" w:eastAsia="Times New Roman" w:hAnsi="Times New Roman"/>
          <w:color w:val="auto"/>
          <w:sz w:val="28"/>
          <w:lang w:val="uk-UA"/>
        </w:rPr>
      </w:pPr>
      <w:r w:rsidRPr="00796D25">
        <w:rPr>
          <w:rFonts w:ascii="Times New Roman" w:eastAsia="Times New Roman" w:hAnsi="Times New Roman"/>
          <w:color w:val="auto"/>
          <w:kern w:val="0"/>
          <w:sz w:val="28"/>
          <w:lang w:val="uk-UA"/>
        </w:rPr>
        <w:lastRenderedPageBreak/>
        <w:t>Додаток 2</w:t>
      </w:r>
    </w:p>
    <w:p w:rsidR="00B33E25" w:rsidRPr="00796D25" w:rsidRDefault="00B33E25" w:rsidP="00B33E25">
      <w:pPr>
        <w:pStyle w:val="1"/>
        <w:suppressAutoHyphens w:val="0"/>
        <w:spacing w:line="240" w:lineRule="auto"/>
        <w:ind w:left="5760"/>
        <w:jc w:val="both"/>
        <w:rPr>
          <w:rFonts w:ascii="Times New Roman" w:eastAsia="Times New Roman" w:hAnsi="Times New Roman"/>
          <w:color w:val="auto"/>
          <w:kern w:val="0"/>
          <w:sz w:val="28"/>
          <w:lang w:val="uk-UA"/>
        </w:rPr>
      </w:pP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ВИТРАТИ</w:t>
      </w: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на одного суб’єкта господарювання великого і середнього підприємництва, які виникають внаслідок дії регуляторного акта </w:t>
      </w:r>
    </w:p>
    <w:p w:rsidR="00B33E25" w:rsidRPr="00796D25" w:rsidRDefault="00B33E25" w:rsidP="00B33E25">
      <w:pPr>
        <w:pStyle w:val="1"/>
        <w:suppressAutoHyphens w:val="0"/>
        <w:spacing w:line="240" w:lineRule="auto"/>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 xml:space="preserve">за </w:t>
      </w:r>
      <w:r w:rsidRPr="0068345B">
        <w:rPr>
          <w:rFonts w:ascii="Times New Roman" w:eastAsia="Times New Roman" w:hAnsi="Times New Roman"/>
          <w:b/>
          <w:color w:val="auto"/>
          <w:kern w:val="0"/>
          <w:sz w:val="28"/>
          <w:lang w:val="uk-UA"/>
        </w:rPr>
        <w:t>Альтернативою 2</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5068"/>
        <w:gridCol w:w="1867"/>
        <w:gridCol w:w="1868"/>
      </w:tblGrid>
      <w:tr w:rsidR="00B33E25" w:rsidRPr="00796D25" w:rsidTr="00B5191E">
        <w:trPr>
          <w:jc w:val="center"/>
        </w:trPr>
        <w:tc>
          <w:tcPr>
            <w:tcW w:w="566" w:type="dxa"/>
            <w:shd w:val="clear" w:color="auto" w:fill="auto"/>
            <w:vAlign w:val="center"/>
          </w:tcPr>
          <w:p w:rsidR="00B33E25" w:rsidRDefault="00B831C4" w:rsidP="00B33E25">
            <w:pPr>
              <w:pStyle w:val="1"/>
              <w:suppressAutoHyphens w:val="0"/>
              <w:spacing w:line="240" w:lineRule="auto"/>
              <w:jc w:val="center"/>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w:t>
            </w:r>
          </w:p>
          <w:p w:rsidR="00B831C4" w:rsidRPr="00796D25" w:rsidRDefault="00B831C4" w:rsidP="00B33E25">
            <w:pPr>
              <w:pStyle w:val="1"/>
              <w:suppressAutoHyphens w:val="0"/>
              <w:spacing w:line="240" w:lineRule="auto"/>
              <w:jc w:val="center"/>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з/п</w:t>
            </w:r>
          </w:p>
        </w:tc>
        <w:tc>
          <w:tcPr>
            <w:tcW w:w="50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перший рік</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За п’ять років</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2</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Податки та збори (зміна розміру податків/зборів, виникнення необхідності у сплаті податків/зборів),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3</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із веденням обліку, підготовкою та поданням звітності державним органам,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4</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пов’язані з адмініструванням заходів державного нагляду (контролю) (перевірок, штрафних санкцій, виконання рішень/приписів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F3949" w:rsidRPr="00796D25" w:rsidTr="00B5191E">
        <w:trPr>
          <w:jc w:val="center"/>
        </w:trPr>
        <w:tc>
          <w:tcPr>
            <w:tcW w:w="566" w:type="dxa"/>
            <w:shd w:val="clear" w:color="auto" w:fill="auto"/>
          </w:tcPr>
          <w:p w:rsidR="00BF3949" w:rsidRPr="00796D25" w:rsidRDefault="00B74ABF" w:rsidP="00B33E25">
            <w:pPr>
              <w:pStyle w:val="1"/>
              <w:suppressAutoHyphens w:val="0"/>
              <w:spacing w:line="240" w:lineRule="auto"/>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5</w:t>
            </w:r>
          </w:p>
        </w:tc>
        <w:tc>
          <w:tcPr>
            <w:tcW w:w="5068" w:type="dxa"/>
            <w:shd w:val="clear" w:color="auto" w:fill="auto"/>
          </w:tcPr>
          <w:p w:rsidR="00BF3949" w:rsidRPr="00EB3E43" w:rsidRDefault="00BF3949" w:rsidP="00D306F7">
            <w:pPr>
              <w:pStyle w:val="1"/>
              <w:suppressAutoHyphens w:val="0"/>
              <w:spacing w:line="240" w:lineRule="auto"/>
              <w:jc w:val="both"/>
              <w:rPr>
                <w:rFonts w:ascii="Times New Roman" w:hAnsi="Times New Roman" w:cs="Times New Roman"/>
                <w:color w:val="000000" w:themeColor="text1"/>
                <w:sz w:val="28"/>
                <w:szCs w:val="28"/>
                <w:shd w:val="clear" w:color="auto" w:fill="FFFFFF"/>
                <w:lang w:val="uk-UA"/>
              </w:rPr>
            </w:pPr>
            <w:r w:rsidRPr="00D306F7">
              <w:rPr>
                <w:rFonts w:ascii="Times New Roman" w:hAnsi="Times New Roman" w:cs="Times New Roman"/>
                <w:color w:val="000000" w:themeColor="text1"/>
                <w:sz w:val="28"/>
                <w:szCs w:val="28"/>
                <w:shd w:val="clear" w:color="auto" w:fill="FFFFFF"/>
                <w:lang w:val="uk-UA"/>
              </w:rPr>
              <w:t xml:space="preserve">Витрати на отримання адміністративних послуг (дозволів, ліцензій, </w:t>
            </w:r>
            <w:r w:rsidRPr="00EB3E43">
              <w:rPr>
                <w:rFonts w:ascii="Times New Roman" w:hAnsi="Times New Roman" w:cs="Times New Roman"/>
                <w:color w:val="000000" w:themeColor="text1"/>
                <w:sz w:val="28"/>
                <w:szCs w:val="28"/>
                <w:shd w:val="clear" w:color="auto" w:fill="FFFFFF"/>
                <w:lang w:val="uk-UA"/>
              </w:rPr>
              <w:t>сертифікатів</w:t>
            </w:r>
            <w:r w:rsidRPr="00D306F7">
              <w:rPr>
                <w:rFonts w:ascii="Times New Roman" w:hAnsi="Times New Roman" w:cs="Times New Roman"/>
                <w:color w:val="000000" w:themeColor="text1"/>
                <w:sz w:val="28"/>
                <w:szCs w:val="28"/>
                <w:shd w:val="clear" w:color="auto" w:fill="FFFFFF"/>
                <w:lang w:val="uk-UA"/>
              </w:rPr>
              <w:t>,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r w:rsidR="00EB3E43">
              <w:rPr>
                <w:rFonts w:ascii="Times New Roman" w:hAnsi="Times New Roman" w:cs="Times New Roman"/>
                <w:color w:val="000000" w:themeColor="text1"/>
                <w:sz w:val="28"/>
                <w:szCs w:val="28"/>
                <w:shd w:val="clear" w:color="auto" w:fill="FFFFFF"/>
                <w:lang w:val="uk-UA"/>
              </w:rPr>
              <w:t xml:space="preserve"> (</w:t>
            </w:r>
            <w:r w:rsidR="00EB3E43" w:rsidRPr="00796D25">
              <w:rPr>
                <w:rFonts w:ascii="Times New Roman" w:hAnsi="Times New Roman" w:cs="Times New Roman"/>
                <w:sz w:val="28"/>
                <w:szCs w:val="28"/>
                <w:lang w:val="uk-UA"/>
              </w:rPr>
              <w:t>1 год *</w:t>
            </w:r>
            <w:r w:rsidR="00EB3E43">
              <w:rPr>
                <w:rFonts w:ascii="Times New Roman" w:hAnsi="Times New Roman" w:cs="Times New Roman"/>
                <w:sz w:val="28"/>
                <w:szCs w:val="28"/>
                <w:lang w:val="uk-UA"/>
              </w:rPr>
              <w:t>48</w:t>
            </w:r>
            <w:r w:rsidR="00EB3E43" w:rsidRPr="00796D25">
              <w:rPr>
                <w:rFonts w:ascii="Times New Roman" w:hAnsi="Times New Roman" w:cs="Times New Roman"/>
                <w:sz w:val="28"/>
                <w:szCs w:val="28"/>
              </w:rPr>
              <w:t xml:space="preserve"> </w:t>
            </w:r>
            <w:proofErr w:type="spellStart"/>
            <w:r w:rsidR="00EB3E43" w:rsidRPr="00796D25">
              <w:rPr>
                <w:rFonts w:ascii="Times New Roman" w:hAnsi="Times New Roman" w:cs="Times New Roman"/>
                <w:sz w:val="28"/>
                <w:szCs w:val="28"/>
              </w:rPr>
              <w:t>грн</w:t>
            </w:r>
            <w:proofErr w:type="spellEnd"/>
            <w:r w:rsidR="00EB3E43" w:rsidRPr="00796D25">
              <w:rPr>
                <w:rFonts w:ascii="Times New Roman" w:hAnsi="Times New Roman" w:cs="Times New Roman"/>
                <w:sz w:val="28"/>
                <w:szCs w:val="28"/>
              </w:rPr>
              <w:t>/</w:t>
            </w:r>
            <w:proofErr w:type="spellStart"/>
            <w:r w:rsidR="00EB3E43" w:rsidRPr="00796D25">
              <w:rPr>
                <w:rFonts w:ascii="Times New Roman" w:hAnsi="Times New Roman" w:cs="Times New Roman"/>
                <w:sz w:val="28"/>
                <w:szCs w:val="28"/>
              </w:rPr>
              <w:t>год</w:t>
            </w:r>
            <w:proofErr w:type="spellEnd"/>
            <w:r w:rsidR="00EB3E43">
              <w:rPr>
                <w:rFonts w:ascii="Times New Roman" w:hAnsi="Times New Roman" w:cs="Times New Roman"/>
                <w:sz w:val="28"/>
                <w:szCs w:val="28"/>
                <w:lang w:val="uk-UA"/>
              </w:rPr>
              <w:t>)</w:t>
            </w:r>
          </w:p>
          <w:p w:rsidR="00EB3E43" w:rsidRDefault="00D306F7" w:rsidP="00D306F7">
            <w:pPr>
              <w:spacing w:after="0"/>
              <w:rPr>
                <w:rFonts w:ascii="Times New Roman" w:eastAsia="Times New Roman" w:hAnsi="Times New Roman"/>
                <w:sz w:val="28"/>
                <w:szCs w:val="28"/>
              </w:rPr>
            </w:pPr>
            <w:r w:rsidRPr="008F2E6F">
              <w:rPr>
                <w:rFonts w:ascii="Times New Roman" w:eastAsia="Times New Roman" w:hAnsi="Times New Roman"/>
                <w:sz w:val="28"/>
                <w:szCs w:val="28"/>
              </w:rPr>
              <w:t>Подання заяви на переоформлення 1 ліцензії</w:t>
            </w:r>
            <w:r w:rsidR="00EB3E43">
              <w:rPr>
                <w:rFonts w:ascii="Times New Roman" w:eastAsia="Times New Roman" w:hAnsi="Times New Roman"/>
                <w:sz w:val="28"/>
                <w:szCs w:val="28"/>
              </w:rPr>
              <w:t>.</w:t>
            </w:r>
          </w:p>
          <w:p w:rsidR="00D306F7" w:rsidRPr="008F2E6F" w:rsidRDefault="00EB3E43" w:rsidP="00D306F7">
            <w:pPr>
              <w:spacing w:after="0"/>
              <w:rPr>
                <w:rFonts w:ascii="Times New Roman" w:eastAsia="Times New Roman" w:hAnsi="Times New Roman"/>
                <w:sz w:val="28"/>
                <w:szCs w:val="28"/>
                <w:lang w:val="ru-RU"/>
              </w:rPr>
            </w:pPr>
            <w:r w:rsidRPr="008F2E6F">
              <w:rPr>
                <w:rFonts w:ascii="Times New Roman" w:eastAsia="Times New Roman" w:hAnsi="Times New Roman"/>
                <w:sz w:val="28"/>
                <w:szCs w:val="28"/>
              </w:rPr>
              <w:t xml:space="preserve">Подання заяви на переоформлення </w:t>
            </w:r>
            <w:r w:rsidR="00D306F7" w:rsidRPr="008F2E6F">
              <w:rPr>
                <w:rFonts w:ascii="Times New Roman" w:eastAsia="Times New Roman" w:hAnsi="Times New Roman"/>
                <w:sz w:val="28"/>
                <w:szCs w:val="28"/>
              </w:rPr>
              <w:t xml:space="preserve">1 сертифікату про акредитацію – </w:t>
            </w:r>
            <w:r>
              <w:rPr>
                <w:rFonts w:ascii="Times New Roman" w:eastAsia="Times New Roman" w:hAnsi="Times New Roman"/>
                <w:sz w:val="28"/>
                <w:szCs w:val="28"/>
                <w:lang w:val="ru-RU"/>
              </w:rPr>
              <w:t>1</w:t>
            </w:r>
            <w:r w:rsidR="00D306F7" w:rsidRPr="008F2E6F">
              <w:rPr>
                <w:rFonts w:ascii="Times New Roman" w:eastAsia="Times New Roman" w:hAnsi="Times New Roman"/>
                <w:sz w:val="28"/>
                <w:szCs w:val="28"/>
              </w:rPr>
              <w:t xml:space="preserve"> год</w:t>
            </w:r>
            <w:r w:rsidR="00D306F7" w:rsidRPr="008F2E6F">
              <w:rPr>
                <w:rFonts w:ascii="Times New Roman" w:eastAsia="Times New Roman" w:hAnsi="Times New Roman"/>
                <w:sz w:val="28"/>
                <w:szCs w:val="28"/>
                <w:lang w:val="ru-RU"/>
              </w:rPr>
              <w:t xml:space="preserve"> </w:t>
            </w:r>
          </w:p>
          <w:p w:rsidR="00D306F7" w:rsidRPr="00EB3E43" w:rsidRDefault="00D306F7" w:rsidP="00D306F7">
            <w:pPr>
              <w:pStyle w:val="1"/>
              <w:suppressAutoHyphens w:val="0"/>
              <w:spacing w:line="240" w:lineRule="auto"/>
              <w:jc w:val="both"/>
              <w:rPr>
                <w:rFonts w:ascii="Times New Roman" w:eastAsia="Times New Roman" w:hAnsi="Times New Roman" w:cs="Times New Roman"/>
                <w:color w:val="auto"/>
                <w:kern w:val="0"/>
                <w:sz w:val="28"/>
                <w:szCs w:val="28"/>
                <w:lang w:val="uk-UA"/>
              </w:rPr>
            </w:pPr>
            <w:r w:rsidRPr="00EB3E43">
              <w:rPr>
                <w:rFonts w:ascii="Times New Roman" w:eastAsia="Times New Roman" w:hAnsi="Times New Roman"/>
                <w:lang w:val="uk-UA"/>
              </w:rPr>
              <w:t xml:space="preserve">Загальні витрати на заклад фахової </w:t>
            </w:r>
            <w:proofErr w:type="spellStart"/>
            <w:r w:rsidRPr="00EB3E43">
              <w:rPr>
                <w:rFonts w:ascii="Times New Roman" w:eastAsia="Times New Roman" w:hAnsi="Times New Roman"/>
                <w:lang w:val="uk-UA"/>
              </w:rPr>
              <w:t>передвищої</w:t>
            </w:r>
            <w:proofErr w:type="spellEnd"/>
            <w:r w:rsidRPr="00EB3E43">
              <w:rPr>
                <w:rFonts w:ascii="Times New Roman" w:eastAsia="Times New Roman" w:hAnsi="Times New Roman"/>
                <w:lang w:val="uk-UA"/>
              </w:rPr>
              <w:t xml:space="preserve"> / вищої освіти визначені із розрахунку на 4 ОП, що потребують переоформлення ліцензій</w:t>
            </w:r>
          </w:p>
        </w:tc>
        <w:tc>
          <w:tcPr>
            <w:tcW w:w="1867" w:type="dxa"/>
            <w:shd w:val="clear" w:color="auto" w:fill="auto"/>
            <w:vAlign w:val="center"/>
          </w:tcPr>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EB3E43">
              <w:rPr>
                <w:rFonts w:ascii="Times New Roman" w:eastAsia="Times New Roman" w:hAnsi="Times New Roman"/>
                <w:color w:val="auto"/>
                <w:kern w:val="0"/>
                <w:sz w:val="28"/>
                <w:szCs w:val="28"/>
                <w:lang w:val="uk-UA"/>
              </w:rPr>
              <w:t>48,00</w:t>
            </w: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EB3E43" w:rsidRDefault="00EB3E43" w:rsidP="00B33E25">
            <w:pPr>
              <w:pStyle w:val="1"/>
              <w:suppressAutoHyphens w:val="0"/>
              <w:spacing w:line="240" w:lineRule="auto"/>
              <w:jc w:val="center"/>
              <w:rPr>
                <w:rFonts w:ascii="Times New Roman" w:eastAsia="Times New Roman" w:hAnsi="Times New Roman"/>
                <w:color w:val="auto"/>
                <w:kern w:val="0"/>
                <w:sz w:val="28"/>
                <w:szCs w:val="28"/>
                <w:lang w:val="uk-UA"/>
              </w:rPr>
            </w:pPr>
          </w:p>
          <w:p w:rsidR="00BF3949" w:rsidRPr="00796D25" w:rsidRDefault="00B74ABF"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192</w:t>
            </w:r>
            <w:r w:rsidR="00C94656">
              <w:rPr>
                <w:rFonts w:ascii="Times New Roman" w:eastAsia="Times New Roman" w:hAnsi="Times New Roman"/>
                <w:color w:val="auto"/>
                <w:kern w:val="0"/>
                <w:sz w:val="28"/>
                <w:szCs w:val="28"/>
                <w:lang w:val="uk-UA"/>
              </w:rPr>
              <w:t xml:space="preserve">,00 </w:t>
            </w:r>
          </w:p>
        </w:tc>
        <w:tc>
          <w:tcPr>
            <w:tcW w:w="1868" w:type="dxa"/>
            <w:shd w:val="clear" w:color="auto" w:fill="auto"/>
            <w:vAlign w:val="center"/>
          </w:tcPr>
          <w:p w:rsidR="00BF3949" w:rsidRPr="00796D25" w:rsidRDefault="00B74ABF"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6</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Витрати на оборотні активи (матеріали, канцелярські товари тощо),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7</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 xml:space="preserve">Витрати, пов’язані із </w:t>
            </w:r>
            <w:proofErr w:type="spellStart"/>
            <w:r w:rsidRPr="00796D25">
              <w:rPr>
                <w:rFonts w:ascii="Times New Roman" w:eastAsia="Times New Roman" w:hAnsi="Times New Roman"/>
                <w:color w:val="auto"/>
                <w:kern w:val="0"/>
                <w:sz w:val="28"/>
                <w:lang w:val="uk-UA"/>
              </w:rPr>
              <w:t>наймом</w:t>
            </w:r>
            <w:proofErr w:type="spellEnd"/>
            <w:r w:rsidRPr="00796D25">
              <w:rPr>
                <w:rFonts w:ascii="Times New Roman" w:eastAsia="Times New Roman" w:hAnsi="Times New Roman"/>
                <w:color w:val="auto"/>
                <w:kern w:val="0"/>
                <w:sz w:val="28"/>
                <w:lang w:val="uk-UA"/>
              </w:rPr>
              <w:t xml:space="preserve"> додаткового персоналу, гривень</w:t>
            </w:r>
          </w:p>
        </w:tc>
        <w:tc>
          <w:tcPr>
            <w:tcW w:w="1867"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r w:rsidRPr="00796D25">
              <w:rPr>
                <w:rFonts w:ascii="Times New Roman" w:eastAsia="Times New Roman" w:hAnsi="Times New Roman"/>
                <w:color w:val="auto"/>
                <w:kern w:val="0"/>
                <w:sz w:val="28"/>
                <w:szCs w:val="28"/>
                <w:lang w:val="uk-UA"/>
              </w:rPr>
              <w:t>не передбачено</w:t>
            </w:r>
          </w:p>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szCs w:val="28"/>
                <w:lang w:val="uk-UA"/>
              </w:rPr>
            </w:pP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EB3E43" w:rsidRPr="00796D25" w:rsidTr="00B5191E">
        <w:trPr>
          <w:jc w:val="center"/>
        </w:trPr>
        <w:tc>
          <w:tcPr>
            <w:tcW w:w="566" w:type="dxa"/>
            <w:shd w:val="clear" w:color="auto" w:fill="auto"/>
          </w:tcPr>
          <w:p w:rsidR="00EB3E43" w:rsidRPr="00796D25" w:rsidRDefault="00EB3E43" w:rsidP="00B33E25">
            <w:pPr>
              <w:pStyle w:val="1"/>
              <w:suppressAutoHyphens w:val="0"/>
              <w:spacing w:line="240" w:lineRule="auto"/>
              <w:jc w:val="both"/>
              <w:rPr>
                <w:rFonts w:ascii="Times New Roman" w:eastAsia="Times New Roman" w:hAnsi="Times New Roman"/>
                <w:color w:val="auto"/>
                <w:kern w:val="0"/>
                <w:sz w:val="28"/>
                <w:lang w:val="uk-UA"/>
              </w:rPr>
            </w:pPr>
            <w:r>
              <w:rPr>
                <w:rFonts w:ascii="Times New Roman" w:eastAsia="Times New Roman" w:hAnsi="Times New Roman"/>
                <w:color w:val="auto"/>
                <w:kern w:val="0"/>
                <w:sz w:val="28"/>
                <w:lang w:val="uk-UA"/>
              </w:rPr>
              <w:t>8</w:t>
            </w:r>
          </w:p>
        </w:tc>
        <w:tc>
          <w:tcPr>
            <w:tcW w:w="5068" w:type="dxa"/>
            <w:shd w:val="clear" w:color="auto" w:fill="auto"/>
          </w:tcPr>
          <w:p w:rsidR="00EB3E43" w:rsidRPr="00EB3E43" w:rsidRDefault="00EB3E43" w:rsidP="00EB3E43">
            <w:pPr>
              <w:spacing w:after="0" w:line="20" w:lineRule="atLeast"/>
              <w:ind w:right="450"/>
              <w:contextualSpacing/>
              <w:rPr>
                <w:rFonts w:ascii="Times New Roman" w:eastAsia="Times New Roman" w:hAnsi="Times New Roman"/>
                <w:color w:val="000000" w:themeColor="text1"/>
                <w:sz w:val="28"/>
                <w:szCs w:val="28"/>
                <w:lang w:eastAsia="uk-UA"/>
              </w:rPr>
            </w:pPr>
            <w:r w:rsidRPr="00EB3E43">
              <w:rPr>
                <w:rFonts w:ascii="Times New Roman" w:eastAsia="Times New Roman" w:hAnsi="Times New Roman"/>
                <w:color w:val="000000" w:themeColor="text1"/>
                <w:sz w:val="28"/>
                <w:szCs w:val="28"/>
                <w:lang w:eastAsia="uk-UA"/>
              </w:rPr>
              <w:t>Інше, гривень</w:t>
            </w:r>
          </w:p>
          <w:p w:rsidR="00EB3E43" w:rsidRPr="00EB3E43" w:rsidRDefault="00EB3E43" w:rsidP="00EB3E43">
            <w:pPr>
              <w:spacing w:after="0"/>
              <w:jc w:val="both"/>
              <w:rPr>
                <w:rFonts w:ascii="Times New Roman" w:eastAsia="Times New Roman" w:hAnsi="Times New Roman"/>
                <w:color w:val="000000" w:themeColor="text1"/>
                <w:sz w:val="28"/>
                <w:szCs w:val="28"/>
              </w:rPr>
            </w:pPr>
            <w:r w:rsidRPr="00EB3E43">
              <w:rPr>
                <w:rFonts w:ascii="Times New Roman" w:eastAsia="Times New Roman" w:hAnsi="Times New Roman"/>
                <w:color w:val="000000" w:themeColor="text1"/>
                <w:sz w:val="28"/>
                <w:szCs w:val="28"/>
              </w:rPr>
              <w:t>Витрати, пов’язані з ознайомленням та приведенням локальних актів у відповідність до встановленої форми (1 год на ознайомлення з регуляторним актом)</w:t>
            </w:r>
          </w:p>
          <w:p w:rsidR="00EB3E43" w:rsidRPr="00EB3E43" w:rsidRDefault="00EB3E43" w:rsidP="00EB3E43">
            <w:pPr>
              <w:pStyle w:val="1"/>
              <w:suppressAutoHyphens w:val="0"/>
              <w:spacing w:line="240" w:lineRule="auto"/>
              <w:rPr>
                <w:rFonts w:ascii="Times New Roman" w:eastAsia="Times New Roman" w:hAnsi="Times New Roman"/>
                <w:color w:val="auto"/>
                <w:kern w:val="0"/>
                <w:sz w:val="28"/>
                <w:szCs w:val="28"/>
                <w:lang w:val="uk-UA"/>
              </w:rPr>
            </w:pPr>
            <w:r w:rsidRPr="00EB3E43">
              <w:rPr>
                <w:rFonts w:ascii="Times New Roman" w:hAnsi="Times New Roman"/>
                <w:color w:val="000000" w:themeColor="text1"/>
                <w:sz w:val="28"/>
                <w:szCs w:val="28"/>
                <w:lang w:val="uk-UA"/>
              </w:rPr>
              <w:t>Прийняття внутрішніх рішень (2 год</w:t>
            </w:r>
            <w:bookmarkStart w:id="1" w:name="_GoBack"/>
            <w:bookmarkEnd w:id="1"/>
            <w:r w:rsidRPr="00EB3E43">
              <w:rPr>
                <w:rFonts w:ascii="Times New Roman" w:hAnsi="Times New Roman"/>
                <w:color w:val="000000" w:themeColor="text1"/>
                <w:sz w:val="28"/>
                <w:szCs w:val="28"/>
                <w:lang w:val="uk-UA"/>
              </w:rPr>
              <w:t xml:space="preserve"> / заклад освіти)</w:t>
            </w:r>
          </w:p>
        </w:tc>
        <w:tc>
          <w:tcPr>
            <w:tcW w:w="1867" w:type="dxa"/>
            <w:shd w:val="clear" w:color="auto" w:fill="auto"/>
            <w:vAlign w:val="center"/>
          </w:tcPr>
          <w:p w:rsidR="00EB3E43" w:rsidRPr="008F2E6F" w:rsidRDefault="00EB3E43" w:rsidP="00EB3E43">
            <w:pPr>
              <w:spacing w:after="0"/>
              <w:jc w:val="center"/>
              <w:rPr>
                <w:rFonts w:ascii="Times New Roman" w:eastAsia="Times New Roman" w:hAnsi="Times New Roman"/>
                <w:sz w:val="28"/>
                <w:szCs w:val="28"/>
              </w:rPr>
            </w:pPr>
          </w:p>
          <w:p w:rsidR="00EB3E43" w:rsidRPr="008F2E6F" w:rsidRDefault="00EB3E43" w:rsidP="00EB3E43">
            <w:pPr>
              <w:spacing w:after="0"/>
              <w:jc w:val="center"/>
              <w:rPr>
                <w:rFonts w:ascii="Times New Roman" w:eastAsia="Times New Roman" w:hAnsi="Times New Roman"/>
                <w:sz w:val="28"/>
                <w:szCs w:val="28"/>
              </w:rPr>
            </w:pPr>
          </w:p>
          <w:p w:rsidR="00EB3E43" w:rsidRPr="008F2E6F" w:rsidRDefault="00EB3E43" w:rsidP="00EB3E43">
            <w:pPr>
              <w:spacing w:after="0"/>
              <w:jc w:val="center"/>
              <w:rPr>
                <w:rFonts w:ascii="Times New Roman" w:eastAsia="Times New Roman" w:hAnsi="Times New Roman"/>
                <w:sz w:val="28"/>
                <w:szCs w:val="28"/>
              </w:rPr>
            </w:pPr>
          </w:p>
          <w:p w:rsidR="00EB3E43" w:rsidRDefault="00EB3E43" w:rsidP="00EB3E43">
            <w:pPr>
              <w:spacing w:after="0"/>
              <w:jc w:val="center"/>
              <w:rPr>
                <w:rFonts w:ascii="Times New Roman" w:eastAsia="Times New Roman" w:hAnsi="Times New Roman"/>
                <w:sz w:val="28"/>
                <w:szCs w:val="28"/>
              </w:rPr>
            </w:pPr>
            <w:r w:rsidRPr="008F2E6F">
              <w:rPr>
                <w:rFonts w:ascii="Times New Roman" w:eastAsia="Times New Roman" w:hAnsi="Times New Roman"/>
                <w:sz w:val="28"/>
                <w:szCs w:val="28"/>
              </w:rPr>
              <w:t xml:space="preserve">48,00 </w:t>
            </w:r>
          </w:p>
          <w:p w:rsidR="00EB3E43" w:rsidRPr="008F2E6F" w:rsidRDefault="00EB3E43" w:rsidP="00EB3E43">
            <w:pPr>
              <w:spacing w:after="0"/>
              <w:jc w:val="center"/>
              <w:rPr>
                <w:rFonts w:ascii="Times New Roman" w:eastAsia="Times New Roman" w:hAnsi="Times New Roman"/>
                <w:sz w:val="28"/>
                <w:szCs w:val="28"/>
              </w:rPr>
            </w:pPr>
          </w:p>
          <w:p w:rsidR="00EB3E43" w:rsidRDefault="00EB3E43" w:rsidP="00EB3E43">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sz w:val="28"/>
                <w:szCs w:val="28"/>
                <w:lang w:val="uk-UA"/>
              </w:rPr>
              <w:t>96</w:t>
            </w:r>
            <w:r w:rsidRPr="008F2E6F">
              <w:rPr>
                <w:rFonts w:ascii="Times New Roman" w:eastAsia="Times New Roman" w:hAnsi="Times New Roman"/>
                <w:sz w:val="28"/>
                <w:szCs w:val="28"/>
              </w:rPr>
              <w:t xml:space="preserve">,00 </w:t>
            </w:r>
          </w:p>
        </w:tc>
        <w:tc>
          <w:tcPr>
            <w:tcW w:w="1868" w:type="dxa"/>
            <w:shd w:val="clear" w:color="auto" w:fill="auto"/>
            <w:vAlign w:val="center"/>
          </w:tcPr>
          <w:p w:rsidR="00EB3E43" w:rsidRPr="00796D25" w:rsidRDefault="00EB3E43" w:rsidP="00B33E25">
            <w:pPr>
              <w:pStyle w:val="1"/>
              <w:suppressAutoHyphens w:val="0"/>
              <w:spacing w:line="240" w:lineRule="auto"/>
              <w:jc w:val="center"/>
              <w:rPr>
                <w:rFonts w:ascii="Times New Roman" w:eastAsia="Times New Roman" w:hAnsi="Times New Roman"/>
                <w:color w:val="auto"/>
                <w:kern w:val="0"/>
                <w:sz w:val="28"/>
                <w:lang w:val="uk-UA"/>
              </w:rPr>
            </w:pP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9</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РАЗОМ, гривень</w:t>
            </w:r>
          </w:p>
        </w:tc>
        <w:tc>
          <w:tcPr>
            <w:tcW w:w="1867" w:type="dxa"/>
            <w:shd w:val="clear" w:color="auto" w:fill="auto"/>
            <w:vAlign w:val="center"/>
          </w:tcPr>
          <w:p w:rsidR="00B5191E" w:rsidRPr="00796D25" w:rsidRDefault="00B5191E"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384,00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10</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Кількість суб’єктів господарювання великого та середнього підприємництва, на яких буде поширено регулювання, одиниць</w:t>
            </w:r>
          </w:p>
        </w:tc>
        <w:tc>
          <w:tcPr>
            <w:tcW w:w="1867" w:type="dxa"/>
            <w:shd w:val="clear" w:color="auto" w:fill="auto"/>
            <w:vAlign w:val="center"/>
          </w:tcPr>
          <w:p w:rsidR="00B33E25" w:rsidRPr="00796D25" w:rsidRDefault="00255877"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eastAsia="Times New Roman" w:hAnsi="Times New Roman"/>
                <w:color w:val="auto"/>
                <w:kern w:val="0"/>
                <w:sz w:val="28"/>
                <w:szCs w:val="28"/>
                <w:lang w:val="uk-UA"/>
              </w:rPr>
              <w:t>674</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r w:rsidR="00B33E25" w:rsidRPr="00796D25" w:rsidTr="00B5191E">
        <w:trPr>
          <w:jc w:val="center"/>
        </w:trPr>
        <w:tc>
          <w:tcPr>
            <w:tcW w:w="566" w:type="dxa"/>
            <w:shd w:val="clear" w:color="auto" w:fill="auto"/>
          </w:tcPr>
          <w:p w:rsidR="00B33E25" w:rsidRPr="00796D25" w:rsidRDefault="00B33E25" w:rsidP="00B33E25">
            <w:pPr>
              <w:pStyle w:val="1"/>
              <w:suppressAutoHyphens w:val="0"/>
              <w:spacing w:line="240" w:lineRule="auto"/>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11</w:t>
            </w:r>
          </w:p>
        </w:tc>
        <w:tc>
          <w:tcPr>
            <w:tcW w:w="5068" w:type="dxa"/>
            <w:shd w:val="clear" w:color="auto" w:fill="auto"/>
          </w:tcPr>
          <w:p w:rsidR="00B33E25" w:rsidRPr="00796D25" w:rsidRDefault="00B33E25" w:rsidP="00B33E25">
            <w:pPr>
              <w:pStyle w:val="1"/>
              <w:suppressAutoHyphens w:val="0"/>
              <w:spacing w:line="240" w:lineRule="auto"/>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Сумарні витрати суб’єктів господарювання великого та середнього підприємства, на виконання регулювання (вартість регулювання) (рядок 9 х рядок 10), гривень</w:t>
            </w:r>
          </w:p>
        </w:tc>
        <w:tc>
          <w:tcPr>
            <w:tcW w:w="1867" w:type="dxa"/>
            <w:shd w:val="clear" w:color="auto" w:fill="auto"/>
            <w:vAlign w:val="center"/>
          </w:tcPr>
          <w:p w:rsidR="00B5191E" w:rsidRPr="00796D25" w:rsidRDefault="00B5191E" w:rsidP="00B33E25">
            <w:pPr>
              <w:pStyle w:val="1"/>
              <w:suppressAutoHyphens w:val="0"/>
              <w:spacing w:line="240" w:lineRule="auto"/>
              <w:jc w:val="center"/>
              <w:rPr>
                <w:rFonts w:ascii="Times New Roman" w:eastAsia="Times New Roman" w:hAnsi="Times New Roman"/>
                <w:color w:val="auto"/>
                <w:kern w:val="0"/>
                <w:sz w:val="28"/>
                <w:szCs w:val="28"/>
                <w:lang w:val="uk-UA"/>
              </w:rPr>
            </w:pPr>
            <w:r>
              <w:rPr>
                <w:rFonts w:ascii="Times New Roman" w:hAnsi="Times New Roman" w:cs="Times New Roman"/>
                <w:sz w:val="28"/>
                <w:szCs w:val="28"/>
                <w:lang w:val="uk-UA"/>
              </w:rPr>
              <w:t>258 816,00</w:t>
            </w:r>
          </w:p>
        </w:tc>
        <w:tc>
          <w:tcPr>
            <w:tcW w:w="1868" w:type="dxa"/>
            <w:shd w:val="clear" w:color="auto" w:fill="auto"/>
            <w:vAlign w:val="center"/>
          </w:tcPr>
          <w:p w:rsidR="00B33E25" w:rsidRPr="00796D25" w:rsidRDefault="00B33E25" w:rsidP="00B33E25">
            <w:pPr>
              <w:pStyle w:val="1"/>
              <w:suppressAutoHyphens w:val="0"/>
              <w:spacing w:line="240" w:lineRule="auto"/>
              <w:jc w:val="center"/>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t>не передбачено</w:t>
            </w:r>
          </w:p>
        </w:tc>
      </w:tr>
    </w:tbl>
    <w:p w:rsidR="003E533F" w:rsidRDefault="003E533F" w:rsidP="009E70F1">
      <w:pPr>
        <w:pStyle w:val="1"/>
        <w:suppressAutoHyphens w:val="0"/>
        <w:spacing w:line="240" w:lineRule="auto"/>
        <w:jc w:val="both"/>
        <w:rPr>
          <w:rFonts w:ascii="Times New Roman" w:eastAsia="Times New Roman" w:hAnsi="Times New Roman" w:cs="Times New Roman"/>
          <w:sz w:val="20"/>
          <w:lang w:val="ru-RU"/>
        </w:rPr>
      </w:pPr>
    </w:p>
    <w:p w:rsidR="009E70F1" w:rsidRDefault="00B33E25" w:rsidP="009E70F1">
      <w:pPr>
        <w:pStyle w:val="1"/>
        <w:suppressAutoHyphens w:val="0"/>
        <w:spacing w:line="240" w:lineRule="auto"/>
        <w:jc w:val="both"/>
        <w:rPr>
          <w:rFonts w:ascii="Times New Roman" w:hAnsi="Times New Roman" w:cs="Times New Roman"/>
          <w:sz w:val="20"/>
          <w:shd w:val="clear" w:color="auto" w:fill="F5F5F5"/>
          <w:lang w:val="ru-RU"/>
        </w:rPr>
      </w:pPr>
      <w:proofErr w:type="spellStart"/>
      <w:r w:rsidRPr="00575F50">
        <w:rPr>
          <w:rFonts w:ascii="Times New Roman" w:eastAsia="Times New Roman" w:hAnsi="Times New Roman" w:cs="Times New Roman"/>
          <w:sz w:val="20"/>
          <w:lang w:val="ru-RU"/>
        </w:rPr>
        <w:t>Ро</w:t>
      </w:r>
      <w:r w:rsidRPr="00575F50">
        <w:rPr>
          <w:rFonts w:ascii="Times New Roman" w:hAnsi="Times New Roman" w:cs="Times New Roman"/>
          <w:sz w:val="20"/>
          <w:shd w:val="clear" w:color="auto" w:fill="F5F5F5"/>
          <w:lang w:val="ru-RU"/>
        </w:rPr>
        <w:t>змір</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мінімальної</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заробітної</w:t>
      </w:r>
      <w:proofErr w:type="spellEnd"/>
      <w:r w:rsidRPr="00575F50">
        <w:rPr>
          <w:rFonts w:ascii="Times New Roman" w:hAnsi="Times New Roman" w:cs="Times New Roman"/>
          <w:sz w:val="20"/>
          <w:shd w:val="clear" w:color="auto" w:fill="F5F5F5"/>
          <w:lang w:val="ru-RU"/>
        </w:rPr>
        <w:t xml:space="preserve"> плати на 2024 </w:t>
      </w:r>
      <w:proofErr w:type="spellStart"/>
      <w:r w:rsidRPr="00575F50">
        <w:rPr>
          <w:rFonts w:ascii="Times New Roman" w:hAnsi="Times New Roman" w:cs="Times New Roman"/>
          <w:sz w:val="20"/>
          <w:shd w:val="clear" w:color="auto" w:fill="F5F5F5"/>
          <w:lang w:val="ru-RU"/>
        </w:rPr>
        <w:t>рік</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затверджений</w:t>
      </w:r>
      <w:proofErr w:type="spellEnd"/>
      <w:r w:rsidRPr="00575F50">
        <w:rPr>
          <w:rFonts w:ascii="Times New Roman" w:hAnsi="Times New Roman" w:cs="Times New Roman"/>
          <w:sz w:val="20"/>
          <w:shd w:val="clear" w:color="auto" w:fill="F5F5F5"/>
          <w:lang w:val="ru-RU"/>
        </w:rPr>
        <w:t xml:space="preserve"> Законом </w:t>
      </w:r>
      <w:proofErr w:type="spellStart"/>
      <w:r w:rsidRPr="00575F50">
        <w:rPr>
          <w:rFonts w:ascii="Times New Roman" w:hAnsi="Times New Roman" w:cs="Times New Roman"/>
          <w:sz w:val="20"/>
          <w:shd w:val="clear" w:color="auto" w:fill="F5F5F5"/>
          <w:lang w:val="ru-RU"/>
        </w:rPr>
        <w:t>України</w:t>
      </w:r>
      <w:proofErr w:type="spellEnd"/>
      <w:r w:rsidRPr="00575F50">
        <w:rPr>
          <w:rFonts w:ascii="Times New Roman" w:hAnsi="Times New Roman" w:cs="Times New Roman"/>
          <w:sz w:val="20"/>
          <w:shd w:val="clear" w:color="auto" w:fill="F5F5F5"/>
          <w:lang w:val="ru-RU"/>
        </w:rPr>
        <w:t xml:space="preserve"> "Про </w:t>
      </w:r>
      <w:proofErr w:type="spellStart"/>
      <w:r w:rsidRPr="00575F50">
        <w:rPr>
          <w:rFonts w:ascii="Times New Roman" w:hAnsi="Times New Roman" w:cs="Times New Roman"/>
          <w:sz w:val="20"/>
          <w:shd w:val="clear" w:color="auto" w:fill="F5F5F5"/>
          <w:lang w:val="ru-RU"/>
        </w:rPr>
        <w:t>Державний</w:t>
      </w:r>
      <w:proofErr w:type="spellEnd"/>
      <w:r w:rsidRPr="00575F50">
        <w:rPr>
          <w:rFonts w:ascii="Times New Roman" w:hAnsi="Times New Roman" w:cs="Times New Roman"/>
          <w:sz w:val="20"/>
          <w:shd w:val="clear" w:color="auto" w:fill="F5F5F5"/>
          <w:lang w:val="ru-RU"/>
        </w:rPr>
        <w:t xml:space="preserve"> бюджет </w:t>
      </w:r>
      <w:proofErr w:type="spellStart"/>
      <w:r w:rsidRPr="00575F50">
        <w:rPr>
          <w:rFonts w:ascii="Times New Roman" w:hAnsi="Times New Roman" w:cs="Times New Roman"/>
          <w:sz w:val="20"/>
          <w:shd w:val="clear" w:color="auto" w:fill="F5F5F5"/>
          <w:lang w:val="ru-RU"/>
        </w:rPr>
        <w:t>України</w:t>
      </w:r>
      <w:proofErr w:type="spellEnd"/>
      <w:r w:rsidRPr="00575F50">
        <w:rPr>
          <w:rFonts w:ascii="Times New Roman" w:hAnsi="Times New Roman" w:cs="Times New Roman"/>
          <w:sz w:val="20"/>
          <w:shd w:val="clear" w:color="auto" w:fill="F5F5F5"/>
          <w:lang w:val="ru-RU"/>
        </w:rPr>
        <w:t xml:space="preserve"> на 2024 </w:t>
      </w:r>
      <w:proofErr w:type="spellStart"/>
      <w:r w:rsidRPr="00575F50">
        <w:rPr>
          <w:rFonts w:ascii="Times New Roman" w:hAnsi="Times New Roman" w:cs="Times New Roman"/>
          <w:sz w:val="20"/>
          <w:shd w:val="clear" w:color="auto" w:fill="F5F5F5"/>
          <w:lang w:val="ru-RU"/>
        </w:rPr>
        <w:t>рік</w:t>
      </w:r>
      <w:proofErr w:type="spellEnd"/>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від</w:t>
      </w:r>
      <w:proofErr w:type="spellEnd"/>
      <w:r w:rsidRPr="00575F50">
        <w:rPr>
          <w:rFonts w:ascii="Times New Roman" w:hAnsi="Times New Roman" w:cs="Times New Roman"/>
          <w:sz w:val="20"/>
          <w:shd w:val="clear" w:color="auto" w:fill="F5F5F5"/>
          <w:lang w:val="ru-RU"/>
        </w:rPr>
        <w:t xml:space="preserve"> 0</w:t>
      </w:r>
      <w:r w:rsidR="009E70F1" w:rsidRPr="00575F50">
        <w:rPr>
          <w:rFonts w:ascii="Times New Roman" w:hAnsi="Times New Roman" w:cs="Times New Roman"/>
          <w:sz w:val="20"/>
          <w:shd w:val="clear" w:color="auto" w:fill="F5F5F5"/>
          <w:lang w:val="ru-RU"/>
        </w:rPr>
        <w:t>9</w:t>
      </w:r>
      <w:r w:rsidRPr="00575F50">
        <w:rPr>
          <w:rFonts w:ascii="Times New Roman" w:hAnsi="Times New Roman" w:cs="Times New Roman"/>
          <w:sz w:val="20"/>
          <w:shd w:val="clear" w:color="auto" w:fill="F5F5F5"/>
          <w:lang w:val="ru-RU"/>
        </w:rPr>
        <w:t>.11.202</w:t>
      </w:r>
      <w:r w:rsidR="009E70F1" w:rsidRPr="00575F50">
        <w:rPr>
          <w:rFonts w:ascii="Times New Roman" w:hAnsi="Times New Roman" w:cs="Times New Roman"/>
          <w:sz w:val="20"/>
          <w:shd w:val="clear" w:color="auto" w:fill="F5F5F5"/>
          <w:lang w:val="ru-RU"/>
        </w:rPr>
        <w:t>3</w:t>
      </w:r>
      <w:r w:rsidRPr="00575F50">
        <w:rPr>
          <w:rFonts w:ascii="Times New Roman" w:hAnsi="Times New Roman" w:cs="Times New Roman"/>
          <w:sz w:val="20"/>
          <w:lang w:val="ru-RU"/>
        </w:rPr>
        <w:t xml:space="preserve"> № </w:t>
      </w:r>
      <w:r w:rsidR="009E70F1" w:rsidRPr="00575F50">
        <w:rPr>
          <w:rFonts w:ascii="Times New Roman" w:hAnsi="Times New Roman" w:cs="Times New Roman"/>
          <w:sz w:val="20"/>
          <w:shd w:val="clear" w:color="auto" w:fill="F5F5F5"/>
          <w:lang w:val="ru-RU"/>
        </w:rPr>
        <w:t>3460</w:t>
      </w:r>
      <w:r w:rsidRPr="00575F50">
        <w:rPr>
          <w:rFonts w:ascii="Times New Roman" w:hAnsi="Times New Roman" w:cs="Times New Roman"/>
          <w:sz w:val="20"/>
          <w:shd w:val="clear" w:color="auto" w:fill="F5F5F5"/>
          <w:lang w:val="ru-RU"/>
        </w:rPr>
        <w:t>-</w:t>
      </w:r>
      <w:r w:rsidRPr="00575F50">
        <w:rPr>
          <w:rFonts w:ascii="Times New Roman" w:hAnsi="Times New Roman" w:cs="Times New Roman"/>
          <w:sz w:val="20"/>
          <w:shd w:val="clear" w:color="auto" w:fill="F5F5F5"/>
        </w:rPr>
        <w:t>IX</w:t>
      </w:r>
      <w:r w:rsidR="003E533F" w:rsidRPr="00575F50">
        <w:rPr>
          <w:rFonts w:ascii="Times New Roman" w:hAnsi="Times New Roman" w:cs="Times New Roman"/>
          <w:sz w:val="20"/>
          <w:shd w:val="clear" w:color="auto" w:fill="F5F5F5"/>
          <w:lang w:val="uk-UA"/>
        </w:rPr>
        <w:t xml:space="preserve"> (із змінами, внесеними згідно із Законом № 3978-ІХ від 18.09.2024)</w:t>
      </w:r>
      <w:r w:rsidRPr="00575F50">
        <w:rPr>
          <w:rFonts w:ascii="Times New Roman" w:hAnsi="Times New Roman" w:cs="Times New Roman"/>
          <w:sz w:val="20"/>
          <w:shd w:val="clear" w:color="auto" w:fill="F5F5F5"/>
          <w:lang w:val="uk-UA"/>
        </w:rPr>
        <w:t>,</w:t>
      </w:r>
      <w:r w:rsidRPr="00575F50">
        <w:rPr>
          <w:rFonts w:ascii="Times New Roman" w:hAnsi="Times New Roman" w:cs="Times New Roman"/>
          <w:sz w:val="20"/>
          <w:shd w:val="clear" w:color="auto" w:fill="F5F5F5"/>
          <w:lang w:val="ru-RU"/>
        </w:rPr>
        <w:t xml:space="preserve"> становить </w:t>
      </w:r>
      <w:r w:rsidR="003E533F" w:rsidRPr="00575F50">
        <w:rPr>
          <w:rFonts w:ascii="Times New Roman" w:hAnsi="Times New Roman" w:cs="Times New Roman"/>
          <w:sz w:val="20"/>
          <w:shd w:val="clear" w:color="auto" w:fill="F5F5F5"/>
          <w:lang w:val="ru-RU"/>
        </w:rPr>
        <w:t>48</w:t>
      </w:r>
      <w:r w:rsidRPr="00575F50">
        <w:rPr>
          <w:rFonts w:ascii="Times New Roman" w:hAnsi="Times New Roman" w:cs="Times New Roman"/>
          <w:sz w:val="20"/>
          <w:shd w:val="clear" w:color="auto" w:fill="F5F5F5"/>
          <w:lang w:val="ru-RU"/>
        </w:rPr>
        <w:t xml:space="preserve"> </w:t>
      </w:r>
      <w:proofErr w:type="spellStart"/>
      <w:r w:rsidRPr="00575F50">
        <w:rPr>
          <w:rFonts w:ascii="Times New Roman" w:hAnsi="Times New Roman" w:cs="Times New Roman"/>
          <w:sz w:val="20"/>
          <w:shd w:val="clear" w:color="auto" w:fill="F5F5F5"/>
          <w:lang w:val="ru-RU"/>
        </w:rPr>
        <w:t>грн</w:t>
      </w:r>
      <w:proofErr w:type="spellEnd"/>
      <w:r w:rsidRPr="00575F50">
        <w:rPr>
          <w:rFonts w:ascii="Times New Roman" w:hAnsi="Times New Roman" w:cs="Times New Roman"/>
          <w:sz w:val="20"/>
          <w:shd w:val="clear" w:color="auto" w:fill="F5F5F5"/>
          <w:lang w:val="ru-RU"/>
        </w:rPr>
        <w:t xml:space="preserve"> за годину</w:t>
      </w:r>
    </w:p>
    <w:p w:rsidR="009E70F1" w:rsidRDefault="009E70F1" w:rsidP="009E70F1">
      <w:pPr>
        <w:pStyle w:val="1"/>
        <w:suppressAutoHyphens w:val="0"/>
        <w:spacing w:line="240" w:lineRule="auto"/>
        <w:jc w:val="both"/>
        <w:rPr>
          <w:rFonts w:ascii="Times New Roman" w:hAnsi="Times New Roman" w:cs="Times New Roman"/>
          <w:sz w:val="20"/>
          <w:shd w:val="clear" w:color="auto" w:fill="F5F5F5"/>
          <w:lang w:val="ru-RU"/>
        </w:rPr>
      </w:pPr>
    </w:p>
    <w:p w:rsidR="009E70F1" w:rsidRDefault="009E70F1" w:rsidP="009E70F1">
      <w:pPr>
        <w:pStyle w:val="1"/>
        <w:suppressAutoHyphens w:val="0"/>
        <w:spacing w:line="240" w:lineRule="auto"/>
        <w:jc w:val="both"/>
        <w:rPr>
          <w:rFonts w:ascii="Times New Roman" w:hAnsi="Times New Roman" w:cs="Times New Roman"/>
          <w:sz w:val="20"/>
          <w:shd w:val="clear" w:color="auto" w:fill="F5F5F5"/>
          <w:lang w:val="ru-RU"/>
        </w:rPr>
      </w:pPr>
    </w:p>
    <w:p w:rsidR="00B077AF" w:rsidRDefault="00B077AF">
      <w:pPr>
        <w:rPr>
          <w:rFonts w:ascii="Times New Roman" w:eastAsia="Arial" w:hAnsi="Times New Roman" w:cs="Times New Roman"/>
          <w:color w:val="000000"/>
          <w:kern w:val="3"/>
          <w:sz w:val="20"/>
          <w:szCs w:val="20"/>
          <w:shd w:val="clear" w:color="auto" w:fill="F5F5F5"/>
          <w:lang w:val="ru-RU" w:eastAsia="ru-RU"/>
        </w:rPr>
      </w:pPr>
      <w:r>
        <w:rPr>
          <w:rFonts w:ascii="Times New Roman" w:hAnsi="Times New Roman" w:cs="Times New Roman"/>
          <w:sz w:val="20"/>
          <w:shd w:val="clear" w:color="auto" w:fill="F5F5F5"/>
          <w:lang w:val="ru-RU"/>
        </w:rPr>
        <w:br w:type="page"/>
      </w:r>
    </w:p>
    <w:p w:rsidR="00B33E25" w:rsidRPr="00796D25" w:rsidRDefault="00B33E25" w:rsidP="00064661">
      <w:pPr>
        <w:pStyle w:val="1"/>
        <w:suppressAutoHyphens w:val="0"/>
        <w:spacing w:line="240" w:lineRule="auto"/>
        <w:ind w:left="7788"/>
        <w:jc w:val="both"/>
        <w:rPr>
          <w:rFonts w:ascii="Times New Roman" w:eastAsia="Times New Roman" w:hAnsi="Times New Roman"/>
          <w:color w:val="auto"/>
          <w:kern w:val="0"/>
          <w:sz w:val="28"/>
          <w:lang w:val="uk-UA"/>
        </w:rPr>
      </w:pPr>
      <w:r w:rsidRPr="00796D25">
        <w:rPr>
          <w:rFonts w:ascii="Times New Roman" w:eastAsia="Times New Roman" w:hAnsi="Times New Roman"/>
          <w:color w:val="auto"/>
          <w:kern w:val="0"/>
          <w:sz w:val="28"/>
          <w:lang w:val="uk-UA"/>
        </w:rPr>
        <w:lastRenderedPageBreak/>
        <w:t>Додаток 3</w:t>
      </w:r>
    </w:p>
    <w:p w:rsidR="00B33E25" w:rsidRPr="00796D25" w:rsidRDefault="00B33E25" w:rsidP="00B33E25">
      <w:pPr>
        <w:pStyle w:val="1"/>
        <w:suppressAutoHyphens w:val="0"/>
        <w:spacing w:line="240" w:lineRule="auto"/>
        <w:ind w:left="5760"/>
        <w:jc w:val="both"/>
        <w:rPr>
          <w:rFonts w:ascii="Times New Roman" w:eastAsia="Times New Roman" w:hAnsi="Times New Roman"/>
          <w:color w:val="auto"/>
          <w:kern w:val="0"/>
          <w:sz w:val="28"/>
          <w:lang w:val="uk-UA"/>
        </w:rPr>
      </w:pPr>
    </w:p>
    <w:p w:rsidR="00B33E25" w:rsidRPr="00796D25" w:rsidRDefault="00B33E25" w:rsidP="00B33E25">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БЮДЖЕТНІ ВИТРАТИ</w:t>
      </w:r>
    </w:p>
    <w:p w:rsidR="00B33E25" w:rsidRPr="00796D25" w:rsidRDefault="00B33E25" w:rsidP="00B33E25">
      <w:pPr>
        <w:pStyle w:val="1"/>
        <w:jc w:val="center"/>
        <w:rPr>
          <w:rFonts w:ascii="Times New Roman" w:eastAsia="Times New Roman" w:hAnsi="Times New Roman"/>
          <w:b/>
          <w:color w:val="auto"/>
          <w:kern w:val="0"/>
          <w:sz w:val="28"/>
          <w:lang w:val="uk-UA"/>
        </w:rPr>
      </w:pPr>
      <w:r w:rsidRPr="00796D25">
        <w:rPr>
          <w:rFonts w:ascii="Times New Roman" w:eastAsia="Times New Roman" w:hAnsi="Times New Roman"/>
          <w:b/>
          <w:color w:val="auto"/>
          <w:kern w:val="0"/>
          <w:sz w:val="28"/>
          <w:lang w:val="uk-UA"/>
        </w:rPr>
        <w:t>на адміністрування регулювання для суб’єктів великого і середнього підприємництва</w:t>
      </w:r>
    </w:p>
    <w:p w:rsidR="00B33E25" w:rsidRPr="00796D25" w:rsidRDefault="00B33E25" w:rsidP="00B33E25">
      <w:pPr>
        <w:pStyle w:val="1"/>
        <w:jc w:val="center"/>
        <w:rPr>
          <w:rFonts w:ascii="Times New Roman" w:eastAsia="Times New Roman" w:hAnsi="Times New Roman"/>
          <w:b/>
          <w:color w:val="auto"/>
          <w:kern w:val="0"/>
          <w:sz w:val="28"/>
          <w:lang w:val="uk-UA"/>
        </w:rPr>
      </w:pPr>
    </w:p>
    <w:p w:rsidR="00B33E25" w:rsidRPr="00796D25" w:rsidRDefault="00B33E25" w:rsidP="00B33E25">
      <w:pPr>
        <w:pStyle w:val="1"/>
        <w:suppressAutoHyphens w:val="0"/>
        <w:spacing w:line="240" w:lineRule="auto"/>
        <w:jc w:val="center"/>
        <w:rPr>
          <w:rFonts w:ascii="Times New Roman" w:eastAsia="Times New Roman" w:hAnsi="Times New Roman"/>
          <w:bCs/>
          <w:color w:val="auto"/>
          <w:kern w:val="0"/>
          <w:sz w:val="28"/>
          <w:lang w:val="uk-UA"/>
        </w:rPr>
      </w:pPr>
      <w:r w:rsidRPr="00796D25">
        <w:rPr>
          <w:rFonts w:ascii="Times New Roman" w:eastAsia="Times New Roman" w:hAnsi="Times New Roman"/>
          <w:bCs/>
          <w:color w:val="auto"/>
          <w:kern w:val="0"/>
          <w:sz w:val="28"/>
          <w:lang w:val="uk-UA"/>
        </w:rPr>
        <w:t>Державний орган, для якого здійснюється розрахунок адміністрування регулювання: Міністерство освіти і науки України</w:t>
      </w:r>
    </w:p>
    <w:p w:rsidR="00B33E25" w:rsidRPr="00796D25" w:rsidRDefault="00B33E25" w:rsidP="00B33E25">
      <w:pPr>
        <w:pStyle w:val="Textbody"/>
        <w:spacing w:after="0" w:line="240" w:lineRule="auto"/>
        <w:ind w:firstLine="3963"/>
        <w:jc w:val="center"/>
        <w:rPr>
          <w:rFonts w:ascii="Times New Roman" w:eastAsia="Times New Roman" w:hAnsi="Times New Roman"/>
          <w:color w:val="auto"/>
          <w:sz w:val="28"/>
          <w:shd w:val="clear" w:color="auto" w:fill="FFFFFF"/>
          <w:lang w:val="uk-UA"/>
        </w:rPr>
      </w:pPr>
    </w:p>
    <w:tbl>
      <w:tblPr>
        <w:tblW w:w="52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302"/>
        <w:gridCol w:w="1729"/>
        <w:gridCol w:w="1451"/>
        <w:gridCol w:w="1548"/>
        <w:gridCol w:w="1897"/>
      </w:tblGrid>
      <w:tr w:rsidR="00B33E25" w:rsidRPr="00796D25" w:rsidTr="00B33E25">
        <w:trPr>
          <w:trHeight w:val="2713"/>
        </w:trPr>
        <w:tc>
          <w:tcPr>
            <w:tcW w:w="1043"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Процедура регулювання суб’єктів великого і середнього підприємництва (розрахунок на одного типового суб’єкта господарювання)</w:t>
            </w:r>
          </w:p>
        </w:tc>
        <w:tc>
          <w:tcPr>
            <w:tcW w:w="650"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Планові витрати часу на процедуру</w:t>
            </w:r>
          </w:p>
        </w:tc>
        <w:tc>
          <w:tcPr>
            <w:tcW w:w="863"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Вартість часу співробітника органу державної влади відповідної категорії (заробітна плата)</w:t>
            </w:r>
          </w:p>
        </w:tc>
        <w:tc>
          <w:tcPr>
            <w:tcW w:w="724"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Оцінка кількості процедур за рік, що припадають на одного суб’єкта</w:t>
            </w:r>
          </w:p>
        </w:tc>
        <w:tc>
          <w:tcPr>
            <w:tcW w:w="772"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Оцінка кількості  </w:t>
            </w:r>
          </w:p>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суб’єктів, що підпадають </w:t>
            </w:r>
          </w:p>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під дію процедури регулювання</w:t>
            </w:r>
          </w:p>
        </w:tc>
        <w:tc>
          <w:tcPr>
            <w:tcW w:w="947" w:type="pct"/>
            <w:shd w:val="clear" w:color="auto" w:fill="auto"/>
            <w:hideMark/>
          </w:tcPr>
          <w:p w:rsidR="00B33E25" w:rsidRPr="00796D25" w:rsidRDefault="00B33E25" w:rsidP="00B33E25">
            <w:pPr>
              <w:spacing w:before="150" w:after="15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Витрати на адміністрування регулювання* (за рік), гривень</w:t>
            </w: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1. Облік суб’єкта </w:t>
            </w:r>
            <w:r w:rsidR="00B077AF" w:rsidRPr="00796D25">
              <w:rPr>
                <w:rFonts w:ascii="Times New Roman" w:eastAsia="Times New Roman" w:hAnsi="Times New Roman" w:cs="Times New Roman"/>
                <w:sz w:val="24"/>
                <w:szCs w:val="24"/>
              </w:rPr>
              <w:t>господарювання</w:t>
            </w:r>
            <w:r w:rsidRPr="00796D25">
              <w:rPr>
                <w:rFonts w:ascii="Times New Roman" w:eastAsia="Times New Roman" w:hAnsi="Times New Roman" w:cs="Times New Roman"/>
                <w:sz w:val="24"/>
                <w:szCs w:val="24"/>
              </w:rPr>
              <w:t>, що перебуває у сфері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2. Поточний контроль за суб’єктом господарювання, що перебуває у сфері регулювання, у тому числі:</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камеральні</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виїзні</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3. Підготовка, затвердження та опрацювання одного окремого акта про </w:t>
            </w:r>
            <w:r w:rsidRPr="00796D25">
              <w:rPr>
                <w:rFonts w:ascii="Times New Roman" w:eastAsia="Times New Roman" w:hAnsi="Times New Roman" w:cs="Times New Roman"/>
                <w:sz w:val="24"/>
                <w:szCs w:val="24"/>
              </w:rPr>
              <w:lastRenderedPageBreak/>
              <w:t>порушення вимог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4. Реалізація одного окремого рішення щодо порушення вимог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5. Оскарження одного окремого рішення суб’єктами господарювання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B33E25">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6. Підготовка звітності за результатами регулювання</w:t>
            </w:r>
          </w:p>
        </w:tc>
        <w:tc>
          <w:tcPr>
            <w:tcW w:w="650"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c>
          <w:tcPr>
            <w:tcW w:w="947"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p>
        </w:tc>
      </w:tr>
      <w:tr w:rsidR="00B33E25" w:rsidRPr="00796D25" w:rsidTr="00284D93">
        <w:trPr>
          <w:trHeight w:val="5709"/>
        </w:trPr>
        <w:tc>
          <w:tcPr>
            <w:tcW w:w="1043" w:type="pct"/>
            <w:shd w:val="clear" w:color="auto" w:fill="auto"/>
            <w:hideMark/>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 xml:space="preserve">7. Інші адміністративні процедури: </w:t>
            </w:r>
          </w:p>
          <w:p w:rsidR="00B33E25" w:rsidRPr="00796D25" w:rsidRDefault="00B33E25" w:rsidP="00B33E25">
            <w:pPr>
              <w:spacing w:before="150" w:after="150"/>
              <w:rPr>
                <w:rFonts w:ascii="Times New Roman" w:hAnsi="Times New Roman" w:cs="Times New Roman"/>
                <w:sz w:val="24"/>
                <w:szCs w:val="24"/>
              </w:rPr>
            </w:pPr>
            <w:r w:rsidRPr="00796D25">
              <w:rPr>
                <w:rFonts w:ascii="Times New Roman" w:hAnsi="Times New Roman" w:cs="Times New Roman"/>
                <w:sz w:val="24"/>
                <w:szCs w:val="24"/>
              </w:rPr>
              <w:t>витрати, пов’язані з переоформленням ліцензій</w:t>
            </w:r>
          </w:p>
          <w:p w:rsidR="00B33E25" w:rsidRPr="00796D25" w:rsidRDefault="00B33E25" w:rsidP="00B33E25">
            <w:pPr>
              <w:spacing w:before="150" w:after="150"/>
              <w:rPr>
                <w:rFonts w:ascii="Times New Roman" w:hAnsi="Times New Roman" w:cs="Times New Roman"/>
                <w:sz w:val="24"/>
                <w:szCs w:val="24"/>
              </w:rPr>
            </w:pPr>
          </w:p>
          <w:p w:rsidR="00B33E25" w:rsidRPr="00796D25" w:rsidRDefault="00B33E25" w:rsidP="00B33E25">
            <w:pPr>
              <w:jc w:val="both"/>
              <w:rPr>
                <w:rFonts w:ascii="Times New Roman" w:hAnsi="Times New Roman" w:cs="Times New Roman"/>
                <w:sz w:val="24"/>
                <w:szCs w:val="24"/>
              </w:rPr>
            </w:pPr>
            <w:r w:rsidRPr="00796D25">
              <w:rPr>
                <w:rFonts w:ascii="Times New Roman" w:hAnsi="Times New Roman" w:cs="Times New Roman"/>
                <w:sz w:val="24"/>
                <w:szCs w:val="24"/>
              </w:rPr>
              <w:t>Витрати, пов’язані з інформуванням закладів професійної (професійно-технічної) освіти про внесені зміни</w:t>
            </w:r>
          </w:p>
        </w:tc>
        <w:tc>
          <w:tcPr>
            <w:tcW w:w="650" w:type="pct"/>
            <w:shd w:val="clear" w:color="auto" w:fill="auto"/>
            <w:hideMark/>
          </w:tcPr>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Pr="00796D25"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 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1,5 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p>
        </w:tc>
        <w:tc>
          <w:tcPr>
            <w:tcW w:w="863" w:type="pct"/>
            <w:shd w:val="clear" w:color="auto" w:fill="auto"/>
            <w:hideMark/>
          </w:tcPr>
          <w:p w:rsidR="00B33E25" w:rsidRPr="00796D25" w:rsidRDefault="00B33E25" w:rsidP="002D018C">
            <w:pPr>
              <w:spacing w:after="0"/>
              <w:jc w:val="center"/>
              <w:rPr>
                <w:rFonts w:ascii="Times New Roman" w:eastAsia="Times New Roman" w:hAnsi="Times New Roman" w:cs="Times New Roman"/>
                <w:sz w:val="24"/>
                <w:szCs w:val="24"/>
              </w:rPr>
            </w:pPr>
          </w:p>
          <w:p w:rsidR="00B33E25" w:rsidRDefault="00B33E25"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Pr="00796D25" w:rsidRDefault="002D018C"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center"/>
              <w:rPr>
                <w:rFonts w:ascii="Times New Roman" w:eastAsia="Times New Roman" w:hAnsi="Times New Roman" w:cs="Times New Roman"/>
                <w:sz w:val="24"/>
                <w:szCs w:val="24"/>
              </w:rPr>
            </w:pPr>
            <w:r w:rsidRPr="00796D25">
              <w:rPr>
                <w:rFonts w:ascii="Times New Roman" w:hAnsi="Times New Roman" w:cs="Times New Roman"/>
                <w:sz w:val="24"/>
                <w:szCs w:val="24"/>
              </w:rPr>
              <w:t>1</w:t>
            </w:r>
            <w:r w:rsidR="0040196B">
              <w:rPr>
                <w:rFonts w:ascii="Times New Roman" w:hAnsi="Times New Roman" w:cs="Times New Roman"/>
                <w:sz w:val="24"/>
                <w:szCs w:val="24"/>
              </w:rPr>
              <w:t>22</w:t>
            </w:r>
            <w:r w:rsidRPr="00796D25">
              <w:rPr>
                <w:rFonts w:ascii="Times New Roman" w:hAnsi="Times New Roman" w:cs="Times New Roman"/>
                <w:sz w:val="24"/>
                <w:szCs w:val="24"/>
              </w:rPr>
              <w:t>,</w:t>
            </w:r>
            <w:r w:rsidR="00284D93">
              <w:rPr>
                <w:rFonts w:ascii="Times New Roman" w:hAnsi="Times New Roman" w:cs="Times New Roman"/>
                <w:sz w:val="24"/>
                <w:szCs w:val="24"/>
              </w:rPr>
              <w:t>0</w:t>
            </w:r>
            <w:r w:rsidR="0040196B">
              <w:rPr>
                <w:rFonts w:ascii="Times New Roman" w:hAnsi="Times New Roman" w:cs="Times New Roman"/>
                <w:sz w:val="24"/>
                <w:szCs w:val="24"/>
              </w:rPr>
              <w:t>0</w:t>
            </w:r>
            <w:r w:rsidR="005D18F4">
              <w:rPr>
                <w:rFonts w:ascii="Times New Roman" w:hAnsi="Times New Roman" w:cs="Times New Roman"/>
                <w:sz w:val="24"/>
                <w:szCs w:val="24"/>
              </w:rPr>
              <w:t>*</w:t>
            </w:r>
            <w:r w:rsidRPr="00796D25">
              <w:rPr>
                <w:rFonts w:ascii="Times New Roman" w:hAnsi="Times New Roman" w:cs="Times New Roman"/>
                <w:sz w:val="24"/>
                <w:szCs w:val="24"/>
              </w:rPr>
              <w:t xml:space="preserve"> </w:t>
            </w:r>
            <w:r w:rsidRPr="00796D25">
              <w:rPr>
                <w:rFonts w:ascii="Times New Roman" w:eastAsia="Times New Roman" w:hAnsi="Times New Roman" w:cs="Times New Roman"/>
                <w:sz w:val="24"/>
                <w:szCs w:val="24"/>
              </w:rPr>
              <w:t>грн/год</w:t>
            </w:r>
          </w:p>
          <w:p w:rsidR="00B33E25" w:rsidRPr="00796D25" w:rsidRDefault="00B33E25" w:rsidP="002D018C">
            <w:pPr>
              <w:spacing w:after="0"/>
              <w:jc w:val="center"/>
              <w:rPr>
                <w:rFonts w:ascii="Times New Roman" w:eastAsia="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Default="00B33E25" w:rsidP="002D018C">
            <w:pPr>
              <w:spacing w:after="0"/>
              <w:jc w:val="both"/>
              <w:rPr>
                <w:rFonts w:ascii="Times New Roman" w:hAnsi="Times New Roman" w:cs="Times New Roman"/>
                <w:sz w:val="24"/>
                <w:szCs w:val="24"/>
              </w:rPr>
            </w:pPr>
          </w:p>
          <w:p w:rsidR="002D018C" w:rsidRDefault="002D018C" w:rsidP="002D018C">
            <w:pPr>
              <w:spacing w:after="0"/>
              <w:jc w:val="center"/>
              <w:rPr>
                <w:rFonts w:ascii="Times New Roman" w:hAnsi="Times New Roman" w:cs="Times New Roman"/>
                <w:sz w:val="24"/>
                <w:szCs w:val="24"/>
              </w:rPr>
            </w:pPr>
          </w:p>
          <w:p w:rsidR="002D018C" w:rsidRDefault="002D018C" w:rsidP="002D018C">
            <w:pPr>
              <w:spacing w:after="0"/>
              <w:jc w:val="center"/>
              <w:rPr>
                <w:rFonts w:ascii="Times New Roman" w:hAnsi="Times New Roman" w:cs="Times New Roman"/>
                <w:sz w:val="24"/>
                <w:szCs w:val="24"/>
              </w:rPr>
            </w:pPr>
          </w:p>
          <w:p w:rsidR="00B33E25" w:rsidRPr="00796D25" w:rsidRDefault="00141818" w:rsidP="002D018C">
            <w:pPr>
              <w:spacing w:after="0"/>
              <w:jc w:val="center"/>
              <w:rPr>
                <w:rFonts w:ascii="Times New Roman" w:hAnsi="Times New Roman" w:cs="Times New Roman"/>
                <w:sz w:val="24"/>
                <w:szCs w:val="24"/>
              </w:rPr>
            </w:pPr>
            <w:r>
              <w:rPr>
                <w:rFonts w:ascii="Times New Roman" w:hAnsi="Times New Roman" w:cs="Times New Roman"/>
                <w:sz w:val="24"/>
                <w:szCs w:val="24"/>
              </w:rPr>
              <w:t>1</w:t>
            </w:r>
            <w:r w:rsidR="00284D93">
              <w:rPr>
                <w:rFonts w:ascii="Times New Roman" w:hAnsi="Times New Roman" w:cs="Times New Roman"/>
                <w:sz w:val="24"/>
                <w:szCs w:val="24"/>
              </w:rPr>
              <w:t>71</w:t>
            </w:r>
            <w:r>
              <w:rPr>
                <w:rFonts w:ascii="Times New Roman" w:hAnsi="Times New Roman" w:cs="Times New Roman"/>
                <w:sz w:val="24"/>
                <w:szCs w:val="24"/>
              </w:rPr>
              <w:t>,</w:t>
            </w:r>
            <w:r w:rsidR="00284D93">
              <w:rPr>
                <w:rFonts w:ascii="Times New Roman" w:hAnsi="Times New Roman" w:cs="Times New Roman"/>
                <w:sz w:val="24"/>
                <w:szCs w:val="24"/>
              </w:rPr>
              <w:t>0</w:t>
            </w:r>
            <w:r>
              <w:rPr>
                <w:rFonts w:ascii="Times New Roman" w:hAnsi="Times New Roman" w:cs="Times New Roman"/>
                <w:sz w:val="24"/>
                <w:szCs w:val="24"/>
              </w:rPr>
              <w:t>1</w:t>
            </w:r>
            <w:r w:rsidR="005D18F4">
              <w:rPr>
                <w:rFonts w:ascii="Times New Roman" w:hAnsi="Times New Roman" w:cs="Times New Roman"/>
                <w:sz w:val="24"/>
                <w:szCs w:val="24"/>
              </w:rPr>
              <w:t>**</w:t>
            </w:r>
            <w:r>
              <w:rPr>
                <w:rFonts w:ascii="Times New Roman" w:hAnsi="Times New Roman" w:cs="Times New Roman"/>
                <w:sz w:val="24"/>
                <w:szCs w:val="24"/>
              </w:rPr>
              <w:t xml:space="preserve"> грн/год</w:t>
            </w: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hAnsi="Times New Roman" w:cs="Times New Roman"/>
                <w:sz w:val="24"/>
                <w:szCs w:val="24"/>
              </w:rPr>
            </w:pPr>
          </w:p>
          <w:p w:rsidR="00B33E25" w:rsidRPr="00796D25" w:rsidRDefault="00B33E25" w:rsidP="002D018C">
            <w:pPr>
              <w:spacing w:after="0"/>
              <w:jc w:val="both"/>
              <w:rPr>
                <w:rFonts w:ascii="Times New Roman" w:eastAsia="Times New Roman" w:hAnsi="Times New Roman" w:cs="Times New Roman"/>
                <w:sz w:val="24"/>
                <w:szCs w:val="24"/>
              </w:rPr>
            </w:pPr>
          </w:p>
        </w:tc>
        <w:tc>
          <w:tcPr>
            <w:tcW w:w="724"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EF293E" w:rsidRDefault="0040196B"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EF293E" w:rsidRDefault="00EF293E"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EF293E" w:rsidRPr="00796D25" w:rsidRDefault="00EF293E" w:rsidP="002D018C">
            <w:pPr>
              <w:spacing w:after="0"/>
              <w:jc w:val="center"/>
              <w:rPr>
                <w:rFonts w:ascii="Times New Roman" w:eastAsia="Times New Roman" w:hAnsi="Times New Roman" w:cs="Times New Roman"/>
                <w:sz w:val="24"/>
                <w:szCs w:val="24"/>
              </w:rPr>
            </w:pPr>
          </w:p>
        </w:tc>
        <w:tc>
          <w:tcPr>
            <w:tcW w:w="772"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674</w:t>
            </w: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0196B" w:rsidRPr="00796D25" w:rsidRDefault="0040196B" w:rsidP="002D018C">
            <w:pPr>
              <w:spacing w:after="0"/>
              <w:jc w:val="center"/>
              <w:rPr>
                <w:rFonts w:ascii="Times New Roman" w:eastAsia="Times New Roman" w:hAnsi="Times New Roman" w:cs="Times New Roman"/>
                <w:sz w:val="24"/>
                <w:szCs w:val="24"/>
              </w:rPr>
            </w:pPr>
          </w:p>
        </w:tc>
        <w:tc>
          <w:tcPr>
            <w:tcW w:w="947" w:type="pct"/>
            <w:shd w:val="clear" w:color="auto" w:fill="auto"/>
          </w:tcPr>
          <w:p w:rsidR="00B33E25" w:rsidRDefault="00B33E25" w:rsidP="002D018C">
            <w:pPr>
              <w:spacing w:after="0"/>
              <w:jc w:val="center"/>
              <w:rPr>
                <w:rFonts w:ascii="Times New Roman" w:eastAsia="Times New Roman" w:hAnsi="Times New Roman" w:cs="Times New Roman"/>
                <w:sz w:val="24"/>
                <w:szCs w:val="24"/>
              </w:rPr>
            </w:pPr>
          </w:p>
          <w:p w:rsidR="0040196B" w:rsidRDefault="0040196B"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40196B"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82 228,00</w:t>
            </w: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5D18F4" w:rsidRDefault="005D18F4"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2D018C" w:rsidRDefault="002D018C" w:rsidP="002D018C">
            <w:pPr>
              <w:spacing w:after="0"/>
              <w:jc w:val="center"/>
              <w:rPr>
                <w:rFonts w:ascii="Times New Roman" w:eastAsia="Times New Roman" w:hAnsi="Times New Roman" w:cs="Times New Roman"/>
                <w:sz w:val="24"/>
                <w:szCs w:val="24"/>
              </w:rPr>
            </w:pPr>
          </w:p>
          <w:p w:rsidR="005D18F4" w:rsidRPr="00796D25" w:rsidRDefault="005D18F4" w:rsidP="002D018C">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513,03</w:t>
            </w:r>
          </w:p>
        </w:tc>
      </w:tr>
      <w:tr w:rsidR="00B33E25" w:rsidRPr="00796D25" w:rsidTr="00B33E25">
        <w:trPr>
          <w:trHeight w:val="70"/>
        </w:trPr>
        <w:tc>
          <w:tcPr>
            <w:tcW w:w="104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Разом за рік</w:t>
            </w:r>
          </w:p>
        </w:tc>
        <w:tc>
          <w:tcPr>
            <w:tcW w:w="650"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tcPr>
          <w:p w:rsidR="00B33E25" w:rsidRPr="00796D25" w:rsidRDefault="00B33E25" w:rsidP="00B33E25">
            <w:pPr>
              <w:rPr>
                <w:rFonts w:ascii="Times New Roman" w:eastAsia="Times New Roman" w:hAnsi="Times New Roman" w:cs="Times New Roman"/>
                <w:sz w:val="24"/>
                <w:szCs w:val="24"/>
              </w:rPr>
            </w:pPr>
          </w:p>
        </w:tc>
        <w:tc>
          <w:tcPr>
            <w:tcW w:w="947" w:type="pct"/>
            <w:shd w:val="clear" w:color="auto" w:fill="auto"/>
          </w:tcPr>
          <w:p w:rsidR="00B33E25" w:rsidRPr="00796D25" w:rsidRDefault="005D18F4" w:rsidP="005D18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82 741</w:t>
            </w:r>
            <w:r w:rsidR="00B33E25">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p>
        </w:tc>
      </w:tr>
      <w:tr w:rsidR="00B33E25" w:rsidRPr="00796D25" w:rsidTr="00B33E25">
        <w:tc>
          <w:tcPr>
            <w:tcW w:w="104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r w:rsidRPr="00796D25">
              <w:rPr>
                <w:rFonts w:ascii="Times New Roman" w:eastAsia="Times New Roman" w:hAnsi="Times New Roman" w:cs="Times New Roman"/>
                <w:sz w:val="24"/>
                <w:szCs w:val="24"/>
              </w:rPr>
              <w:t>За 5 років</w:t>
            </w:r>
          </w:p>
        </w:tc>
        <w:tc>
          <w:tcPr>
            <w:tcW w:w="650"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863"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24" w:type="pct"/>
            <w:shd w:val="clear" w:color="auto" w:fill="auto"/>
          </w:tcPr>
          <w:p w:rsidR="00B33E25" w:rsidRPr="00796D25" w:rsidRDefault="00B33E25" w:rsidP="00B33E25">
            <w:pPr>
              <w:spacing w:before="150" w:after="150"/>
              <w:rPr>
                <w:rFonts w:ascii="Times New Roman" w:eastAsia="Times New Roman" w:hAnsi="Times New Roman" w:cs="Times New Roman"/>
                <w:sz w:val="24"/>
                <w:szCs w:val="24"/>
              </w:rPr>
            </w:pPr>
          </w:p>
        </w:tc>
        <w:tc>
          <w:tcPr>
            <w:tcW w:w="772" w:type="pct"/>
            <w:shd w:val="clear" w:color="auto" w:fill="auto"/>
          </w:tcPr>
          <w:p w:rsidR="00B33E25" w:rsidRPr="00796D25" w:rsidRDefault="00B33E25" w:rsidP="00B33E25">
            <w:pPr>
              <w:rPr>
                <w:rFonts w:ascii="Times New Roman" w:eastAsia="Times New Roman" w:hAnsi="Times New Roman" w:cs="Times New Roman"/>
                <w:sz w:val="24"/>
                <w:szCs w:val="24"/>
              </w:rPr>
            </w:pPr>
          </w:p>
        </w:tc>
        <w:tc>
          <w:tcPr>
            <w:tcW w:w="947" w:type="pct"/>
            <w:shd w:val="clear" w:color="auto" w:fill="auto"/>
          </w:tcPr>
          <w:p w:rsidR="00B33E25" w:rsidRPr="00796D25" w:rsidRDefault="005D18F4" w:rsidP="005D18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82 741</w:t>
            </w:r>
            <w:r w:rsidR="00B33E25">
              <w:rPr>
                <w:rFonts w:ascii="Times New Roman" w:eastAsia="Times New Roman" w:hAnsi="Times New Roman" w:cs="Times New Roman"/>
                <w:sz w:val="24"/>
                <w:szCs w:val="24"/>
              </w:rPr>
              <w:t>,</w:t>
            </w:r>
            <w:r>
              <w:rPr>
                <w:rFonts w:ascii="Times New Roman" w:eastAsia="Times New Roman" w:hAnsi="Times New Roman" w:cs="Times New Roman"/>
                <w:sz w:val="24"/>
                <w:szCs w:val="24"/>
              </w:rPr>
              <w:t>03</w:t>
            </w:r>
          </w:p>
        </w:tc>
      </w:tr>
    </w:tbl>
    <w:p w:rsidR="00B33E25" w:rsidRDefault="00B33E25" w:rsidP="00B33E25">
      <w:pPr>
        <w:tabs>
          <w:tab w:val="left" w:pos="8364"/>
        </w:tabs>
        <w:spacing w:after="0"/>
        <w:jc w:val="both"/>
        <w:rPr>
          <w:rFonts w:ascii="Times New Roman" w:hAnsi="Times New Roman" w:cs="Times New Roman"/>
          <w:sz w:val="28"/>
          <w:szCs w:val="28"/>
        </w:rPr>
      </w:pPr>
    </w:p>
    <w:p w:rsidR="005D18F4" w:rsidRPr="005D18F4" w:rsidRDefault="005D18F4" w:rsidP="00B33E25">
      <w:pPr>
        <w:tabs>
          <w:tab w:val="left" w:pos="8364"/>
        </w:tabs>
        <w:spacing w:after="0"/>
        <w:jc w:val="both"/>
        <w:rPr>
          <w:rFonts w:ascii="Times New Roman" w:hAnsi="Times New Roman" w:cs="Times New Roman"/>
          <w:sz w:val="24"/>
          <w:szCs w:val="24"/>
        </w:rPr>
      </w:pPr>
      <w:r>
        <w:rPr>
          <w:rFonts w:ascii="Times New Roman" w:hAnsi="Times New Roman" w:cs="Times New Roman"/>
          <w:sz w:val="24"/>
          <w:szCs w:val="24"/>
        </w:rPr>
        <w:t>*</w:t>
      </w:r>
      <w:r w:rsidRPr="005D18F4">
        <w:rPr>
          <w:rFonts w:ascii="Times New Roman" w:hAnsi="Times New Roman" w:cs="Times New Roman"/>
          <w:sz w:val="24"/>
          <w:szCs w:val="24"/>
        </w:rPr>
        <w:t xml:space="preserve">Для розрахунку вартості часу співробітника МОН використано розмір посадового окладу головного спеціаліста відділу ліцензування освітньої діяльності, який станом на 01.01.2024 </w:t>
      </w:r>
      <w:r w:rsidRPr="005D18F4">
        <w:rPr>
          <w:rFonts w:ascii="Times New Roman" w:hAnsi="Times New Roman" w:cs="Times New Roman"/>
          <w:sz w:val="24"/>
          <w:szCs w:val="24"/>
        </w:rPr>
        <w:lastRenderedPageBreak/>
        <w:t>складає 22451 грн. Виходячи із цих даних, вартість однієї години робочого часу головного спеціаліста становить 122,00 грн</w:t>
      </w:r>
      <w:r>
        <w:rPr>
          <w:rFonts w:ascii="Times New Roman" w:hAnsi="Times New Roman" w:cs="Times New Roman"/>
          <w:sz w:val="24"/>
          <w:szCs w:val="24"/>
        </w:rPr>
        <w:t>.</w:t>
      </w:r>
    </w:p>
    <w:p w:rsidR="00284D93" w:rsidRPr="00284D93" w:rsidRDefault="005D18F4" w:rsidP="005D18F4">
      <w:pPr>
        <w:tabs>
          <w:tab w:val="left" w:pos="8364"/>
        </w:tabs>
        <w:spacing w:before="120" w:after="0"/>
        <w:jc w:val="both"/>
        <w:rPr>
          <w:rFonts w:ascii="Times New Roman" w:hAnsi="Times New Roman" w:cs="Times New Roman"/>
          <w:sz w:val="28"/>
          <w:szCs w:val="28"/>
        </w:rPr>
      </w:pPr>
      <w:r>
        <w:rPr>
          <w:rFonts w:ascii="Times New Roman" w:hAnsi="Times New Roman" w:cs="Times New Roman"/>
        </w:rPr>
        <w:t>**</w:t>
      </w:r>
      <w:r w:rsidR="00284D93" w:rsidRPr="00284D93">
        <w:rPr>
          <w:rFonts w:ascii="Times New Roman" w:hAnsi="Times New Roman" w:cs="Times New Roman"/>
        </w:rPr>
        <w:t>Вартість часу співробітника органу державної влади відповідної категорії (заробітна плата) обраховано з урахуванням посадового окладу головного спеціаліста міністерства (29 186 грн.), встановленого схемою посадових окладів на посадах державної служби з урахуванням сімей і рівнів посад, юрисдикції та типів державних органів у 2024 році, затвердженої постановою Кабінету Міністрів України від 29 грудня 2023 р. № 1409 «Питання оплати праці державних службовців на основі класифікації посад у 2024 році (256 дні з урахуванням святкових днів) та 8-годинного робочого дня. Вартість часу співробітника органу державної влади відповідної категорії (заробітна плата) становить: 29186 х 12 / 256 х 8 = 171,01 грн.</w:t>
      </w:r>
    </w:p>
    <w:sectPr w:rsidR="00284D93" w:rsidRPr="00284D93" w:rsidSect="00C22E5B">
      <w:headerReference w:type="default" r:id="rId8"/>
      <w:pgSz w:w="11906" w:h="16838"/>
      <w:pgMar w:top="851" w:right="851"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CE0" w:rsidRDefault="003E3CE0" w:rsidP="00CA62D9">
      <w:pPr>
        <w:spacing w:after="0" w:line="240" w:lineRule="auto"/>
      </w:pPr>
      <w:r>
        <w:separator/>
      </w:r>
    </w:p>
  </w:endnote>
  <w:endnote w:type="continuationSeparator" w:id="0">
    <w:p w:rsidR="003E3CE0" w:rsidRDefault="003E3CE0" w:rsidP="00CA6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Yu Gothic"/>
    <w:charset w:val="80"/>
    <w:family w:val="auto"/>
    <w:pitch w:val="default"/>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CE0" w:rsidRDefault="003E3CE0" w:rsidP="00CA62D9">
      <w:pPr>
        <w:spacing w:after="0" w:line="240" w:lineRule="auto"/>
      </w:pPr>
      <w:r>
        <w:separator/>
      </w:r>
    </w:p>
  </w:footnote>
  <w:footnote w:type="continuationSeparator" w:id="0">
    <w:p w:rsidR="003E3CE0" w:rsidRDefault="003E3CE0" w:rsidP="00CA6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408460"/>
      <w:docPartObj>
        <w:docPartGallery w:val="Page Numbers (Top of Page)"/>
        <w:docPartUnique/>
      </w:docPartObj>
    </w:sdtPr>
    <w:sdtContent>
      <w:p w:rsidR="00894135" w:rsidRDefault="00894135">
        <w:pPr>
          <w:pStyle w:val="ab"/>
          <w:jc w:val="center"/>
        </w:pPr>
        <w:r>
          <w:fldChar w:fldCharType="begin"/>
        </w:r>
        <w:r>
          <w:instrText>PAGE   \* MERGEFORMAT</w:instrText>
        </w:r>
        <w:r>
          <w:fldChar w:fldCharType="separate"/>
        </w:r>
        <w:r w:rsidR="00457F63">
          <w:rPr>
            <w:noProof/>
          </w:rPr>
          <w:t>22</w:t>
        </w:r>
        <w:r>
          <w:fldChar w:fldCharType="end"/>
        </w:r>
      </w:p>
    </w:sdtContent>
  </w:sdt>
  <w:p w:rsidR="00894135" w:rsidRDefault="008941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1BDE"/>
    <w:multiLevelType w:val="multilevel"/>
    <w:tmpl w:val="AD98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F0B7F"/>
    <w:multiLevelType w:val="hybridMultilevel"/>
    <w:tmpl w:val="F9C82F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85A00B8"/>
    <w:multiLevelType w:val="hybridMultilevel"/>
    <w:tmpl w:val="C6E844CA"/>
    <w:lvl w:ilvl="0" w:tplc="43629594">
      <w:numFmt w:val="bullet"/>
      <w:lvlText w:val="-"/>
      <w:lvlJc w:val="left"/>
      <w:pPr>
        <w:ind w:left="1069" w:hanging="360"/>
      </w:pPr>
      <w:rPr>
        <w:rFonts w:ascii="Times New Roman" w:eastAsia="Arial" w:hAnsi="Times New Roman" w:cs="Times New Roman" w:hint="default"/>
        <w:color w:val="000000"/>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15:restartNumberingAfterBreak="0">
    <w:nsid w:val="4E5020CD"/>
    <w:multiLevelType w:val="hybridMultilevel"/>
    <w:tmpl w:val="CC4613E8"/>
    <w:lvl w:ilvl="0" w:tplc="13F60B5A">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7D41FA"/>
    <w:multiLevelType w:val="multilevel"/>
    <w:tmpl w:val="034793D8"/>
    <w:lvl w:ilvl="0">
      <w:numFmt w:val="bullet"/>
      <w:lvlText w:val="•"/>
      <w:lvlJc w:val="left"/>
      <w:pPr>
        <w:ind w:left="720" w:hanging="360"/>
      </w:pPr>
      <w:rPr>
        <w:rFonts w:ascii="OpenSymbol" w:eastAsia="OpenSymbol" w:hAnsi="OpenSymbol"/>
      </w:rPr>
    </w:lvl>
    <w:lvl w:ilvl="1">
      <w:numFmt w:val="bullet"/>
      <w:lvlText w:val="◦"/>
      <w:lvlJc w:val="left"/>
      <w:pPr>
        <w:ind w:left="1080" w:hanging="360"/>
      </w:pPr>
      <w:rPr>
        <w:rFonts w:ascii="OpenSymbol" w:eastAsia="OpenSymbol" w:hAnsi="OpenSymbol"/>
      </w:rPr>
    </w:lvl>
    <w:lvl w:ilvl="2">
      <w:numFmt w:val="bullet"/>
      <w:lvlText w:val="▪"/>
      <w:lvlJc w:val="left"/>
      <w:pPr>
        <w:ind w:left="1440" w:hanging="360"/>
      </w:pPr>
      <w:rPr>
        <w:rFonts w:ascii="OpenSymbol" w:eastAsia="OpenSymbol" w:hAnsi="OpenSymbol"/>
      </w:rPr>
    </w:lvl>
    <w:lvl w:ilvl="3">
      <w:numFmt w:val="bullet"/>
      <w:lvlText w:val="•"/>
      <w:lvlJc w:val="left"/>
      <w:pPr>
        <w:ind w:left="1800" w:hanging="360"/>
      </w:pPr>
      <w:rPr>
        <w:rFonts w:ascii="OpenSymbol" w:eastAsia="OpenSymbol" w:hAnsi="OpenSymbol"/>
      </w:rPr>
    </w:lvl>
    <w:lvl w:ilvl="4">
      <w:numFmt w:val="bullet"/>
      <w:lvlText w:val="◦"/>
      <w:lvlJc w:val="left"/>
      <w:pPr>
        <w:ind w:left="2160" w:hanging="360"/>
      </w:pPr>
      <w:rPr>
        <w:rFonts w:ascii="OpenSymbol" w:eastAsia="OpenSymbol" w:hAnsi="OpenSymbol"/>
      </w:rPr>
    </w:lvl>
    <w:lvl w:ilvl="5">
      <w:numFmt w:val="bullet"/>
      <w:lvlText w:val="▪"/>
      <w:lvlJc w:val="left"/>
      <w:pPr>
        <w:ind w:left="2520" w:hanging="360"/>
      </w:pPr>
      <w:rPr>
        <w:rFonts w:ascii="OpenSymbol" w:eastAsia="OpenSymbol" w:hAnsi="OpenSymbol"/>
      </w:rPr>
    </w:lvl>
    <w:lvl w:ilvl="6">
      <w:numFmt w:val="bullet"/>
      <w:lvlText w:val="•"/>
      <w:lvlJc w:val="left"/>
      <w:pPr>
        <w:ind w:left="2880" w:hanging="360"/>
      </w:pPr>
      <w:rPr>
        <w:rFonts w:ascii="OpenSymbol" w:eastAsia="OpenSymbol" w:hAnsi="OpenSymbol"/>
      </w:rPr>
    </w:lvl>
    <w:lvl w:ilvl="7">
      <w:numFmt w:val="bullet"/>
      <w:lvlText w:val="◦"/>
      <w:lvlJc w:val="left"/>
      <w:pPr>
        <w:ind w:left="3240" w:hanging="360"/>
      </w:pPr>
      <w:rPr>
        <w:rFonts w:ascii="OpenSymbol" w:eastAsia="OpenSymbol" w:hAnsi="OpenSymbol"/>
      </w:rPr>
    </w:lvl>
    <w:lvl w:ilvl="8">
      <w:numFmt w:val="bullet"/>
      <w:lvlText w:val="▪"/>
      <w:lvlJc w:val="left"/>
      <w:pPr>
        <w:ind w:left="3600" w:hanging="360"/>
      </w:pPr>
      <w:rPr>
        <w:rFonts w:ascii="OpenSymbol" w:eastAsia="OpenSymbol" w:hAnsi="OpenSymbol"/>
      </w:rPr>
    </w:lvl>
  </w:abstractNum>
  <w:abstractNum w:abstractNumId="5" w15:restartNumberingAfterBreak="0">
    <w:nsid w:val="7AE85BFD"/>
    <w:multiLevelType w:val="hybridMultilevel"/>
    <w:tmpl w:val="39CEE28C"/>
    <w:lvl w:ilvl="0" w:tplc="BFFEE38E">
      <w:numFmt w:val="bullet"/>
      <w:lvlText w:val="-"/>
      <w:lvlJc w:val="left"/>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5E3"/>
    <w:rsid w:val="00003405"/>
    <w:rsid w:val="000102B0"/>
    <w:rsid w:val="00011ED8"/>
    <w:rsid w:val="0001645E"/>
    <w:rsid w:val="00021BDE"/>
    <w:rsid w:val="00044426"/>
    <w:rsid w:val="00054BDE"/>
    <w:rsid w:val="00063148"/>
    <w:rsid w:val="00064661"/>
    <w:rsid w:val="00072252"/>
    <w:rsid w:val="000849C1"/>
    <w:rsid w:val="000A4F80"/>
    <w:rsid w:val="000C6EBE"/>
    <w:rsid w:val="000D7C4E"/>
    <w:rsid w:val="000F0E17"/>
    <w:rsid w:val="000F6695"/>
    <w:rsid w:val="00113836"/>
    <w:rsid w:val="001414DC"/>
    <w:rsid w:val="00141818"/>
    <w:rsid w:val="001418BB"/>
    <w:rsid w:val="00143B4B"/>
    <w:rsid w:val="00145D67"/>
    <w:rsid w:val="00150DEC"/>
    <w:rsid w:val="00160B3B"/>
    <w:rsid w:val="00186CC6"/>
    <w:rsid w:val="001979B9"/>
    <w:rsid w:val="001A3C19"/>
    <w:rsid w:val="001A4B1F"/>
    <w:rsid w:val="001B1745"/>
    <w:rsid w:val="001B1810"/>
    <w:rsid w:val="001C18D4"/>
    <w:rsid w:val="001D7419"/>
    <w:rsid w:val="001D758A"/>
    <w:rsid w:val="001E3C4C"/>
    <w:rsid w:val="001E6DFD"/>
    <w:rsid w:val="001E7404"/>
    <w:rsid w:val="00207AC2"/>
    <w:rsid w:val="002116B2"/>
    <w:rsid w:val="0021302D"/>
    <w:rsid w:val="00255877"/>
    <w:rsid w:val="00255E3A"/>
    <w:rsid w:val="00270A03"/>
    <w:rsid w:val="0027345E"/>
    <w:rsid w:val="00284D93"/>
    <w:rsid w:val="002863A5"/>
    <w:rsid w:val="00287583"/>
    <w:rsid w:val="002912F0"/>
    <w:rsid w:val="002A31EC"/>
    <w:rsid w:val="002A42CE"/>
    <w:rsid w:val="002D018C"/>
    <w:rsid w:val="002E6F51"/>
    <w:rsid w:val="00304030"/>
    <w:rsid w:val="00320341"/>
    <w:rsid w:val="0032146C"/>
    <w:rsid w:val="0033349D"/>
    <w:rsid w:val="00347EA0"/>
    <w:rsid w:val="00352569"/>
    <w:rsid w:val="00357072"/>
    <w:rsid w:val="00357425"/>
    <w:rsid w:val="003675F0"/>
    <w:rsid w:val="00376E66"/>
    <w:rsid w:val="0037731E"/>
    <w:rsid w:val="003844A0"/>
    <w:rsid w:val="00392CAF"/>
    <w:rsid w:val="003A447A"/>
    <w:rsid w:val="003B6CEA"/>
    <w:rsid w:val="003D17E4"/>
    <w:rsid w:val="003D5AFB"/>
    <w:rsid w:val="003E30E1"/>
    <w:rsid w:val="003E3CE0"/>
    <w:rsid w:val="003E533F"/>
    <w:rsid w:val="003E610C"/>
    <w:rsid w:val="003F0EA2"/>
    <w:rsid w:val="0040196B"/>
    <w:rsid w:val="004050CD"/>
    <w:rsid w:val="00407A8B"/>
    <w:rsid w:val="00417B8B"/>
    <w:rsid w:val="004266C6"/>
    <w:rsid w:val="00445376"/>
    <w:rsid w:val="004462E2"/>
    <w:rsid w:val="004465C4"/>
    <w:rsid w:val="00451753"/>
    <w:rsid w:val="00453226"/>
    <w:rsid w:val="00453FF9"/>
    <w:rsid w:val="00457F63"/>
    <w:rsid w:val="0047048B"/>
    <w:rsid w:val="004719EC"/>
    <w:rsid w:val="00473D30"/>
    <w:rsid w:val="00496BD1"/>
    <w:rsid w:val="004A18BC"/>
    <w:rsid w:val="004A6465"/>
    <w:rsid w:val="004B29FC"/>
    <w:rsid w:val="004B4B84"/>
    <w:rsid w:val="004D3222"/>
    <w:rsid w:val="004E55F5"/>
    <w:rsid w:val="00506147"/>
    <w:rsid w:val="005169BD"/>
    <w:rsid w:val="00551F7D"/>
    <w:rsid w:val="005613EF"/>
    <w:rsid w:val="00575F50"/>
    <w:rsid w:val="005956AA"/>
    <w:rsid w:val="005962E6"/>
    <w:rsid w:val="005964A5"/>
    <w:rsid w:val="005A4339"/>
    <w:rsid w:val="005B5F9F"/>
    <w:rsid w:val="005B7498"/>
    <w:rsid w:val="005D18F4"/>
    <w:rsid w:val="005E3204"/>
    <w:rsid w:val="005E3923"/>
    <w:rsid w:val="005F1C27"/>
    <w:rsid w:val="005F5294"/>
    <w:rsid w:val="005F747E"/>
    <w:rsid w:val="00623BC3"/>
    <w:rsid w:val="00626FCB"/>
    <w:rsid w:val="00634289"/>
    <w:rsid w:val="00642CBC"/>
    <w:rsid w:val="0065088D"/>
    <w:rsid w:val="00677FBE"/>
    <w:rsid w:val="0068345B"/>
    <w:rsid w:val="00683576"/>
    <w:rsid w:val="006849DE"/>
    <w:rsid w:val="00684D8A"/>
    <w:rsid w:val="006867BC"/>
    <w:rsid w:val="00695B84"/>
    <w:rsid w:val="006A395C"/>
    <w:rsid w:val="006B3FC2"/>
    <w:rsid w:val="006C4C90"/>
    <w:rsid w:val="006F0037"/>
    <w:rsid w:val="006F6BE8"/>
    <w:rsid w:val="00715576"/>
    <w:rsid w:val="0073054F"/>
    <w:rsid w:val="00730B2C"/>
    <w:rsid w:val="007608C4"/>
    <w:rsid w:val="0076195D"/>
    <w:rsid w:val="00766B19"/>
    <w:rsid w:val="007711EC"/>
    <w:rsid w:val="00782E52"/>
    <w:rsid w:val="00792561"/>
    <w:rsid w:val="007A4DAF"/>
    <w:rsid w:val="007A7080"/>
    <w:rsid w:val="007C07DB"/>
    <w:rsid w:val="007C20F5"/>
    <w:rsid w:val="007C60C3"/>
    <w:rsid w:val="007E3289"/>
    <w:rsid w:val="007E532D"/>
    <w:rsid w:val="007E6B4C"/>
    <w:rsid w:val="007F1AA6"/>
    <w:rsid w:val="008045E3"/>
    <w:rsid w:val="00807C50"/>
    <w:rsid w:val="008127A3"/>
    <w:rsid w:val="00815C4F"/>
    <w:rsid w:val="00841EE2"/>
    <w:rsid w:val="00845F69"/>
    <w:rsid w:val="008562F6"/>
    <w:rsid w:val="00864DDA"/>
    <w:rsid w:val="00866469"/>
    <w:rsid w:val="008816AB"/>
    <w:rsid w:val="00894135"/>
    <w:rsid w:val="00896B99"/>
    <w:rsid w:val="008A7093"/>
    <w:rsid w:val="008C7633"/>
    <w:rsid w:val="008E3184"/>
    <w:rsid w:val="0090265A"/>
    <w:rsid w:val="00914BCC"/>
    <w:rsid w:val="00935E92"/>
    <w:rsid w:val="00945159"/>
    <w:rsid w:val="00961371"/>
    <w:rsid w:val="00963701"/>
    <w:rsid w:val="00966A4D"/>
    <w:rsid w:val="00983D6B"/>
    <w:rsid w:val="00995264"/>
    <w:rsid w:val="009A2779"/>
    <w:rsid w:val="009A3745"/>
    <w:rsid w:val="009A4752"/>
    <w:rsid w:val="009C0407"/>
    <w:rsid w:val="009E0A2B"/>
    <w:rsid w:val="009E70F1"/>
    <w:rsid w:val="009F2D21"/>
    <w:rsid w:val="009F7DF6"/>
    <w:rsid w:val="00A0523D"/>
    <w:rsid w:val="00A077D6"/>
    <w:rsid w:val="00A24F09"/>
    <w:rsid w:val="00A304F1"/>
    <w:rsid w:val="00A33C96"/>
    <w:rsid w:val="00A73079"/>
    <w:rsid w:val="00A73437"/>
    <w:rsid w:val="00AA3655"/>
    <w:rsid w:val="00AB4F90"/>
    <w:rsid w:val="00AC4B1D"/>
    <w:rsid w:val="00AD1C4D"/>
    <w:rsid w:val="00AD2695"/>
    <w:rsid w:val="00B033C2"/>
    <w:rsid w:val="00B077AF"/>
    <w:rsid w:val="00B126DB"/>
    <w:rsid w:val="00B15B9E"/>
    <w:rsid w:val="00B21E2D"/>
    <w:rsid w:val="00B246CC"/>
    <w:rsid w:val="00B33E25"/>
    <w:rsid w:val="00B469C4"/>
    <w:rsid w:val="00B5133B"/>
    <w:rsid w:val="00B5191E"/>
    <w:rsid w:val="00B52FAD"/>
    <w:rsid w:val="00B669BA"/>
    <w:rsid w:val="00B74ABF"/>
    <w:rsid w:val="00B75857"/>
    <w:rsid w:val="00B831C4"/>
    <w:rsid w:val="00B84B9A"/>
    <w:rsid w:val="00B865C3"/>
    <w:rsid w:val="00B93263"/>
    <w:rsid w:val="00B94B8A"/>
    <w:rsid w:val="00BA6B78"/>
    <w:rsid w:val="00BC2AB3"/>
    <w:rsid w:val="00BC4175"/>
    <w:rsid w:val="00BC718F"/>
    <w:rsid w:val="00BF0FD8"/>
    <w:rsid w:val="00BF351E"/>
    <w:rsid w:val="00BF3949"/>
    <w:rsid w:val="00C05C28"/>
    <w:rsid w:val="00C07F7E"/>
    <w:rsid w:val="00C22E5B"/>
    <w:rsid w:val="00C264E5"/>
    <w:rsid w:val="00C360A8"/>
    <w:rsid w:val="00C45C22"/>
    <w:rsid w:val="00C82F37"/>
    <w:rsid w:val="00C84256"/>
    <w:rsid w:val="00C925FB"/>
    <w:rsid w:val="00C92C83"/>
    <w:rsid w:val="00C94656"/>
    <w:rsid w:val="00C97D96"/>
    <w:rsid w:val="00CA4806"/>
    <w:rsid w:val="00CA62D9"/>
    <w:rsid w:val="00CB703A"/>
    <w:rsid w:val="00CD16C6"/>
    <w:rsid w:val="00CD33F4"/>
    <w:rsid w:val="00CD7CD7"/>
    <w:rsid w:val="00CF79DE"/>
    <w:rsid w:val="00D21722"/>
    <w:rsid w:val="00D240A6"/>
    <w:rsid w:val="00D301FB"/>
    <w:rsid w:val="00D305B4"/>
    <w:rsid w:val="00D306F7"/>
    <w:rsid w:val="00D33003"/>
    <w:rsid w:val="00D42D84"/>
    <w:rsid w:val="00D42DE4"/>
    <w:rsid w:val="00D53C2C"/>
    <w:rsid w:val="00D55A06"/>
    <w:rsid w:val="00D73041"/>
    <w:rsid w:val="00D76C3E"/>
    <w:rsid w:val="00D81FA0"/>
    <w:rsid w:val="00DA389E"/>
    <w:rsid w:val="00DD4F00"/>
    <w:rsid w:val="00DF606F"/>
    <w:rsid w:val="00E00380"/>
    <w:rsid w:val="00E16502"/>
    <w:rsid w:val="00E179D2"/>
    <w:rsid w:val="00E179F9"/>
    <w:rsid w:val="00E21D1F"/>
    <w:rsid w:val="00E35251"/>
    <w:rsid w:val="00E45B94"/>
    <w:rsid w:val="00E47BBE"/>
    <w:rsid w:val="00E67627"/>
    <w:rsid w:val="00E702FC"/>
    <w:rsid w:val="00E70725"/>
    <w:rsid w:val="00E70AB4"/>
    <w:rsid w:val="00E73713"/>
    <w:rsid w:val="00E941BA"/>
    <w:rsid w:val="00E96179"/>
    <w:rsid w:val="00E97B10"/>
    <w:rsid w:val="00EA160B"/>
    <w:rsid w:val="00EA743E"/>
    <w:rsid w:val="00EB3CA1"/>
    <w:rsid w:val="00EB3E43"/>
    <w:rsid w:val="00ED290F"/>
    <w:rsid w:val="00ED421B"/>
    <w:rsid w:val="00ED4A55"/>
    <w:rsid w:val="00ED5711"/>
    <w:rsid w:val="00EE18DE"/>
    <w:rsid w:val="00EE72CD"/>
    <w:rsid w:val="00EF293E"/>
    <w:rsid w:val="00F07063"/>
    <w:rsid w:val="00F17D1D"/>
    <w:rsid w:val="00F20314"/>
    <w:rsid w:val="00F4016D"/>
    <w:rsid w:val="00F4541C"/>
    <w:rsid w:val="00F45513"/>
    <w:rsid w:val="00F7374F"/>
    <w:rsid w:val="00F84492"/>
    <w:rsid w:val="00FB48EC"/>
    <w:rsid w:val="00FB7C28"/>
    <w:rsid w:val="00FC71D1"/>
    <w:rsid w:val="00FF266A"/>
    <w:rsid w:val="00FF75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A92A"/>
  <w15:chartTrackingRefBased/>
  <w15:docId w15:val="{70A13F5B-74C1-4BEF-B44E-552B6D59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rsid w:val="00D240A6"/>
  </w:style>
  <w:style w:type="paragraph" w:customStyle="1" w:styleId="1">
    <w:name w:val="Звичайний1"/>
    <w:rsid w:val="00D240A6"/>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table" w:styleId="a3">
    <w:name w:val="Table Grid"/>
    <w:basedOn w:val="a1"/>
    <w:uiPriority w:val="39"/>
    <w:rsid w:val="00186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99"/>
    <w:qFormat/>
    <w:rsid w:val="00D42DE4"/>
    <w:pPr>
      <w:ind w:left="720"/>
      <w:contextualSpacing/>
    </w:pPr>
  </w:style>
  <w:style w:type="paragraph" w:customStyle="1" w:styleId="rvps12">
    <w:name w:val="rvps12"/>
    <w:basedOn w:val="a"/>
    <w:rsid w:val="008816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8816A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andard">
    <w:name w:val="Standard"/>
    <w:rsid w:val="00B33E25"/>
    <w:pPr>
      <w:pBdr>
        <w:top w:val="nil"/>
        <w:left w:val="nil"/>
        <w:bottom w:val="nil"/>
        <w:right w:val="nil"/>
        <w:between w:val="nil"/>
      </w:pBdr>
      <w:suppressAutoHyphens/>
      <w:spacing w:after="0" w:line="276" w:lineRule="auto"/>
    </w:pPr>
    <w:rPr>
      <w:rFonts w:ascii="Arial" w:eastAsia="Arial" w:hAnsi="Arial" w:cs="Arial"/>
      <w:color w:val="000000"/>
      <w:kern w:val="3"/>
      <w:szCs w:val="20"/>
      <w:lang w:val="en-US" w:eastAsia="ru-RU"/>
    </w:rPr>
  </w:style>
  <w:style w:type="paragraph" w:customStyle="1" w:styleId="Textbody">
    <w:name w:val="Text body"/>
    <w:basedOn w:val="Standard"/>
    <w:rsid w:val="00B33E25"/>
    <w:pPr>
      <w:spacing w:after="140" w:line="288" w:lineRule="auto"/>
    </w:pPr>
  </w:style>
  <w:style w:type="paragraph" w:customStyle="1" w:styleId="TableContents">
    <w:name w:val="Table Contents"/>
    <w:basedOn w:val="Standard"/>
    <w:rsid w:val="00B33E25"/>
  </w:style>
  <w:style w:type="character" w:styleId="a6">
    <w:name w:val="Hyperlink"/>
    <w:uiPriority w:val="99"/>
    <w:unhideWhenUsed/>
    <w:rsid w:val="00B33E25"/>
    <w:rPr>
      <w:color w:val="0563C1"/>
      <w:u w:val="single"/>
    </w:rPr>
  </w:style>
  <w:style w:type="character" w:customStyle="1" w:styleId="2">
    <w:name w:val="Основной текст (2)"/>
    <w:rsid w:val="00B33E25"/>
    <w:rPr>
      <w:rFonts w:ascii="Times New Roman" w:eastAsia="Times New Roman" w:hAnsi="Times New Roman"/>
      <w:color w:val="000000"/>
      <w:spacing w:val="0"/>
      <w:w w:val="100"/>
      <w:position w:val="0"/>
      <w:sz w:val="28"/>
      <w:u w:val="none"/>
      <w:lang w:val="uk-UA"/>
    </w:rPr>
  </w:style>
  <w:style w:type="paragraph" w:styleId="a7">
    <w:name w:val="Balloon Text"/>
    <w:basedOn w:val="a"/>
    <w:link w:val="a8"/>
    <w:uiPriority w:val="99"/>
    <w:semiHidden/>
    <w:unhideWhenUsed/>
    <w:rsid w:val="00F7374F"/>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F7374F"/>
    <w:rPr>
      <w:rFonts w:ascii="Segoe UI" w:hAnsi="Segoe UI" w:cs="Segoe UI"/>
      <w:sz w:val="18"/>
      <w:szCs w:val="18"/>
    </w:rPr>
  </w:style>
  <w:style w:type="character" w:customStyle="1" w:styleId="rvts0">
    <w:name w:val="rvts0"/>
    <w:basedOn w:val="a0"/>
    <w:rsid w:val="005E3204"/>
  </w:style>
  <w:style w:type="paragraph" w:styleId="a9">
    <w:name w:val="Normal (Web)"/>
    <w:basedOn w:val="a"/>
    <w:uiPriority w:val="99"/>
    <w:unhideWhenUsed/>
    <w:rsid w:val="00F4541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Emphasis"/>
    <w:basedOn w:val="a0"/>
    <w:uiPriority w:val="20"/>
    <w:qFormat/>
    <w:rsid w:val="004B29FC"/>
    <w:rPr>
      <w:i/>
      <w:iCs/>
    </w:rPr>
  </w:style>
  <w:style w:type="paragraph" w:styleId="ab">
    <w:name w:val="header"/>
    <w:basedOn w:val="a"/>
    <w:link w:val="ac"/>
    <w:uiPriority w:val="99"/>
    <w:unhideWhenUsed/>
    <w:rsid w:val="00CA62D9"/>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CA62D9"/>
  </w:style>
  <w:style w:type="paragraph" w:styleId="ad">
    <w:name w:val="footer"/>
    <w:basedOn w:val="a"/>
    <w:link w:val="ae"/>
    <w:uiPriority w:val="99"/>
    <w:unhideWhenUsed/>
    <w:rsid w:val="00CA62D9"/>
    <w:pPr>
      <w:tabs>
        <w:tab w:val="center" w:pos="4819"/>
        <w:tab w:val="right" w:pos="9639"/>
      </w:tabs>
      <w:spacing w:after="0" w:line="240" w:lineRule="auto"/>
    </w:pPr>
  </w:style>
  <w:style w:type="character" w:customStyle="1" w:styleId="ae">
    <w:name w:val="Нижній колонтитул Знак"/>
    <w:basedOn w:val="a0"/>
    <w:link w:val="ad"/>
    <w:uiPriority w:val="99"/>
    <w:rsid w:val="00CA62D9"/>
  </w:style>
  <w:style w:type="character" w:customStyle="1" w:styleId="a5">
    <w:name w:val="Абзац списку Знак"/>
    <w:link w:val="a4"/>
    <w:uiPriority w:val="99"/>
    <w:rsid w:val="00CD16C6"/>
  </w:style>
  <w:style w:type="paragraph" w:customStyle="1" w:styleId="Style5">
    <w:name w:val="Style5"/>
    <w:basedOn w:val="a"/>
    <w:rsid w:val="00782E52"/>
    <w:pPr>
      <w:widowControl w:val="0"/>
      <w:autoSpaceDE w:val="0"/>
      <w:autoSpaceDN w:val="0"/>
      <w:adjustRightInd w:val="0"/>
      <w:spacing w:after="0" w:line="274" w:lineRule="exact"/>
      <w:ind w:firstLine="926"/>
    </w:pPr>
    <w:rPr>
      <w:rFonts w:ascii="Arial" w:eastAsia="Times New Roman" w:hAnsi="Arial" w:cs="Times New Roman"/>
      <w:sz w:val="24"/>
      <w:szCs w:val="24"/>
      <w:lang w:val="ru-RU" w:eastAsia="ru-RU"/>
    </w:rPr>
  </w:style>
  <w:style w:type="paragraph" w:customStyle="1" w:styleId="af">
    <w:name w:val="Знак"/>
    <w:basedOn w:val="a"/>
    <w:uiPriority w:val="99"/>
    <w:rsid w:val="00D306F7"/>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535458">
      <w:bodyDiv w:val="1"/>
      <w:marLeft w:val="0"/>
      <w:marRight w:val="0"/>
      <w:marTop w:val="0"/>
      <w:marBottom w:val="0"/>
      <w:divBdr>
        <w:top w:val="none" w:sz="0" w:space="0" w:color="auto"/>
        <w:left w:val="none" w:sz="0" w:space="0" w:color="auto"/>
        <w:bottom w:val="none" w:sz="0" w:space="0" w:color="auto"/>
        <w:right w:val="none" w:sz="0" w:space="0" w:color="auto"/>
      </w:divBdr>
    </w:div>
    <w:div w:id="1123811732">
      <w:bodyDiv w:val="1"/>
      <w:marLeft w:val="0"/>
      <w:marRight w:val="0"/>
      <w:marTop w:val="0"/>
      <w:marBottom w:val="0"/>
      <w:divBdr>
        <w:top w:val="none" w:sz="0" w:space="0" w:color="auto"/>
        <w:left w:val="none" w:sz="0" w:space="0" w:color="auto"/>
        <w:bottom w:val="none" w:sz="0" w:space="0" w:color="auto"/>
        <w:right w:val="none" w:sz="0" w:space="0" w:color="auto"/>
      </w:divBdr>
    </w:div>
    <w:div w:id="1614361935">
      <w:bodyDiv w:val="1"/>
      <w:marLeft w:val="0"/>
      <w:marRight w:val="0"/>
      <w:marTop w:val="0"/>
      <w:marBottom w:val="0"/>
      <w:divBdr>
        <w:top w:val="none" w:sz="0" w:space="0" w:color="auto"/>
        <w:left w:val="none" w:sz="0" w:space="0" w:color="auto"/>
        <w:bottom w:val="none" w:sz="0" w:space="0" w:color="auto"/>
        <w:right w:val="none" w:sz="0" w:space="0" w:color="auto"/>
      </w:divBdr>
    </w:div>
    <w:div w:id="205226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gistry.edbo.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1098</TotalTime>
  <Pages>24</Pages>
  <Words>27141</Words>
  <Characters>15471</Characters>
  <Application>Microsoft Office Word</Application>
  <DocSecurity>0</DocSecurity>
  <Lines>128</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Іваненко Людмила</dc:creator>
  <cp:keywords/>
  <dc:description/>
  <cp:lastModifiedBy>Іваненко Людмила</cp:lastModifiedBy>
  <cp:revision>33</cp:revision>
  <cp:lastPrinted>2025-01-21T13:44:00Z</cp:lastPrinted>
  <dcterms:created xsi:type="dcterms:W3CDTF">2024-11-07T12:38:00Z</dcterms:created>
  <dcterms:modified xsi:type="dcterms:W3CDTF">2025-01-21T15:24:00Z</dcterms:modified>
</cp:coreProperties>
</file>