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3A8" w:rsidRDefault="002401FB">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w:t>
      </w:r>
    </w:p>
    <w:p w:rsidR="004273A8" w:rsidRDefault="004273A8"/>
    <w:p w:rsidR="004273A8" w:rsidRDefault="0024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lang w:val="uk-UA" w:eastAsia="uk-UA"/>
        </w:rPr>
        <w:drawing>
          <wp:inline distT="0" distB="0" distL="0" distR="0">
            <wp:extent cx="571500" cy="762000"/>
            <wp:effectExtent l="0" t="0" r="0" b="0"/>
            <wp:docPr id="4" name="image1.png" descr="http://zakonst.rada.gov.ua/images/gerb.gif"/>
            <wp:cNvGraphicFramePr/>
            <a:graphic xmlns:a="http://schemas.openxmlformats.org/drawingml/2006/main">
              <a:graphicData uri="http://schemas.openxmlformats.org/drawingml/2006/picture">
                <pic:pic xmlns:pic="http://schemas.openxmlformats.org/drawingml/2006/picture">
                  <pic:nvPicPr>
                    <pic:cNvPr id="0" name="image1.png" descr="http://zakonst.rada.gov.ua/images/gerb.gif"/>
                    <pic:cNvPicPr preferRelativeResize="0"/>
                  </pic:nvPicPr>
                  <pic:blipFill>
                    <a:blip r:embed="rId7"/>
                    <a:srcRect/>
                    <a:stretch>
                      <a:fillRect/>
                    </a:stretch>
                  </pic:blipFill>
                  <pic:spPr>
                    <a:xfrm>
                      <a:off x="0" y="0"/>
                      <a:ext cx="571500" cy="762000"/>
                    </a:xfrm>
                    <a:prstGeom prst="rect">
                      <a:avLst/>
                    </a:prstGeom>
                    <a:ln/>
                  </pic:spPr>
                </pic:pic>
              </a:graphicData>
            </a:graphic>
          </wp:inline>
        </w:drawing>
      </w:r>
      <w:bookmarkStart w:id="0" w:name="bookmark=id.c97tq4b4m2xg" w:colFirst="0" w:colLast="0"/>
      <w:bookmarkEnd w:id="0"/>
    </w:p>
    <w:p w:rsidR="004273A8" w:rsidRDefault="002401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br/>
        <w:t>КАБІНЕТ МІНІСТРІВ УКРАЇНИ</w:t>
      </w:r>
    </w:p>
    <w:p w:rsidR="004273A8" w:rsidRDefault="002401FB">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 О С Т А Н О В А</w:t>
      </w:r>
    </w:p>
    <w:p w:rsidR="004273A8" w:rsidRDefault="002401FB">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 «____»________ 2025 р.   №____</w:t>
      </w:r>
    </w:p>
    <w:p w:rsidR="004273A8" w:rsidRDefault="002401FB">
      <w:pPr>
        <w:spacing w:line="240" w:lineRule="auto"/>
        <w:jc w:val="center"/>
        <w:rPr>
          <w:b/>
          <w:bCs/>
        </w:rPr>
      </w:pPr>
      <w:r>
        <w:rPr>
          <w:rFonts w:ascii="Times New Roman" w:eastAsia="Times New Roman" w:hAnsi="Times New Roman" w:cs="Times New Roman"/>
          <w:sz w:val="28"/>
          <w:szCs w:val="28"/>
        </w:rPr>
        <w:t>Київ</w:t>
      </w:r>
    </w:p>
    <w:p w:rsidR="004273A8" w:rsidRDefault="004273A8">
      <w:pPr>
        <w:jc w:val="center"/>
      </w:pPr>
    </w:p>
    <w:p w:rsidR="004273A8" w:rsidRDefault="002401FB">
      <w:pPr>
        <w:jc w:val="center"/>
        <w:rPr>
          <w:b/>
          <w:bCs/>
        </w:rPr>
      </w:pPr>
      <w:r>
        <w:rPr>
          <w:rFonts w:ascii="Times New Roman" w:eastAsia="Times New Roman" w:hAnsi="Times New Roman" w:cs="Times New Roman"/>
          <w:b/>
          <w:bCs/>
          <w:sz w:val="28"/>
          <w:szCs w:val="28"/>
        </w:rPr>
        <w:t xml:space="preserve">Про реалізацію експериментального проекту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 </w:t>
      </w:r>
    </w:p>
    <w:p w:rsidR="004273A8" w:rsidRDefault="004273A8">
      <w:pPr>
        <w:ind w:firstLine="720"/>
        <w:jc w:val="both"/>
        <w:rPr>
          <w:rFonts w:ascii="Times New Roman" w:eastAsia="Times New Roman" w:hAnsi="Times New Roman" w:cs="Times New Roman"/>
          <w:sz w:val="28"/>
          <w:szCs w:val="28"/>
        </w:rPr>
      </w:pP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Кабінет Міністрів України постановляє:</w:t>
      </w:r>
    </w:p>
    <w:p w:rsidR="004273A8" w:rsidRDefault="004273A8">
      <w:pPr>
        <w:ind w:firstLine="720"/>
        <w:jc w:val="both"/>
        <w:rPr>
          <w:rFonts w:ascii="Times New Roman" w:eastAsia="Times New Roman" w:hAnsi="Times New Roman" w:cs="Times New Roman"/>
          <w:sz w:val="28"/>
          <w:szCs w:val="28"/>
        </w:rPr>
      </w:pP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Погодитися з пропозицією Міністерства освіти і науки щодо реалізації протягом двох років з дня набрання чинності цією постановою експериментального проекту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 (далі - експериментальний проект).</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Затвердити Порядок реалізації експериментального проекту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 що додається.</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Міністерству освіти і науки:</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шести місяців з дня набрання чинності цією постановою провести конкурсний відбір спільних прикладних наукових досліджень і науково-технічних (експериментальних) розробок на замовлення бізнесу;</w:t>
      </w:r>
    </w:p>
    <w:p w:rsidR="004273A8" w:rsidRPr="002401FB" w:rsidRDefault="002401FB">
      <w:pPr>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протягом місяця після завершення конкурсного відбору оприлюднити  інформацію про перелік спільних прикладних наукових досліджень і науково-технічних (експериментальних) розробок на замовлення бізнесу, які визначені переможцями за результатами конкурсного відбору</w:t>
      </w:r>
      <w:r>
        <w:rPr>
          <w:rFonts w:ascii="Times New Roman" w:eastAsia="Times New Roman" w:hAnsi="Times New Roman" w:cs="Times New Roman"/>
          <w:sz w:val="28"/>
          <w:szCs w:val="28"/>
          <w:lang w:val="uk-UA"/>
        </w:rPr>
        <w:t>;</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після завершення реалізації експериментального проекту оприлюднити інформацію про результати його реалізації на своєму офіційному вебсайті;</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двох місяців після завершення експериментального проекту подати Кабінетові Міністрів України звіт про результати його реалізації, а також у разі потреби пропозиції щодо внесення відповідних змін до законодавчих та інших нормативно-правових актів за результатами реалізації експериментального проекту.</w:t>
      </w:r>
    </w:p>
    <w:p w:rsidR="004273A8" w:rsidRDefault="004273A8">
      <w:pPr>
        <w:ind w:firstLine="720"/>
        <w:jc w:val="both"/>
        <w:rPr>
          <w:rFonts w:ascii="Times New Roman" w:eastAsia="Times New Roman" w:hAnsi="Times New Roman" w:cs="Times New Roman"/>
          <w:sz w:val="28"/>
          <w:szCs w:val="28"/>
        </w:rPr>
      </w:pPr>
    </w:p>
    <w:tbl>
      <w:tblPr>
        <w:tblStyle w:val="ab"/>
        <w:tblW w:w="9014" w:type="dxa"/>
        <w:tblInd w:w="0" w:type="dxa"/>
        <w:tblLayout w:type="fixed"/>
        <w:tblLook w:val="0400" w:firstRow="0" w:lastRow="0" w:firstColumn="0" w:lastColumn="0" w:noHBand="0" w:noVBand="1"/>
      </w:tblPr>
      <w:tblGrid>
        <w:gridCol w:w="2704"/>
        <w:gridCol w:w="6310"/>
      </w:tblGrid>
      <w:tr w:rsidR="004273A8">
        <w:tc>
          <w:tcPr>
            <w:tcW w:w="2704" w:type="dxa"/>
          </w:tcPr>
          <w:p w:rsidR="004273A8" w:rsidRDefault="002401FB">
            <w:pPr>
              <w:spacing w:before="300" w:after="150"/>
              <w:jc w:val="center"/>
              <w:rPr>
                <w:rFonts w:ascii="Times New Roman" w:eastAsia="Times New Roman" w:hAnsi="Times New Roman" w:cs="Times New Roman"/>
                <w:sz w:val="28"/>
                <w:szCs w:val="28"/>
              </w:rPr>
            </w:pPr>
            <w:bookmarkStart w:id="1" w:name="bookmark=id.y0uypko2q7td" w:colFirst="0" w:colLast="0"/>
            <w:bookmarkEnd w:id="1"/>
            <w:r>
              <w:rPr>
                <w:rFonts w:ascii="Times New Roman" w:eastAsia="Times New Roman" w:hAnsi="Times New Roman" w:cs="Times New Roman"/>
                <w:b/>
                <w:bCs/>
                <w:sz w:val="28"/>
                <w:szCs w:val="28"/>
              </w:rPr>
              <w:t>Прем'єр-міністр України</w:t>
            </w:r>
          </w:p>
        </w:tc>
        <w:tc>
          <w:tcPr>
            <w:tcW w:w="6310" w:type="dxa"/>
          </w:tcPr>
          <w:p w:rsidR="004273A8" w:rsidRDefault="004273A8">
            <w:pPr>
              <w:spacing w:before="300"/>
              <w:jc w:val="right"/>
              <w:rPr>
                <w:rFonts w:ascii="Times New Roman" w:eastAsia="Times New Roman" w:hAnsi="Times New Roman" w:cs="Times New Roman"/>
                <w:sz w:val="28"/>
                <w:szCs w:val="28"/>
              </w:rPr>
            </w:pPr>
          </w:p>
          <w:p w:rsidR="004273A8" w:rsidRDefault="002401FB">
            <w:pPr>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Ю.СВИРИДЕНКО</w:t>
            </w:r>
          </w:p>
        </w:tc>
      </w:tr>
    </w:tbl>
    <w:p w:rsidR="004273A8" w:rsidRDefault="004273A8">
      <w:pPr>
        <w:rPr>
          <w:rFonts w:ascii="Times New Roman" w:eastAsia="Times New Roman" w:hAnsi="Times New Roman" w:cs="Times New Roman"/>
          <w:sz w:val="28"/>
          <w:szCs w:val="28"/>
        </w:rPr>
      </w:pPr>
    </w:p>
    <w:p w:rsidR="004273A8" w:rsidRDefault="004273A8">
      <w:pPr>
        <w:jc w:val="both"/>
        <w:rPr>
          <w:rFonts w:ascii="Times New Roman" w:eastAsia="Times New Roman" w:hAnsi="Times New Roman" w:cs="Times New Roman"/>
          <w:sz w:val="28"/>
          <w:szCs w:val="28"/>
        </w:rPr>
      </w:pPr>
    </w:p>
    <w:p w:rsidR="004273A8" w:rsidRDefault="004273A8">
      <w:pPr>
        <w:jc w:val="both"/>
      </w:pPr>
    </w:p>
    <w:p w:rsidR="004273A8" w:rsidRDefault="004273A8">
      <w:pPr>
        <w:jc w:val="both"/>
      </w:pPr>
    </w:p>
    <w:p w:rsidR="004273A8" w:rsidRDefault="004273A8">
      <w:pPr>
        <w:jc w:val="both"/>
      </w:pPr>
    </w:p>
    <w:p w:rsidR="004273A8" w:rsidRDefault="004273A8">
      <w:pPr>
        <w:jc w:val="both"/>
      </w:pPr>
    </w:p>
    <w:p w:rsidR="004273A8" w:rsidRDefault="004273A8">
      <w:pPr>
        <w:jc w:val="both"/>
      </w:pPr>
    </w:p>
    <w:p w:rsidR="004273A8" w:rsidRDefault="004273A8">
      <w:pPr>
        <w:jc w:val="both"/>
      </w:pPr>
    </w:p>
    <w:p w:rsidR="004273A8" w:rsidRDefault="004273A8">
      <w:pPr>
        <w:jc w:val="both"/>
      </w:pPr>
    </w:p>
    <w:p w:rsidR="004273A8" w:rsidRDefault="004273A8">
      <w:pPr>
        <w:jc w:val="both"/>
      </w:pPr>
    </w:p>
    <w:p w:rsidR="004273A8" w:rsidRDefault="004273A8">
      <w:pPr>
        <w:jc w:val="both"/>
      </w:pPr>
    </w:p>
    <w:p w:rsidR="004273A8" w:rsidRDefault="004273A8">
      <w:pPr>
        <w:rPr>
          <w:rFonts w:ascii="Times New Roman" w:eastAsia="Times New Roman" w:hAnsi="Times New Roman" w:cs="Times New Roman"/>
          <w:sz w:val="28"/>
          <w:szCs w:val="28"/>
        </w:rPr>
      </w:pPr>
    </w:p>
    <w:p w:rsidR="004273A8" w:rsidRDefault="004273A8">
      <w:pPr>
        <w:rPr>
          <w:rFonts w:ascii="Times New Roman" w:eastAsia="Times New Roman" w:hAnsi="Times New Roman" w:cs="Times New Roman"/>
          <w:sz w:val="28"/>
          <w:szCs w:val="28"/>
        </w:rPr>
      </w:pPr>
    </w:p>
    <w:p w:rsidR="004273A8" w:rsidRDefault="004273A8">
      <w:pPr>
        <w:rPr>
          <w:rFonts w:ascii="Times New Roman" w:eastAsia="Times New Roman" w:hAnsi="Times New Roman" w:cs="Times New Roman"/>
          <w:sz w:val="28"/>
          <w:szCs w:val="28"/>
        </w:rPr>
      </w:pPr>
    </w:p>
    <w:p w:rsidR="004273A8" w:rsidRDefault="004273A8">
      <w:pPr>
        <w:rPr>
          <w:rFonts w:ascii="Times New Roman" w:eastAsia="Times New Roman" w:hAnsi="Times New Roman" w:cs="Times New Roman"/>
          <w:sz w:val="28"/>
          <w:szCs w:val="28"/>
        </w:rPr>
      </w:pPr>
    </w:p>
    <w:p w:rsidR="004273A8" w:rsidRDefault="004273A8">
      <w:pPr>
        <w:rPr>
          <w:rFonts w:ascii="Times New Roman" w:eastAsia="Times New Roman" w:hAnsi="Times New Roman" w:cs="Times New Roman"/>
          <w:sz w:val="28"/>
          <w:szCs w:val="28"/>
        </w:rPr>
      </w:pPr>
    </w:p>
    <w:p w:rsidR="004273A8" w:rsidRDefault="004273A8">
      <w:pPr>
        <w:rPr>
          <w:rFonts w:ascii="Times New Roman" w:eastAsia="Times New Roman" w:hAnsi="Times New Roman" w:cs="Times New Roman"/>
          <w:sz w:val="28"/>
          <w:szCs w:val="28"/>
        </w:rPr>
      </w:pPr>
    </w:p>
    <w:p w:rsidR="004273A8" w:rsidRDefault="004273A8">
      <w:pPr>
        <w:rPr>
          <w:rFonts w:ascii="Times New Roman" w:eastAsia="Times New Roman" w:hAnsi="Times New Roman" w:cs="Times New Roman"/>
          <w:sz w:val="28"/>
          <w:szCs w:val="28"/>
        </w:rPr>
      </w:pPr>
    </w:p>
    <w:p w:rsidR="004273A8" w:rsidRDefault="004273A8">
      <w:pPr>
        <w:rPr>
          <w:rFonts w:ascii="Times New Roman" w:eastAsia="Times New Roman" w:hAnsi="Times New Roman" w:cs="Times New Roman"/>
          <w:sz w:val="28"/>
          <w:szCs w:val="28"/>
        </w:rPr>
      </w:pPr>
    </w:p>
    <w:tbl>
      <w:tblPr>
        <w:tblStyle w:val="ac"/>
        <w:tblW w:w="4621" w:type="dxa"/>
        <w:tblInd w:w="4392" w:type="dxa"/>
        <w:tblLayout w:type="fixed"/>
        <w:tblLook w:val="0400" w:firstRow="0" w:lastRow="0" w:firstColumn="0" w:lastColumn="0" w:noHBand="0" w:noVBand="1"/>
      </w:tblPr>
      <w:tblGrid>
        <w:gridCol w:w="4621"/>
      </w:tblGrid>
      <w:tr w:rsidR="004273A8">
        <w:tc>
          <w:tcPr>
            <w:tcW w:w="4621" w:type="dxa"/>
          </w:tcPr>
          <w:p w:rsidR="004273A8" w:rsidRDefault="004273A8">
            <w:pPr>
              <w:spacing w:before="150" w:after="150"/>
              <w:jc w:val="center"/>
              <w:rPr>
                <w:rFonts w:ascii="Times New Roman" w:eastAsia="Times New Roman" w:hAnsi="Times New Roman" w:cs="Times New Roman"/>
                <w:b/>
                <w:bCs/>
                <w:sz w:val="28"/>
                <w:szCs w:val="28"/>
              </w:rPr>
            </w:pPr>
          </w:p>
          <w:p w:rsidR="004273A8" w:rsidRDefault="004273A8">
            <w:pPr>
              <w:spacing w:before="150" w:after="150"/>
              <w:jc w:val="center"/>
              <w:rPr>
                <w:rFonts w:ascii="Times New Roman" w:eastAsia="Times New Roman" w:hAnsi="Times New Roman" w:cs="Times New Roman"/>
                <w:b/>
                <w:bCs/>
                <w:sz w:val="28"/>
                <w:szCs w:val="28"/>
              </w:rPr>
            </w:pPr>
          </w:p>
          <w:p w:rsidR="002401FB" w:rsidRDefault="002401FB">
            <w:pPr>
              <w:spacing w:before="150" w:after="150"/>
              <w:jc w:val="center"/>
              <w:rPr>
                <w:rFonts w:ascii="Times New Roman" w:eastAsia="Times New Roman" w:hAnsi="Times New Roman" w:cs="Times New Roman"/>
                <w:b/>
                <w:bCs/>
                <w:sz w:val="28"/>
                <w:szCs w:val="28"/>
              </w:rPr>
            </w:pPr>
          </w:p>
          <w:p w:rsidR="002401FB" w:rsidRDefault="002401FB">
            <w:pPr>
              <w:spacing w:before="150" w:after="150"/>
              <w:jc w:val="center"/>
              <w:rPr>
                <w:rFonts w:ascii="Times New Roman" w:eastAsia="Times New Roman" w:hAnsi="Times New Roman" w:cs="Times New Roman"/>
                <w:b/>
                <w:bCs/>
                <w:sz w:val="28"/>
                <w:szCs w:val="28"/>
              </w:rPr>
            </w:pPr>
          </w:p>
          <w:p w:rsidR="002401FB" w:rsidRDefault="002401FB">
            <w:pPr>
              <w:spacing w:before="150" w:after="150"/>
              <w:jc w:val="center"/>
              <w:rPr>
                <w:rFonts w:ascii="Times New Roman" w:eastAsia="Times New Roman" w:hAnsi="Times New Roman" w:cs="Times New Roman"/>
                <w:b/>
                <w:bCs/>
                <w:sz w:val="28"/>
                <w:szCs w:val="28"/>
              </w:rPr>
            </w:pPr>
          </w:p>
          <w:p w:rsidR="004273A8" w:rsidRDefault="002401FB">
            <w:pPr>
              <w:spacing w:before="150" w:after="15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ЗАТВЕРДЖЕНО</w:t>
            </w:r>
            <w:r>
              <w:rPr>
                <w:rFonts w:ascii="Times New Roman" w:eastAsia="Times New Roman" w:hAnsi="Times New Roman" w:cs="Times New Roman"/>
                <w:sz w:val="28"/>
                <w:szCs w:val="28"/>
              </w:rPr>
              <w:t> </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постановою Кабінету Міністрів України</w:t>
            </w:r>
            <w:r>
              <w:rPr>
                <w:rFonts w:ascii="Times New Roman" w:eastAsia="Times New Roman" w:hAnsi="Times New Roman" w:cs="Times New Roman"/>
                <w:sz w:val="28"/>
                <w:szCs w:val="28"/>
              </w:rPr>
              <w:t> </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від ___ ______ 2025 року № ___</w:t>
            </w:r>
          </w:p>
        </w:tc>
      </w:tr>
    </w:tbl>
    <w:p w:rsidR="004273A8" w:rsidRDefault="004273A8">
      <w:pPr>
        <w:keepLines/>
        <w:spacing w:before="300" w:line="240" w:lineRule="auto"/>
        <w:ind w:left="448" w:right="448"/>
        <w:jc w:val="center"/>
        <w:rPr>
          <w:rFonts w:ascii="Times New Roman" w:eastAsia="Times New Roman" w:hAnsi="Times New Roman" w:cs="Times New Roman"/>
          <w:b/>
          <w:bCs/>
          <w:sz w:val="28"/>
          <w:szCs w:val="28"/>
        </w:rPr>
      </w:pPr>
    </w:p>
    <w:p w:rsidR="004273A8" w:rsidRDefault="002401FB">
      <w:pPr>
        <w:keepLines/>
        <w:spacing w:line="240" w:lineRule="auto"/>
        <w:ind w:left="448" w:right="44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bookmarkStart w:id="2" w:name="bookmark=id.55ez66edtbb1" w:colFirst="0" w:colLast="0"/>
      <w:bookmarkEnd w:id="2"/>
      <w:r>
        <w:rPr>
          <w:rFonts w:ascii="Times New Roman" w:eastAsia="Times New Roman" w:hAnsi="Times New Roman" w:cs="Times New Roman"/>
          <w:b/>
          <w:bCs/>
          <w:sz w:val="28"/>
          <w:szCs w:val="28"/>
        </w:rPr>
        <w:t>ПОРЯДОК </w:t>
      </w:r>
    </w:p>
    <w:p w:rsidR="004273A8" w:rsidRDefault="002401FB">
      <w:pPr>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sz w:val="28"/>
          <w:szCs w:val="28"/>
        </w:rPr>
        <w:t>реалізації експериментального проекту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4273A8" w:rsidRDefault="004273A8">
      <w:pPr>
        <w:jc w:val="center"/>
        <w:rPr>
          <w:rFonts w:ascii="Times New Roman" w:eastAsia="Times New Roman" w:hAnsi="Times New Roman" w:cs="Times New Roman"/>
          <w:b/>
          <w:bCs/>
          <w:color w:val="333333"/>
          <w:sz w:val="24"/>
          <w:szCs w:val="24"/>
        </w:rPr>
      </w:pP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Цей Порядок визначає процедуру проведення експериментального проекту щодо конкурсного відбору</w:t>
      </w:r>
      <w:r>
        <w:rPr>
          <w:rFonts w:ascii="Times New Roman" w:eastAsia="Times New Roman" w:hAnsi="Times New Roman" w:cs="Times New Roman"/>
          <w:sz w:val="30"/>
          <w:szCs w:val="30"/>
        </w:rPr>
        <w:t xml:space="preserve"> </w:t>
      </w:r>
      <w:r>
        <w:rPr>
          <w:rFonts w:ascii="Times New Roman" w:eastAsia="Times New Roman" w:hAnsi="Times New Roman" w:cs="Times New Roman"/>
          <w:sz w:val="28"/>
          <w:szCs w:val="28"/>
        </w:rPr>
        <w:t xml:space="preserve">спільних прикладних наукових досліджень і науково-технічних (експериментальних) розробок закладів вищої освіти, наукових установ та підприємств, організацій реального сектору економіки (далі - конкурс), які отримують фінансову підтримку на умовах співфінансування з метою створення партнерських зв'язків між наукою, бізнесом та державою, інтеграції нових технологій у виробничі процеси підприємств, що підвищить їх конкурентоспроможність на внутрішньому та міжнародному ринках. </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Координатором експериментального проекту є МОН (далі - організатор конкурсу).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Учасниками експериментального проекту є:</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вищої освіти, наукові установи та підприємства, організації реального сектору економіки - переможці конкурсного відбору спільних прикладних наукових досліджень і науково-технічних (експериментальних) розробок.</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 цьому Порядку терміни вживаються в такому значенні:</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виконавець - заклад вищої освіти або наукова установа, який (яка) подав документи для участі у конкурсі та проводитиме прикладні наукові дослідження і науково-технічні (експериментальні) розробки на користь ініціатора;</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заявка на участь у конкурсі (далі - заявка) - документ, оформлений учасником конкурсу за встановленою організатором конкурсу формою; </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видами заявки відповідно до цього Порядку є: самостійна заявка виконавця; спільна заявка виконавця та ініціатора;</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ініціатор - суб’єкт малого, середнього або великого підприємництва, який бере участь у формуванні технічного завдання, тематики спільних прикладних наукових досліджень і науково-технічних (експериментальних) розробок та/або у їх виконанні спільно з виконавцем, а також бере участь у їх </w:t>
      </w:r>
      <w:proofErr w:type="spellStart"/>
      <w:r>
        <w:rPr>
          <w:rFonts w:ascii="Times New Roman" w:eastAsia="Times New Roman" w:hAnsi="Times New Roman" w:cs="Times New Roman"/>
          <w:sz w:val="28"/>
          <w:szCs w:val="28"/>
        </w:rPr>
        <w:t>співфінансуванні</w:t>
      </w:r>
      <w:proofErr w:type="spellEnd"/>
      <w:r>
        <w:rPr>
          <w:rFonts w:ascii="Times New Roman" w:eastAsia="Times New Roman" w:hAnsi="Times New Roman" w:cs="Times New Roman"/>
          <w:sz w:val="28"/>
          <w:szCs w:val="28"/>
        </w:rPr>
        <w:t xml:space="preserve"> на умовах, визначених у цьому Порядку; </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співвиконавець – юридична особа, незалежно від організаційно-правової форми (у тому числі ініціатор), яка на договірних засадах зазначена у заявці як співвиконавець основних завдань у рамках проведення спільних прикладних наукових досліджень і науково-технічних (експериментальних) розробок;</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спільні прикладні наукові дослідження і науково-технічні (експериментальні) розробки - дослідження та розробки, які проводяться виконавцем (співвиконавцями) самостійно та/або спільно з ініціатором на користь ініціатора за попередньо визначеною ним тематикою та технічним завданням відповідно до цього Порядку;</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учасник конкурсу - виконавець (співвиконавці) та/або ініціатор, які подали заявку на участь у конкурсі.</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Терміни “суб’єкт малого підприємництва”, “суб’єкт середнього підприємництва” та “суб’єкт великого підприємництва” вживається у значенні, наведеному в Законі України “Про особливості регулювання діяльності юридичних осіб окремих організаційно-правових форм у перехідний період та об’єднань юридичних осіб”.</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терміни вживаються у значенні, наведеному в Цивільному кодексі України, Законах України “Про наукову і науково-технічну діяльність”, “Про вищу освіту”, “Про освіту”.</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Конкурс проводиться відповідно до цього Порядку з метою надання фінансової підтримки на проведення спільних прикладних наукових досліджень і науково-технічних (експериментальних) розробок на замовлення бізнесу на умовах співфінансування.</w:t>
      </w:r>
    </w:p>
    <w:p w:rsidR="002401FB" w:rsidRDefault="002401FB" w:rsidP="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Фінансова підтримка надається відповідно до Закону України “Про державну допомогу суб’єктам господарювання” з урахуванням критеріїв оцінки допустимості державної допомоги суб’єктам господарювання на проведення наукових досліджень, технічний розвиток та інноваційну діяльність, затверджених постановою Кабінету Міністрів України від 7 лютого 2018 р. № 118 (Офіційний вісник України, 2018 р., № 22, ст. 730), та становить:</w:t>
      </w:r>
    </w:p>
    <w:p w:rsidR="004273A8" w:rsidRDefault="002401FB" w:rsidP="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закладів вищої освіти або наукових установ, які подали заявку  на участь у конкурсі спільно з суб’єктом малого підприємництва – не більш</w:t>
      </w:r>
      <w:r w:rsidR="000C39A1">
        <w:rPr>
          <w:rFonts w:ascii="Times New Roman" w:eastAsia="Times New Roman" w:hAnsi="Times New Roman" w:cs="Times New Roman"/>
          <w:sz w:val="28"/>
          <w:szCs w:val="28"/>
        </w:rPr>
        <w:t>е 60 % витрат</w:t>
      </w:r>
      <w:r>
        <w:rPr>
          <w:rFonts w:ascii="Times New Roman" w:eastAsia="Times New Roman" w:hAnsi="Times New Roman" w:cs="Times New Roman"/>
          <w:sz w:val="28"/>
          <w:szCs w:val="28"/>
        </w:rPr>
        <w:t>;</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закладів вищої освіти або наукових установ, які подали заявку на участь у конкурсі спільно з суб’єктом середнього підприємництва – не більш</w:t>
      </w:r>
      <w:r w:rsidR="000C39A1">
        <w:rPr>
          <w:rFonts w:ascii="Times New Roman" w:eastAsia="Times New Roman" w:hAnsi="Times New Roman" w:cs="Times New Roman"/>
          <w:sz w:val="28"/>
          <w:szCs w:val="28"/>
        </w:rPr>
        <w:t>е 50 % витрат</w:t>
      </w:r>
      <w:r>
        <w:rPr>
          <w:rFonts w:ascii="Times New Roman" w:eastAsia="Times New Roman" w:hAnsi="Times New Roman" w:cs="Times New Roman"/>
          <w:sz w:val="28"/>
          <w:szCs w:val="28"/>
        </w:rPr>
        <w:t>;</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закладів вищої освіти або наукових установ, які подали заявку на участь у конкурсі спільно з суб’єктом великого підприємництва – не більш</w:t>
      </w:r>
      <w:r w:rsidR="000C39A1">
        <w:rPr>
          <w:rFonts w:ascii="Times New Roman" w:eastAsia="Times New Roman" w:hAnsi="Times New Roman" w:cs="Times New Roman"/>
          <w:sz w:val="28"/>
          <w:szCs w:val="28"/>
        </w:rPr>
        <w:t>е 40 % витрат</w:t>
      </w:r>
      <w:r>
        <w:rPr>
          <w:rFonts w:ascii="Times New Roman" w:eastAsia="Times New Roman" w:hAnsi="Times New Roman" w:cs="Times New Roman"/>
          <w:sz w:val="28"/>
          <w:szCs w:val="28"/>
        </w:rPr>
        <w:t>.</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Решта витрат покривається за рахунок ініціатора.</w:t>
      </w:r>
    </w:p>
    <w:p w:rsidR="004273A8" w:rsidRDefault="002401FB" w:rsidP="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Фінансова підтримка надається на строк, визначений організатором конкурсу, але не більше, ніж на два роки.</w:t>
      </w:r>
    </w:p>
    <w:p w:rsidR="004273A8" w:rsidRDefault="002401FB" w:rsidP="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Конкурс проводиться з дотриманням принципів законності, рівності умов для учасників конкурсу, прозорості, відкритості, об’єктивності, уникнення конфлікту інтересів.</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Конкурс проводиться організатором конкурсу за одним або кількома з таких пріоритетних напрямів (далі – пріоритетний напрям конкурсу):</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технологічне оновлення та розвиток сфер національної безпеки і оборони;</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освоєння нових технологій транспортування енергії, впровадження енергоефективних, ресурсозберігаючих технологій, освоєння альтернативних джерел енергії;</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освоєння нових технологій високотехнологічного розвитку транспортної системи, ракетно-космічної галузі, авіа- і суднобудування, озброєння та військової техніки;</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освоєння нових технологій виробництва матеріалів, їх оброблення і з’єднання, створення індустрії наноматеріалів та нанотехнологій;</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технологічне оновлення та розвиток агропромислового комплексу;</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нових технологій та обладнання для якісного медичного обслуговування, лікування, фармацевтики;</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широке застосування технологій більш чистого виробництва та охорони навколишнього природного середовища;</w:t>
      </w:r>
    </w:p>
    <w:p w:rsidR="004273A8" w:rsidRDefault="002401FB" w:rsidP="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сучасних інформаційних, комунікаційних технологій, робототехніки.</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Обов’язковими умовами для участі у конкурсі є:</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формування учасниками конкурсу тематики спільних прикладних наукових досліджень і науково-технічних (експериментальних) розробок та технічного завдання відповідно до пріоритетних напрямів конкурсу, потреб ініціатора та потенціалу до комерціалізації та/або практичного впровадження;</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випадку спільного подання заявки закладом вищої освіти або науковою установою та суб’єктом малого, середнього або великого підприємництва засвідчення їхньої попередньої домовленості договором;</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співфінансування з боку ініціатора, що підтверджується довідкою у довільній формі;</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передбачення у кошторисі витрат, спрямованих на впровадження результатів наукових досліджень і науково-технічних (експериментальних) розробок в </w:t>
      </w:r>
      <w:r w:rsidR="000C39A1">
        <w:rPr>
          <w:rFonts w:ascii="Times New Roman" w:eastAsia="Times New Roman" w:hAnsi="Times New Roman" w:cs="Times New Roman"/>
          <w:sz w:val="28"/>
          <w:szCs w:val="28"/>
        </w:rPr>
        <w:t>Україні</w:t>
      </w:r>
      <w:r>
        <w:rPr>
          <w:rFonts w:ascii="Times New Roman" w:eastAsia="Times New Roman" w:hAnsi="Times New Roman" w:cs="Times New Roman"/>
          <w:sz w:val="28"/>
          <w:szCs w:val="28"/>
        </w:rPr>
        <w:t>;</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відповідність вимогам та обмеженням, встановленим законодавством України щодо надання державної допомоги;</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у заявці та доданих до неї документах відомостей, які становлять державну таємницю.</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Учасниками конкурсного відбору на отримання фінансової підтримки на умовах співфінансування може бути заклад вищої освіти, наукова установа, який (яка) включена до Державного реєстру наукових установ, яким надається підтримка держави, та суб’єкт малого, середнього або великого підприємництва, у тому числі науковий парк, які подали заявку для участі у конкурсі.</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Учасниками конкурсного відбору не можуть бути:</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юридичні особи, утворені відповідно до законодавства держави, що визнана відповідно до закону державою-агресором або державою-окупантом, або громадянин такої держави, який постійно на законних підставах проживає на території України, є учасником (акціонером) юридичної особи, частка якого в статутному капіталі з урахуванням відносин контролю становить 10 або більше відсотків, або членом, або кінцевим бенефіціарним власником;</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юридичні особи, віднесені до юридичних осіб, до яких застосовуються спеціальні економічні та інші обмежувальні заходи (санкції) відповідними рішеннями Ради національної безпеки і оборони України, введеними в дію указами Президента України щодо застосування персональних (спеціальних) економічних та інших обмежувальних заходів (санкцій) відповідно до Закону України “Про санкції”;</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юридичні особи, щодо яких порушено справи про банкрутство та/або яких визнано банкрутами, та/або які перебувають на стадії ліквідації;</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юридичні особи, які мають заборгованості за </w:t>
      </w:r>
      <w:proofErr w:type="spellStart"/>
      <w:r>
        <w:rPr>
          <w:rFonts w:ascii="Times New Roman" w:eastAsia="Times New Roman" w:hAnsi="Times New Roman" w:cs="Times New Roman"/>
          <w:sz w:val="28"/>
          <w:szCs w:val="28"/>
        </w:rPr>
        <w:t>платежами</w:t>
      </w:r>
      <w:proofErr w:type="spellEnd"/>
      <w:r>
        <w:rPr>
          <w:rFonts w:ascii="Times New Roman" w:eastAsia="Times New Roman" w:hAnsi="Times New Roman" w:cs="Times New Roman"/>
          <w:sz w:val="28"/>
          <w:szCs w:val="28"/>
        </w:rPr>
        <w:t>, здійснення контролю за справлянням яких покладено на контролюючі органи.</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Рішення про проведення конкурсу приймається організатором конкурсу з урахуванням розміру бюджетних призначень, передбачених у державному бюджеті на відповідний рік. </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про проведення конкурсу затверджується наказом МОН про проведення конкурсу, в якому, зокрема, визначаються текст оголошення про проведення конкурсу, вимоги до організації та проведення конкурсу, строки подання та розгляду заявок, загальний обсяг фінансування конкурсу, обсяги фінансування спільних прикладних наукових досліджень і науково-технічних (експериментальних) розробок.</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Організаційне забезпечення проведення конкурсу здійснює структурний підрозділ МОН, на який покладено функції забезпечення реалізації державної політики у сфері інноваційної діяльності та зв’язків науки з реальним сектором економіки, трансферу (передачі) технологій, який виконує такі функції:</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підготовки та проведення конкурсу;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перевірка заявок та документів на їх відповідність вимогам, встановленим цим Порядком, забезпечення подання їх на розгляд секцій;</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реєстрації експертних висновків, складених за результатами наукової і науково-технічної експертизи заявок;</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моніторингу виконання спільних прикладних наукових досліджень і науково-технічних (експериментальних) розробок.</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Науково-експертне забезпечення конкурсу здійснюють </w:t>
      </w:r>
      <w:r w:rsidR="000C39A1">
        <w:rPr>
          <w:rFonts w:ascii="Times New Roman" w:eastAsia="Times New Roman" w:hAnsi="Times New Roman" w:cs="Times New Roman"/>
          <w:sz w:val="28"/>
          <w:szCs w:val="28"/>
          <w:lang w:val="uk-UA"/>
        </w:rPr>
        <w:t xml:space="preserve">Рада МОН з розвитку інновацій </w:t>
      </w:r>
      <w:r>
        <w:rPr>
          <w:rFonts w:ascii="Times New Roman" w:eastAsia="Times New Roman" w:hAnsi="Times New Roman" w:cs="Times New Roman"/>
          <w:sz w:val="28"/>
          <w:szCs w:val="28"/>
        </w:rPr>
        <w:t>(далі - рада) та секції ради за пріоритетними напрямами конкурсу (далі - секції).</w:t>
      </w:r>
    </w:p>
    <w:p w:rsidR="000C39A1" w:rsidRPr="000C39A1" w:rsidRDefault="000C39A1" w:rsidP="000C39A1">
      <w:pPr>
        <w:ind w:firstLine="720"/>
        <w:jc w:val="both"/>
        <w:rPr>
          <w:rFonts w:ascii="Times New Roman" w:eastAsia="Times New Roman" w:hAnsi="Times New Roman" w:cs="Times New Roman"/>
          <w:sz w:val="28"/>
          <w:szCs w:val="28"/>
          <w:lang w:val="uk-UA"/>
        </w:rPr>
      </w:pPr>
      <w:r w:rsidRPr="000C39A1">
        <w:rPr>
          <w:rFonts w:ascii="Times New Roman" w:eastAsia="Times New Roman" w:hAnsi="Times New Roman" w:cs="Times New Roman"/>
          <w:sz w:val="28"/>
          <w:szCs w:val="28"/>
          <w:lang w:val="uk-UA"/>
        </w:rPr>
        <w:t xml:space="preserve">Для цілей цього експериментального проекту та з урахуванням положень цього Порядку повноваження та склад ради, створеної відповідно до постанови Кабінету Міністрів України від 23 квітня 2024 р. № 430 “Про реалізацію експериментального проекту щодо створення на базі закладів вищої освіти, наукових установ мережі </w:t>
      </w:r>
      <w:proofErr w:type="spellStart"/>
      <w:r w:rsidRPr="000C39A1">
        <w:rPr>
          <w:rFonts w:ascii="Times New Roman" w:eastAsia="Times New Roman" w:hAnsi="Times New Roman" w:cs="Times New Roman"/>
          <w:sz w:val="28"/>
          <w:szCs w:val="28"/>
          <w:lang w:val="uk-UA"/>
        </w:rPr>
        <w:t>стартап</w:t>
      </w:r>
      <w:proofErr w:type="spellEnd"/>
      <w:r w:rsidRPr="000C39A1">
        <w:rPr>
          <w:rFonts w:ascii="Times New Roman" w:eastAsia="Times New Roman" w:hAnsi="Times New Roman" w:cs="Times New Roman"/>
          <w:sz w:val="28"/>
          <w:szCs w:val="28"/>
          <w:lang w:val="uk-UA"/>
        </w:rPr>
        <w:t>-шкіл - інкубаторів – акселераторів” (Офіційний вісник України, 2024 р., № 41, ст. 2483), оновлюються наказом МОН протягом десяти днів з дня набрання чинності цією постановою.</w:t>
      </w:r>
    </w:p>
    <w:p w:rsidR="000C39A1" w:rsidRPr="000C39A1" w:rsidRDefault="000C39A1" w:rsidP="000C39A1">
      <w:pPr>
        <w:ind w:firstLine="720"/>
        <w:jc w:val="both"/>
        <w:rPr>
          <w:rFonts w:ascii="Times New Roman" w:eastAsia="Times New Roman" w:hAnsi="Times New Roman" w:cs="Times New Roman"/>
          <w:sz w:val="28"/>
          <w:szCs w:val="28"/>
          <w:lang w:val="uk-UA"/>
        </w:rPr>
      </w:pPr>
      <w:r w:rsidRPr="000C39A1">
        <w:rPr>
          <w:rFonts w:ascii="Times New Roman" w:eastAsia="Times New Roman" w:hAnsi="Times New Roman" w:cs="Times New Roman"/>
          <w:sz w:val="28"/>
          <w:szCs w:val="28"/>
          <w:lang w:val="uk-UA"/>
        </w:rPr>
        <w:lastRenderedPageBreak/>
        <w:t>Положення про раду також передбачає створення секцій ради за пріоритетними напрямами конкурсу для проведення незалежної експертизи поданих заявок.</w:t>
      </w:r>
      <w:bookmarkStart w:id="3" w:name="_GoBack"/>
      <w:bookmarkEnd w:id="3"/>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Головою ради є заступник Міністра освіти і науки, який за своїми функціональними обов’язками здійснює контроль за реалізацією державної політики в сферах наукової, науково-технічної та інноваційної діяльності.</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складу ради входять по два представники МОН та Міністерства економіки, довкілля та сільського господарства України, голови секцій, по одній кандидатурі провідних вчених, яких делеговано до складу ради Національною академією наук, Радою проректорів з наукової роботи закладів вищої освіти, Науковим комітетом Національної ради України з питань розвитку науки і технологій та представники підприємств, організацій реального сектору економіки.</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кількість членів ради не перевищує шістнадцять осіб.</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Члени ради беруть участь у роботі ради на громадських засадах.</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Члени ради та секцій не можуть бути учасниками конкурсу.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Критеріями, за якими здійснюється конкурсний відбір заявок, є:</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відповідність пріоритетним напрямам конкурсу;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спроможність виконання спільних прикладних наукових досліджень і науково-технічних (експериментальних) розробок;</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унікальність прогнозованого результату спільних прикладних наукових досліджень і науково-технічних (експериментальних) розробок, його переваги та комерційна придатність; </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комерціалізації та/або практичного впровадження результатів спільних прикладних наукових досліджень і науково-технічних (експериментальних) розробок;</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прогнозований соціально-економічний вплив для України.</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Організатор конкурсу може визначати також і інші критерії здійснення конкурсного відбору, про що зазначає в оголошенні про проведення конкурсу.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Проведення конкурсу здійснюється за такими етапами:</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радою відбору технічних завдань ініціаторів з урахуванням пріоритетних напрямів конкурсу, потреб ініціатора та потенціалу до комерціалізації та/або практичного впровадження результатів наукових досліджень і науково-технічних (експериментальних) розробок;</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публікація оголошення про проведення конкурсу;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приймання (одержання) документів, поданих учасниками конкурсу, в тому числі здійснення реєстрації поданих заявок;</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попередній розгляд поданих учасниками конкурсу заявок та доданих до них документів на відповідність вимогам, встановленим умовами конкурсу;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наукової і науково-технічної експертизи заявок;</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радою з урахуванням результатів наукової і науково-технічної експертизи заявок пропозицій щодо переліку спільних прикладних наукових досліджень і науково-технічних (експериментальних) розробок, на проведення яких планується надання фінансової підтримки, - переможців конкурсу; </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прийняття організатором конкурсу рішення про затвердження результатів конкурсу;</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оприлюднення результатів конкурсу з переліком переможців конкурсу та визначеним організатором конкурсу обсягом фінансової підтримки для кожного з переможців конкурсу на відповідний рік.</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Тематика спільних прикладних наукових досліджень і науково-технічних (експериментальних) розробок, за якою учасники подаються на конкурс, формується двома шляхами:</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радою відбору технічних завдань ініціаторів на основі їхнього запиту;</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виконавцем (співвиконавцями) та ініціатором самостійно.</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формуванні тематики на основі запитів ініціаторів організатор конкурсу оголошує збір пропозицій щодо технічних завдань від суб'єктів малого, середнього та великого підприємництва.</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Пропозиції від ініціаторів подаються у формі офіційних запитів, що обов'язково містять опис технологічного виклику, технічні вимоги до кінцевого результату наукових досліджень та науково-технічних (експериментальних) розробок, обґрунтування потреби, а також засвідчення готовності співфінансування.</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Відбір технічних завдань ініціаторів здійснюється радою за такими критеріями:</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відповідність пріоритетним напрямам конкурсу;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орієнтація на пріоритетні потреби ініціатора;</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спрямованість на створення інноваційної та конкурентоспроможної продукції;</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можливість подальшої комерціалізації та/або практичного впровадження.</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Рада на своєму засіданні затверджує перелік технічних завдань та тематик, які будуть винесені на конкурс для відбору виконавців.</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Виконавець та ініціатор можуть подати спільну заявку для участі в конкурсі за самостійно визначеною ними тематикою, яка повинна відповідати критеріям, визначеним у цьому Порядку.</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формуванням тематики будь-хто із учасників конкурсу (виконавець або ініціатор) може звернутися до організатора конкурсу з метою отримання консультаційної підтримки щодо пошуку партнера для подання спільної заявки, формування тематики спільних прикладних наукових досліджень і науково-технічних (експериментальних) розробок та/або попереднього технічного завдання.</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Конкурс оголошується шляхом розміщення оголошення про проведення конкурсу на офіційних вебресурсах МОН. </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оголошенні про проведення конкурсу обов’язково зазначаються:</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пріоритетні напрями конкурсу, за якими формується тематика спільних прикладних наукових досліджень і науково-технічних (експериментальних) розробок, за якою учасники подаються на конкурс;</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умови конкурсного відбору, місце його проведення;</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учасників конкурсу;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документів, необхідних для подання;</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за якими здійснюється конкурсний відбір;</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відомості про кінцевий строк подання заявок на участь у конкурсному відборі, строки розгляду заявок і підбиття підсумків конкурсного відбору;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оцінювання заявок на участь у конкурсному відборі;</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відомості щодо порядку проведення спільних прикладних наукових досліджень і науково-технічних (експериментальних) розробок та умов співфінансування;</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відомості про істотні умови договору, який буде укладено за результатами конкурсного відбору;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обсяг фінансової підтримки, що буде надаватися за результатами конкурсу.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оголошення додається зразок форми заявки та рекомендації щодо її заповнення, примірна форма договору про надання фінансової підтримки, зразок заяви щодо відповідності учасника конкурсу вимогам критеріїв оцінки допустимості державної допомоги суб’єктам господарювання на </w:t>
      </w:r>
      <w:r>
        <w:rPr>
          <w:rFonts w:ascii="Times New Roman" w:eastAsia="Times New Roman" w:hAnsi="Times New Roman" w:cs="Times New Roman"/>
          <w:sz w:val="28"/>
          <w:szCs w:val="28"/>
        </w:rPr>
        <w:lastRenderedPageBreak/>
        <w:t>проведення наукових досліджень, технічний розвиток та інноваційну діяльність, затверджених постановою Кабінету Міністрів України від 7 лютого 2018 р. № 118 (Офіційний вісник України, 2018 р., № 22, ст. 730), а також інші документи, зазначені в умовах конкурсу.</w:t>
      </w:r>
    </w:p>
    <w:p w:rsidR="004273A8" w:rsidRDefault="002401FB" w:rsidP="002401FB">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Датою початку конкурсу є дата оприлюднення оголошення про проведення конкурсу.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У випадку формування тематики на основі запитів ініціаторів заявку до МОН подає виконавець, до якої додає:</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підтвердження спроможності виконання спільних прикладних наукових досліджень і науково-технічних (експериментальних) розробок;</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підтвердження факту того, що науковий керівник спільних прикладних наукових досліджень і науково-технічних (експериментальних) розробок є співробітником установи-учасника конкурсу за основним місцем роботи (із зазначенням його посади);</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інформаційну довідку з Єдиного реєстру підприємств, щодо яких порушено провадження у справі про банкрутство;</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довідку про відсутність заборгованості за </w:t>
      </w:r>
      <w:proofErr w:type="spellStart"/>
      <w:r>
        <w:rPr>
          <w:rFonts w:ascii="Times New Roman" w:eastAsia="Times New Roman" w:hAnsi="Times New Roman" w:cs="Times New Roman"/>
          <w:sz w:val="28"/>
          <w:szCs w:val="28"/>
        </w:rPr>
        <w:t>платежами</w:t>
      </w:r>
      <w:proofErr w:type="spellEnd"/>
      <w:r>
        <w:rPr>
          <w:rFonts w:ascii="Times New Roman" w:eastAsia="Times New Roman" w:hAnsi="Times New Roman" w:cs="Times New Roman"/>
          <w:sz w:val="28"/>
          <w:szCs w:val="28"/>
        </w:rPr>
        <w:t>, здійснення контролю за справлянням яких покладено на контролюючі органи, дійсну станом на момент подання заявки;</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підтвердження з метою встановлення відсутності підстав для відхилення заявки учасника конкурсу відповідно до критеріїв оцінки допустимості державної допомоги суб’єктам господарювання на проведення наукових досліджень, технічний розвиток та інноваційну діяльність, затверджених постановою Кабінету Міністрів України від 7 лютого 2018 р. № 118 (Офіційний вісник України, 2018 р., № 22, ст. 730).</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випадку самостійного визначення тематики виконавцем та ініціатором заявку до МОН подають виконавець та ініціатор спільно, до якої додають:</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обґрунтування спільного формування тематики прикладних наукових досліджень і науково-технічних (експериментальних) розробок з урахуванням потреб ініціатора та потенціалу до комерціалізації та/або практичного впровадження;</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попереднє технічне завдання від ініціатора;</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про наміри, підписаний виконавцем та ініціатором;</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підтвердження готовності ініціатора до співфінансування та подальшої комерціалізації та/або впровадження результатів наукових досліджень і науково-технічних (експериментальних)розробок;</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підтвердження факту, що прикладне наукове дослідження і науково-технічна (експериментальна) розробка не подані на інший конкурс з метою отримання фінансування за рахунок коштів державного бюджету, або ж не фінансуються чи не фінансувалися раніше за рахунок бюджетних коштів за результатами іншого конкурсу;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інформаційну довідку з Єдиного реєстру підприємств, щодо яких порушено провадження у справі про банкрутство;</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довідку про відсутність заборгованості за </w:t>
      </w:r>
      <w:proofErr w:type="spellStart"/>
      <w:r>
        <w:rPr>
          <w:rFonts w:ascii="Times New Roman" w:eastAsia="Times New Roman" w:hAnsi="Times New Roman" w:cs="Times New Roman"/>
          <w:sz w:val="28"/>
          <w:szCs w:val="28"/>
        </w:rPr>
        <w:t>платежами</w:t>
      </w:r>
      <w:proofErr w:type="spellEnd"/>
      <w:r>
        <w:rPr>
          <w:rFonts w:ascii="Times New Roman" w:eastAsia="Times New Roman" w:hAnsi="Times New Roman" w:cs="Times New Roman"/>
          <w:sz w:val="28"/>
          <w:szCs w:val="28"/>
        </w:rPr>
        <w:t>, здійснення контролю за справлянням яких покладено на контролюючі органи, дійсну станом на момент подання заявки;</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підтвердження з метою встановлення відсутності підстав для відхилення заявки учасника конкурсу відповідно до критеріїв оцінки допустимості державної допомоги суб’єктам господарювання на проведення наукових досліджень, технічний розвиток та інноваційну діяльність, затверджених постановою Кабінету Міністрів України від 7 лютого 2018 р. № 118 (Офіційний вісник України, 2018 р., № 22, ст. 730).</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Усі заявки подаються в електронній формі через Національну електронну науково-інформаційну систему (далі - система) з накладеним кваліфікованим електронним підписом або удосконаленим електронним підписом, що базується на кваліфікованому сертифікаті електронного підпису, з використанням можливостей системи відповідно до положень Порядку роботи Національної електронної науково-інформаційної системи, затвердженого наказом Міністерства освіти і науки України від 08 січня 2024 року № 10, зареєстрованого в Міністерстві юстиції України 05 березня 2024 року за № 323/41668, та відповідно до процедури, визначеної організатором в оголошенні про проведення конкурсу. </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подання двох або більше заявок на участь у конкурсі, де науковим керівником є одна й та сама особа, до розгляду приймається лише одна заявка, яка була подана першою.</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Учасник конкурсу, визначений переможцем за результатами конкурсу, додатково подає документи в паперовій формі.</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Зміна або внесення уточнень до поданих для участі у конкурсі документів після закінчення строку подання заявок не допускається.</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Документи учасника конкурсу, що надійшли після зазначеного в оголошенні про проведення конкурсу кінцевого строку подання заявок, не розглядаються.</w:t>
      </w:r>
    </w:p>
    <w:p w:rsidR="004273A8" w:rsidRDefault="002401F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ab/>
        <w:t>Кінцевий строк подання заявок визначається в оголошенні та не може становити менше, ніж тридцять календарних днів з дати оприлюднення такого оголошення.</w:t>
      </w:r>
    </w:p>
    <w:p w:rsidR="004273A8" w:rsidRDefault="002401F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За рішенням організатора конкурсу строк подання заявок може бути продовжено.</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Попередній розгляд поданих учасниками конкурсу заявок та доданих до них документів на відповідність вимогам, встановленим умовами конкурсу, здійснює організатор конкурсу відповідно до пункту 12 цього Порядку.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Підставами для відхилення заявки є:</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невідповідність форми, поданої учасником конкурсу, формі заявки, визначеної організатором конкурсу;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подання учасником конкурсу документів не в повному обсязі або таких, що не відповідають вимогам, встановленим організатором конкурсу;</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недостовірних відомостей у поданих учасником конкурсу документах.</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Заявки, оформлення яких не відповідає встановленій МОН формі та формальним вимогам конкурсу, після попереднього розгляду повертаються на доопрацювання, відхиляються або блокуються в системі відповідно до Порядку роботи Національної електронної науково-інформаційної системи, затвердженого наказом Міністерства освіти і науки України від 08 січня 2024 року № 10, зареєстрованого в Міністерстві юстиції України 05 березня 2024 року за № 323/41668, із зазначенням причини та переліку зауважень, які потребують доопрацювання.</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Учасник конкурсу може повторно протягом семи календарних днів з дати повернення заявки подати доопрацьовані документи, але не пізніше закінчення строку подання заявок на участь у конкурсі.</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закінчення строку подання заявок на участь у конкурсі, заміна та перегляд поданих для участі в конкурсі документів не допускаються.</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Заявки, відхилені за результатами попереднього розгляду, до проведення наукової і науково-технічної експертизи не передаються.</w:t>
      </w:r>
    </w:p>
    <w:p w:rsidR="004273A8" w:rsidRDefault="002401FB" w:rsidP="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відхилення заявок організатор конкурсу повідомляє учасників в електронній формі протягом трьох робочих днів після закінчення строку попереднього розгляду усіх заявок.</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Прийняті до розгляду заявки проходять наукову і науково-технічну експертизу відповідно до Закону України “Про наукову та </w:t>
      </w:r>
      <w:r>
        <w:rPr>
          <w:rFonts w:ascii="Times New Roman" w:eastAsia="Times New Roman" w:hAnsi="Times New Roman" w:cs="Times New Roman"/>
          <w:sz w:val="28"/>
          <w:szCs w:val="28"/>
        </w:rPr>
        <w:lastRenderedPageBreak/>
        <w:t>науково-технічну експертизу”</w:t>
      </w:r>
      <w:r>
        <w:t xml:space="preserve"> </w:t>
      </w:r>
      <w:r>
        <w:rPr>
          <w:rFonts w:ascii="Times New Roman" w:eastAsia="Times New Roman" w:hAnsi="Times New Roman" w:cs="Times New Roman"/>
          <w:sz w:val="28"/>
          <w:szCs w:val="28"/>
        </w:rPr>
        <w:t>з урахуванням та дотриманням принципів наукової етики та запобігання конфлікту інтересів.</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та затвердження переліку можливих експертів здійснюється радою протягом десяти робочих днів з дати завершення попереднього розгляду заявок з урахуванням тематики прикладних наукових досліджень і науково-технічних (експериментальних) розробок.</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bookmarkStart w:id="4" w:name="_heading=h.pazeny9kv0hd" w:colFirst="0" w:colLast="0"/>
      <w:bookmarkEnd w:id="4"/>
      <w:r>
        <w:rPr>
          <w:rFonts w:ascii="Times New Roman" w:eastAsia="Times New Roman" w:hAnsi="Times New Roman" w:cs="Times New Roman"/>
          <w:sz w:val="28"/>
          <w:szCs w:val="28"/>
        </w:rPr>
        <w:t>Строк проведення наукової і науково-технічної експертизи не може бути більшим, ніж дев'яносто календарних днів з дня завершення строку подання заявок.</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Наукова і науково-технічна експертиза заявок проводиться анонімно, інформація про розподіл заявок між експертами є конфіденційною.</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Замовником експертизи виступає організатор конкурсу. </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Експертизу кожної заявки здійснюють не менше, ніж три експерти, які надають окремі експертні висновки. </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Експерти провадять свою діяльність на громадських засадах.</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Експерти не можуть проводити експертизу заявок, поданих учасником конкурсу, в яких вони та/або їх родичі працюють/працювали (за основним місцем роботи або сумісництвом), або у разі, коли вони мають спільні наукові публікації з керівником, основним виконавцем або виконавцями заявки, або у разі іншого конфлікту інтересів протягом останніх п’яти років.</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Отримання документів для експертизи, формування та подання експертного висновку відбувається в електронній формі з використанням можливостей системи відповідно до положень Порядку роботи Національної електронної науково-інформаційної системи, затвердженого наказом Міністерства освіти і науки України від 08 січня 2024 року № 10, зареєстрованого в Міністерстві юстиції України 05 березня 2024 року за № 323/41668.</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Експертна оцінка заявок визначається під час заповнення експертом форми експертного висновку з урахуванням критеріїв оцінювання заявок на участь у конкурсному відборі спільних прикладних наукових досліджень та науково-технічних (експериментальних) розробок, які затверджуються організатором конкурсу. </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Експертну оцінку обчислюють в балах як суму зважених оцінок для всіх показників.</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кількість балів заявки визначається як середнє арифметичне значення експертних оцінок, виставлених експертами.</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Якщо експертна оцінка одного з трьох експертів відрізняється більш як на 30 відсотків від експертних оцінок двох інших, така експертна оцінка не береться до уваги. Про цей факт повідомляється експерту  і він має право викласти в письмовій формі окрему думку, яку рада зобов’язана розглянути.</w:t>
      </w:r>
    </w:p>
    <w:p w:rsidR="004273A8" w:rsidRDefault="002401FB" w:rsidP="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випадку суттєвої розбіжності оцінок експертів призначається повторна експертиза.</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Розгляд заявок з урахуванням результатів їх наукової і науково-технічної експертизи здійснюється на засіданнях секцій ради за кожним пріоритетним напрямом конкурсу окремо.</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результатами розгляду складається протокол з пропозиціями щодо переліку спільних прикладних наукових досліджень та науково-технічних (експериментальних) розробок, рекомендованих секцією для фінансування, та орієнтовного обсягу фінансування кожного дослідження і розробки.</w:t>
      </w:r>
    </w:p>
    <w:p w:rsidR="004273A8" w:rsidRDefault="002401FB" w:rsidP="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остаточних пропозицій щодо переліку спільних прикладних наукових досліджень та науково-технічних (експериментальних) розробок, на проведення яких планується надання фінансової підтримки (переліку переможців конкурсу) із зазначенням орієнтовного обсягу фінансування кожного дослідження і розробки в розрізі років виконання здійснюється на засіданні ради.</w:t>
      </w:r>
    </w:p>
    <w:p w:rsidR="004273A8" w:rsidRDefault="002401FB" w:rsidP="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Результати конкурсу публікуються на офіційному вебсайті МОН протягом десяти календарних днів з дати затвердження рішення ради наказом МОН.</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Надання фінансової підтримки здійснюється за результатами проведення конкурсу шляхом укладення тристороннього договору.</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Окрім істотних умов договору, у договорі обов’язково визначаються умови співфінансування та розподіл прав інтелектуальної власності. </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Майнові права інтелектуальної власності, створеної під час проведення спільних прикладних наукових досліджень і науково-технічних (експериментальних) розробок, розподіляються на підставі укладеного тристороннього договору між організатором конкурсу, виконавцем та ініціатором.</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Майнові права інтелектуальної власності можуть бути повністю або частково передані ініціатору в першочерговому порядку на підставі договору щодо розпоряджання майновими правами інтелектуальної власності.</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Невід’ємною частиною тристороннього договору є технічне завдання, календарний план та кошторис.</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укладення договору організатор конкурсу може  витребувати в переможців конкурсу оригінали необхідних документів, а також довідку в довільній формі, що підтверджує факт наявності на рахунку ініціатора суми, необхідної для співфінансування.</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Фінансова підтримка може бути використана виключно на цілі, передбачені умовами конкурсного відбору та тристороннім договором.</w:t>
      </w:r>
    </w:p>
    <w:p w:rsidR="004273A8" w:rsidRDefault="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Організатор конкурсу перераховує кошти на рахунок виконавця поетапно, визначеними в договорі частинами.</w:t>
      </w:r>
    </w:p>
    <w:p w:rsidR="004273A8" w:rsidRDefault="002401FB" w:rsidP="002401FB">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Організатор конкурсу здійснює моніторинг виконання умов договору відповідно до порядку, визначеного  в такому договорі.</w:t>
      </w:r>
    </w:p>
    <w:p w:rsidR="004273A8" w:rsidRDefault="002401F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Прийняття результатів спільних прикладних наукових досліджень і науково-технічних (експериментальних) розробок здійснюється організатором конкурсу на підставі звітності виконавця, що подається відповідно до умов тристороннього договору, та підтверджує цільове використання коштів і досягнення визначених у ньому результатів.</w:t>
      </w:r>
    </w:p>
    <w:p w:rsidR="004273A8" w:rsidRDefault="004273A8">
      <w:pPr>
        <w:ind w:firstLine="720"/>
        <w:jc w:val="both"/>
        <w:rPr>
          <w:rFonts w:ascii="Times New Roman" w:eastAsia="Times New Roman" w:hAnsi="Times New Roman" w:cs="Times New Roman"/>
          <w:sz w:val="28"/>
          <w:szCs w:val="28"/>
        </w:rPr>
      </w:pPr>
    </w:p>
    <w:p w:rsidR="004273A8" w:rsidRDefault="002401FB">
      <w:pPr>
        <w:ind w:firstLine="720"/>
        <w:jc w:val="center"/>
      </w:pPr>
      <w:r>
        <w:t>________________________________________________</w:t>
      </w:r>
    </w:p>
    <w:p w:rsidR="004273A8" w:rsidRDefault="004273A8">
      <w:pPr>
        <w:jc w:val="both"/>
      </w:pPr>
    </w:p>
    <w:p w:rsidR="004273A8" w:rsidRDefault="004273A8"/>
    <w:sectPr w:rsidR="004273A8" w:rsidSect="00C257CC">
      <w:headerReference w:type="default" r:id="rId8"/>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445" w:rsidRDefault="00740445" w:rsidP="00C257CC">
      <w:pPr>
        <w:spacing w:line="240" w:lineRule="auto"/>
      </w:pPr>
      <w:r>
        <w:separator/>
      </w:r>
    </w:p>
  </w:endnote>
  <w:endnote w:type="continuationSeparator" w:id="0">
    <w:p w:rsidR="00740445" w:rsidRDefault="00740445" w:rsidP="00C25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2392A4BA-4C84-4B8D-9B5E-DB8586EE9020}"/>
  </w:font>
  <w:font w:name="Calibri Light">
    <w:panose1 w:val="020F0302020204030204"/>
    <w:charset w:val="CC"/>
    <w:family w:val="swiss"/>
    <w:pitch w:val="variable"/>
    <w:sig w:usb0="E4002EFF" w:usb1="C000247B" w:usb2="00000009" w:usb3="00000000" w:csb0="000001FF" w:csb1="00000000"/>
    <w:embedRegular r:id="rId2" w:fontKey="{C8FD671A-0665-49AD-838F-549BA94477E9}"/>
  </w:font>
  <w:font w:name="Calibri">
    <w:panose1 w:val="020F0502020204030204"/>
    <w:charset w:val="CC"/>
    <w:family w:val="swiss"/>
    <w:pitch w:val="variable"/>
    <w:sig w:usb0="E4002EFF" w:usb1="C000247B" w:usb2="00000009" w:usb3="00000000" w:csb0="000001FF" w:csb1="00000000"/>
    <w:embedRegular r:id="rId3" w:fontKey="{5A0453ED-0BAC-4477-8FA1-E2FC4ED1CCB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445" w:rsidRDefault="00740445" w:rsidP="00C257CC">
      <w:pPr>
        <w:spacing w:line="240" w:lineRule="auto"/>
      </w:pPr>
      <w:r>
        <w:separator/>
      </w:r>
    </w:p>
  </w:footnote>
  <w:footnote w:type="continuationSeparator" w:id="0">
    <w:p w:rsidR="00740445" w:rsidRDefault="00740445" w:rsidP="00C257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48473"/>
      <w:docPartObj>
        <w:docPartGallery w:val="Page Numbers (Top of Page)"/>
        <w:docPartUnique/>
      </w:docPartObj>
    </w:sdtPr>
    <w:sdtEndPr>
      <w:rPr>
        <w:rFonts w:ascii="Times New Roman" w:hAnsi="Times New Roman" w:cs="Times New Roman"/>
        <w:sz w:val="28"/>
        <w:szCs w:val="28"/>
      </w:rPr>
    </w:sdtEndPr>
    <w:sdtContent>
      <w:p w:rsidR="00C257CC" w:rsidRPr="00981D5F" w:rsidRDefault="00C257CC">
        <w:pPr>
          <w:pStyle w:val="ad"/>
          <w:jc w:val="center"/>
          <w:rPr>
            <w:rFonts w:ascii="Times New Roman" w:hAnsi="Times New Roman" w:cs="Times New Roman"/>
            <w:sz w:val="28"/>
            <w:szCs w:val="28"/>
          </w:rPr>
        </w:pPr>
        <w:r w:rsidRPr="00981D5F">
          <w:rPr>
            <w:rFonts w:ascii="Times New Roman" w:hAnsi="Times New Roman" w:cs="Times New Roman"/>
            <w:sz w:val="28"/>
            <w:szCs w:val="28"/>
          </w:rPr>
          <w:fldChar w:fldCharType="begin"/>
        </w:r>
        <w:r w:rsidRPr="00981D5F">
          <w:rPr>
            <w:rFonts w:ascii="Times New Roman" w:hAnsi="Times New Roman" w:cs="Times New Roman"/>
            <w:sz w:val="28"/>
            <w:szCs w:val="28"/>
          </w:rPr>
          <w:instrText>PAGE   \* MERGEFORMAT</w:instrText>
        </w:r>
        <w:r w:rsidRPr="00981D5F">
          <w:rPr>
            <w:rFonts w:ascii="Times New Roman" w:hAnsi="Times New Roman" w:cs="Times New Roman"/>
            <w:sz w:val="28"/>
            <w:szCs w:val="28"/>
          </w:rPr>
          <w:fldChar w:fldCharType="separate"/>
        </w:r>
        <w:r w:rsidR="000C39A1" w:rsidRPr="000C39A1">
          <w:rPr>
            <w:rFonts w:ascii="Times New Roman" w:hAnsi="Times New Roman" w:cs="Times New Roman"/>
            <w:noProof/>
            <w:sz w:val="28"/>
            <w:szCs w:val="28"/>
            <w:lang w:val="uk-UA"/>
          </w:rPr>
          <w:t>9</w:t>
        </w:r>
        <w:r w:rsidRPr="00981D5F">
          <w:rPr>
            <w:rFonts w:ascii="Times New Roman" w:hAnsi="Times New Roman" w:cs="Times New Roman"/>
            <w:sz w:val="28"/>
            <w:szCs w:val="28"/>
          </w:rPr>
          <w:fldChar w:fldCharType="end"/>
        </w:r>
      </w:p>
    </w:sdtContent>
  </w:sdt>
  <w:p w:rsidR="00C257CC" w:rsidRDefault="00C257CC">
    <w:pPr>
      <w:pStyle w:val="a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3A8"/>
    <w:rsid w:val="000C39A1"/>
    <w:rsid w:val="002401FB"/>
    <w:rsid w:val="004273A8"/>
    <w:rsid w:val="004F38B4"/>
    <w:rsid w:val="00740445"/>
    <w:rsid w:val="00981D5F"/>
    <w:rsid w:val="00C257CC"/>
    <w:rsid w:val="00C710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5C6BEE"/>
  <w15:docId w15:val="{5D15A0A2-82DB-4BC1-97DD-12A7737B3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paragraph" w:styleId="a4">
    <w:name w:val="Normal (Web)"/>
    <w:uiPriority w:val="99"/>
    <w:semiHidden/>
    <w:unhideWhenUsed/>
    <w:rsid w:val="00E54344"/>
    <w:pPr>
      <w:spacing w:before="100" w:beforeAutospacing="1" w:after="100" w:afterAutospacing="1" w:line="240" w:lineRule="auto"/>
    </w:pPr>
    <w:rPr>
      <w:rFonts w:ascii="Times New Roman" w:hAnsi="Times New Roman"/>
      <w:sz w:val="24"/>
      <w:szCs w:val="24"/>
      <w:lang w:val="ru-RU"/>
    </w:rPr>
  </w:style>
  <w:style w:type="character" w:styleId="a5">
    <w:name w:val="Hyperlink"/>
    <w:basedOn w:val="a0"/>
    <w:uiPriority w:val="99"/>
    <w:semiHidden/>
    <w:unhideWhenUsed/>
    <w:rsid w:val="00E54344"/>
    <w:rPr>
      <w:color w:val="0000FF"/>
      <w:u w:val="single"/>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paragraph" w:styleId="aa">
    <w:name w:val="Subtitle"/>
    <w:basedOn w:val="a"/>
    <w:next w:val="a"/>
    <w:pPr>
      <w:keepNext/>
      <w:keepLines/>
      <w:spacing w:before="360" w:after="80"/>
    </w:pPr>
    <w:rPr>
      <w:rFonts w:ascii="Georgia" w:eastAsia="Georgia" w:hAnsi="Georgia" w:cs="Georgia"/>
      <w:i/>
      <w:iCs/>
      <w:color w:val="666666"/>
      <w:sz w:val="48"/>
      <w:szCs w:val="48"/>
    </w:r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paragraph" w:styleId="ad">
    <w:name w:val="header"/>
    <w:basedOn w:val="a"/>
    <w:link w:val="ae"/>
    <w:uiPriority w:val="99"/>
    <w:unhideWhenUsed/>
    <w:rsid w:val="00C257CC"/>
    <w:pPr>
      <w:tabs>
        <w:tab w:val="center" w:pos="4819"/>
        <w:tab w:val="right" w:pos="9639"/>
      </w:tabs>
      <w:spacing w:line="240" w:lineRule="auto"/>
    </w:pPr>
  </w:style>
  <w:style w:type="character" w:customStyle="1" w:styleId="ae">
    <w:name w:val="Верхній колонтитул Знак"/>
    <w:basedOn w:val="a0"/>
    <w:link w:val="ad"/>
    <w:uiPriority w:val="99"/>
    <w:rsid w:val="00C257CC"/>
  </w:style>
  <w:style w:type="paragraph" w:styleId="af">
    <w:name w:val="footer"/>
    <w:basedOn w:val="a"/>
    <w:link w:val="af0"/>
    <w:uiPriority w:val="99"/>
    <w:unhideWhenUsed/>
    <w:rsid w:val="00C257CC"/>
    <w:pPr>
      <w:tabs>
        <w:tab w:val="center" w:pos="4819"/>
        <w:tab w:val="right" w:pos="9639"/>
      </w:tabs>
      <w:spacing w:line="240" w:lineRule="auto"/>
    </w:pPr>
  </w:style>
  <w:style w:type="character" w:customStyle="1" w:styleId="af0">
    <w:name w:val="Нижній колонтитул Знак"/>
    <w:basedOn w:val="a0"/>
    <w:link w:val="af"/>
    <w:uiPriority w:val="99"/>
    <w:rsid w:val="00C25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174780">
      <w:bodyDiv w:val="1"/>
      <w:marLeft w:val="0"/>
      <w:marRight w:val="0"/>
      <w:marTop w:val="0"/>
      <w:marBottom w:val="0"/>
      <w:divBdr>
        <w:top w:val="none" w:sz="0" w:space="0" w:color="auto"/>
        <w:left w:val="none" w:sz="0" w:space="0" w:color="auto"/>
        <w:bottom w:val="none" w:sz="0" w:space="0" w:color="auto"/>
        <w:right w:val="none" w:sz="0" w:space="0" w:color="auto"/>
      </w:divBdr>
    </w:div>
    <w:div w:id="1918592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q//8flpfVv57c1AoY5NwTCAjng==">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19048</Words>
  <Characters>10858</Characters>
  <Application>Microsoft Office Word</Application>
  <DocSecurity>0</DocSecurity>
  <Lines>90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Лук'яненко Ольга</cp:lastModifiedBy>
  <cp:revision>5</cp:revision>
  <dcterms:created xsi:type="dcterms:W3CDTF">2025-11-21T08:44:00Z</dcterms:created>
  <dcterms:modified xsi:type="dcterms:W3CDTF">2025-11-27T09:49:00Z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6c64c337-a858-4430-ad6b-e1230a151fcb</vt:lpwstr>
  </property>
</Properties>
</file>