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BDB" w:rsidRDefault="00EB4342">
      <w:pPr>
        <w:jc w:val="center"/>
        <w:rPr>
          <w:b/>
          <w:bCs/>
          <w:sz w:val="28"/>
          <w:szCs w:val="28"/>
        </w:rPr>
      </w:pPr>
      <w:r>
        <w:rPr>
          <w:b/>
          <w:bCs/>
          <w:sz w:val="28"/>
          <w:szCs w:val="28"/>
        </w:rPr>
        <w:t>ПОЯСНЮВАЛЬНА ЗАПИСКА</w:t>
      </w:r>
    </w:p>
    <w:p w:rsidR="00A41BDB" w:rsidRDefault="00EB4342">
      <w:pPr>
        <w:jc w:val="center"/>
        <w:rPr>
          <w:b/>
          <w:bCs/>
          <w:sz w:val="28"/>
          <w:szCs w:val="28"/>
        </w:rPr>
      </w:pPr>
      <w:r>
        <w:rPr>
          <w:b/>
          <w:bCs/>
          <w:sz w:val="28"/>
          <w:szCs w:val="28"/>
        </w:rPr>
        <w:t>до проекту постанови Кабінету Міністрів України</w:t>
      </w:r>
    </w:p>
    <w:p w:rsidR="00A41BDB" w:rsidRDefault="00EB4342">
      <w:pPr>
        <w:jc w:val="center"/>
        <w:rPr>
          <w:b/>
          <w:bCs/>
          <w:sz w:val="28"/>
          <w:szCs w:val="28"/>
        </w:rPr>
      </w:pPr>
      <w:r>
        <w:rPr>
          <w:b/>
          <w:bCs/>
          <w:sz w:val="28"/>
          <w:szCs w:val="28"/>
        </w:rPr>
        <w:t>«Про реалізацію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A41BDB" w:rsidRDefault="00EB4342">
      <w:pPr>
        <w:pBdr>
          <w:top w:val="nil"/>
          <w:left w:val="nil"/>
          <w:bottom w:val="nil"/>
          <w:right w:val="nil"/>
          <w:between w:val="nil"/>
        </w:pBdr>
        <w:spacing w:before="322"/>
        <w:ind w:left="567"/>
        <w:jc w:val="both"/>
        <w:rPr>
          <w:b/>
          <w:bCs/>
          <w:color w:val="000000"/>
          <w:sz w:val="28"/>
          <w:szCs w:val="28"/>
        </w:rPr>
      </w:pPr>
      <w:r>
        <w:rPr>
          <w:b/>
          <w:bCs/>
          <w:color w:val="000000"/>
          <w:sz w:val="28"/>
          <w:szCs w:val="28"/>
        </w:rPr>
        <w:t>1. Мета</w:t>
      </w:r>
    </w:p>
    <w:p w:rsidR="00A41BDB" w:rsidRDefault="00EB4342">
      <w:pPr>
        <w:ind w:firstLine="567"/>
        <w:jc w:val="both"/>
        <w:rPr>
          <w:sz w:val="28"/>
          <w:szCs w:val="28"/>
        </w:rPr>
      </w:pPr>
      <w:r>
        <w:rPr>
          <w:sz w:val="28"/>
          <w:szCs w:val="28"/>
        </w:rPr>
        <w:t>Метою прийняття проекту постанови Кабінету Міністрів України «Про реалізацію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є проведення експериментального проекту щодо конкурсного відбору спільних прикладних наукових досліджень і науково-технічних (експериментальних) розробок закладів вищої освіти, наукових установ та підприємств, організацій реальн</w:t>
      </w:r>
      <w:bookmarkStart w:id="0" w:name="_GoBack"/>
      <w:bookmarkEnd w:id="0"/>
      <w:r>
        <w:rPr>
          <w:sz w:val="28"/>
          <w:szCs w:val="28"/>
        </w:rPr>
        <w:t>ого сектору економіки (далі - конкурс), які отримують фінансову підтримку на умовах співфінансування, для створення партнерських зв'язків між наукою, бізнесом та державою, інтеграції нових технологій у виробничі процеси підприємств, що підвищить їх конкурентоспроможність на внутрішньому та міжнародному ринках.</w:t>
      </w:r>
    </w:p>
    <w:p w:rsidR="00A41BDB" w:rsidRDefault="00EB4342">
      <w:pPr>
        <w:pStyle w:val="1"/>
        <w:tabs>
          <w:tab w:val="left" w:pos="1418"/>
        </w:tabs>
        <w:ind w:left="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Обґрунтування необхідності прийняття акта</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На сьогодні в Україні існуючі інструменти державної підтримки не забезпечують високий рівень впровадження наукових досліджень та розробок, що обмежує можливості для побудови інноваційної економіки України.</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 xml:space="preserve">Щороку спостерігається тенденція до зменшення кількості підприємств та організацій, що продукують та впроваджують інновації, здійснюють наукові дослідження і науково-технічні (експериментальні) розробки, а саме вони є основними генераторами розвитку інноваційної діяльності. </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Згідно з даними Державної служби статистики України кількість організацій, які здійснювали наукові дослідження і розробки у 2021 році становила 637, а у 2024 році – 616, а частка підприємств, що впроваджували нову або значно вдосконалену продукцію у 2022-2024 роках становила лише 8,5 %. Частка витрат на дослідження та розробки (GERD) як відсоток до ВВП є досить низькою і у 2021 році складала 0,38 %, а у 2024 році -  0,37 %.</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 xml:space="preserve">В Україні досі відсутні наявні в ЄС фінансові, податкові та інші механізми, які сприяють ефективній комерціалізації результатів наукових досліджень та інноваційної діяльності бізнесу. </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 xml:space="preserve">Як наслідок, зменшується інвестиційна привабливість України, </w:t>
      </w:r>
      <w:r>
        <w:rPr>
          <w:color w:val="000000"/>
          <w:sz w:val="28"/>
          <w:szCs w:val="28"/>
        </w:rPr>
        <w:lastRenderedPageBreak/>
        <w:t>скорочується кількість дослідників, винахідників та інноваторів, а наукоємність ВВП України залишається критично низькою, що призводить до втрати наукою та інноваціями здатності виконувати економічну функцію.</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Запропонований механізм проведення конкурсного відбору спільних прикладних наукових досліджень і науково-технічних (експериментальних) розробок на замовлення бізнесу дозволить значно збільшити кількість впроваджених наукових розробок, а відтак перетворити знання на додану вартість та експортну продукцію, що своєю чергою, призведе до збільшення податкових надходжень, економічного зростання та побудови інноваційної економіки.</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Крім того, такий підхід дозволить державі оптимізувати фінансування досліджень, спрямовуючи його на ті напрямки, які мають найбільший потенціал комерціалізації та суспільного впливу.</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Запровадження нового механізму дозволить надати фінансові стимули науковцям залишатися в Україні та займатися комерціалізацією своїх розробок.</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Також новий підхід до співфінансування наукових розробок зробить українські наукові установи привабливішими для іноземних та внутрішніх інвесторів, а бізнес, отримавши доступ до українських технологій, зможе впроваджувати інновації у виробництво, створюючи продукти з високою доданою вартістю, що є також критично важливим для конкуренції на міжнародних ринках.</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Отже, прийняття проекту акта створить фундамент для інноваційної економіки, що є запорукою стійкого розвитку та успішної відбудови України.</w:t>
      </w:r>
    </w:p>
    <w:p w:rsidR="00A41BDB" w:rsidRDefault="00EB4342">
      <w:pPr>
        <w:pStyle w:val="1"/>
        <w:ind w:left="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Основні положення про</w:t>
      </w:r>
      <w:r w:rsidR="00075291">
        <w:rPr>
          <w:rFonts w:ascii="Times New Roman" w:eastAsia="Times New Roman" w:hAnsi="Times New Roman" w:cs="Times New Roman"/>
          <w:b/>
          <w:bCs/>
          <w:color w:val="000000"/>
          <w:sz w:val="28"/>
          <w:szCs w:val="28"/>
          <w:lang w:val="uk-UA"/>
        </w:rPr>
        <w:t>е</w:t>
      </w:r>
      <w:r>
        <w:rPr>
          <w:rFonts w:ascii="Times New Roman" w:eastAsia="Times New Roman" w:hAnsi="Times New Roman" w:cs="Times New Roman"/>
          <w:b/>
          <w:bCs/>
          <w:color w:val="000000"/>
          <w:sz w:val="28"/>
          <w:szCs w:val="28"/>
        </w:rPr>
        <w:t>кту акта</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Про</w:t>
      </w:r>
      <w:r w:rsidR="00075291">
        <w:rPr>
          <w:color w:val="000000"/>
          <w:sz w:val="28"/>
          <w:szCs w:val="28"/>
          <w:lang w:val="uk-UA"/>
        </w:rPr>
        <w:t>е</w:t>
      </w:r>
      <w:proofErr w:type="spellStart"/>
      <w:r>
        <w:rPr>
          <w:color w:val="000000"/>
          <w:sz w:val="28"/>
          <w:szCs w:val="28"/>
        </w:rPr>
        <w:t>ктом</w:t>
      </w:r>
      <w:proofErr w:type="spellEnd"/>
      <w:r>
        <w:rPr>
          <w:color w:val="000000"/>
          <w:sz w:val="28"/>
          <w:szCs w:val="28"/>
        </w:rPr>
        <w:t xml:space="preserve"> акта пропонується:</w:t>
      </w:r>
    </w:p>
    <w:p w:rsidR="00A41BDB" w:rsidRDefault="00EB4342">
      <w:pPr>
        <w:numPr>
          <w:ilvl w:val="0"/>
          <w:numId w:val="1"/>
        </w:numPr>
        <w:pBdr>
          <w:top w:val="nil"/>
          <w:left w:val="nil"/>
          <w:bottom w:val="nil"/>
          <w:right w:val="nil"/>
          <w:between w:val="nil"/>
        </w:pBdr>
        <w:tabs>
          <w:tab w:val="left" w:pos="1134"/>
        </w:tabs>
        <w:ind w:left="0" w:firstLine="567"/>
        <w:jc w:val="both"/>
        <w:rPr>
          <w:color w:val="000000"/>
          <w:sz w:val="28"/>
          <w:szCs w:val="28"/>
        </w:rPr>
      </w:pPr>
      <w:r>
        <w:rPr>
          <w:color w:val="000000"/>
          <w:sz w:val="28"/>
          <w:szCs w:val="28"/>
        </w:rPr>
        <w:t>реалізувати експериментальний проект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A41BDB" w:rsidRDefault="00EB4342">
      <w:pPr>
        <w:numPr>
          <w:ilvl w:val="0"/>
          <w:numId w:val="1"/>
        </w:numPr>
        <w:pBdr>
          <w:top w:val="nil"/>
          <w:left w:val="nil"/>
          <w:bottom w:val="nil"/>
          <w:right w:val="nil"/>
          <w:between w:val="nil"/>
        </w:pBdr>
        <w:tabs>
          <w:tab w:val="left" w:pos="1134"/>
        </w:tabs>
        <w:ind w:left="0" w:firstLine="567"/>
        <w:jc w:val="both"/>
        <w:rPr>
          <w:color w:val="000000"/>
          <w:sz w:val="28"/>
          <w:szCs w:val="28"/>
        </w:rPr>
      </w:pPr>
      <w:r>
        <w:rPr>
          <w:color w:val="000000"/>
          <w:sz w:val="28"/>
          <w:szCs w:val="28"/>
        </w:rPr>
        <w:t>визначити процедуру проведення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A41BDB" w:rsidRDefault="00EB4342">
      <w:pPr>
        <w:numPr>
          <w:ilvl w:val="0"/>
          <w:numId w:val="1"/>
        </w:numPr>
        <w:pBdr>
          <w:top w:val="nil"/>
          <w:left w:val="nil"/>
          <w:bottom w:val="nil"/>
          <w:right w:val="nil"/>
          <w:between w:val="nil"/>
        </w:pBdr>
        <w:tabs>
          <w:tab w:val="left" w:pos="1134"/>
        </w:tabs>
        <w:ind w:left="0" w:firstLine="567"/>
        <w:jc w:val="both"/>
        <w:rPr>
          <w:color w:val="000000"/>
          <w:sz w:val="28"/>
          <w:szCs w:val="28"/>
        </w:rPr>
      </w:pPr>
      <w:r>
        <w:rPr>
          <w:color w:val="000000"/>
          <w:sz w:val="28"/>
          <w:szCs w:val="28"/>
        </w:rPr>
        <w:t>визначити умови, критерії, перелік учасників та основні етапи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A41BDB" w:rsidRDefault="00EB4342">
      <w:pPr>
        <w:numPr>
          <w:ilvl w:val="0"/>
          <w:numId w:val="1"/>
        </w:numPr>
        <w:pBdr>
          <w:top w:val="nil"/>
          <w:left w:val="nil"/>
          <w:bottom w:val="nil"/>
          <w:right w:val="nil"/>
          <w:between w:val="nil"/>
        </w:pBdr>
        <w:tabs>
          <w:tab w:val="left" w:pos="1134"/>
        </w:tabs>
        <w:ind w:left="0" w:firstLine="567"/>
        <w:jc w:val="both"/>
        <w:rPr>
          <w:color w:val="000000"/>
          <w:sz w:val="28"/>
          <w:szCs w:val="28"/>
        </w:rPr>
      </w:pPr>
      <w:r>
        <w:rPr>
          <w:color w:val="000000"/>
          <w:sz w:val="28"/>
          <w:szCs w:val="28"/>
        </w:rPr>
        <w:t xml:space="preserve">створити новий механізм співфінансування спільних прикладних </w:t>
      </w:r>
      <w:r>
        <w:rPr>
          <w:color w:val="000000"/>
          <w:sz w:val="28"/>
          <w:szCs w:val="28"/>
        </w:rPr>
        <w:lastRenderedPageBreak/>
        <w:t>наукових досліджень і науково-технічних (експериментальних) розробок на замовлення бізнесу.</w:t>
      </w:r>
    </w:p>
    <w:p w:rsidR="00A41BDB" w:rsidRDefault="00EB4342">
      <w:pPr>
        <w:pStyle w:val="1"/>
        <w:ind w:left="567"/>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4. Правові аспекти</w:t>
      </w:r>
    </w:p>
    <w:p w:rsidR="00A41BDB" w:rsidRDefault="00EB4342">
      <w:pPr>
        <w:ind w:firstLine="567"/>
        <w:jc w:val="both"/>
        <w:rPr>
          <w:sz w:val="28"/>
          <w:szCs w:val="28"/>
          <w:highlight w:val="white"/>
        </w:rPr>
      </w:pPr>
      <w:r>
        <w:rPr>
          <w:sz w:val="28"/>
          <w:szCs w:val="28"/>
          <w:highlight w:val="white"/>
        </w:rPr>
        <w:t>Про</w:t>
      </w:r>
      <w:r w:rsidR="00075291">
        <w:rPr>
          <w:sz w:val="28"/>
          <w:szCs w:val="28"/>
          <w:highlight w:val="white"/>
          <w:lang w:val="uk-UA"/>
        </w:rPr>
        <w:t>е</w:t>
      </w:r>
      <w:r>
        <w:rPr>
          <w:sz w:val="28"/>
          <w:szCs w:val="28"/>
          <w:highlight w:val="white"/>
        </w:rPr>
        <w:t>кт акта розроблено на виконання Стратегічної цілі 5 «Розбудова спроможності для створення наукоємних інновацій» та Стратегічної цілі 8 «Стимулювання дослідження та розробки в умовах обмежених матеріальних ресурсів, уможливлення реалізації інноваційних проектів у пріоритетних галузях» Стратегії цифрового розвитку інноваційної діяльності України на період до 2030 року, затвердженої розпорядженням Кабінету Міністрів України від 31 грудня 2024 року № 1351-р.</w:t>
      </w:r>
    </w:p>
    <w:p w:rsidR="00A41BDB" w:rsidRDefault="00A41BDB">
      <w:pPr>
        <w:ind w:firstLine="567"/>
        <w:jc w:val="both"/>
        <w:rPr>
          <w:sz w:val="28"/>
          <w:szCs w:val="28"/>
          <w:highlight w:val="white"/>
        </w:rPr>
      </w:pPr>
    </w:p>
    <w:p w:rsidR="00A41BDB" w:rsidRDefault="00EB4342">
      <w:pPr>
        <w:pBdr>
          <w:top w:val="nil"/>
          <w:left w:val="nil"/>
          <w:bottom w:val="nil"/>
          <w:right w:val="nil"/>
          <w:between w:val="nil"/>
        </w:pBdr>
        <w:ind w:left="567" w:right="-284"/>
        <w:jc w:val="both"/>
        <w:rPr>
          <w:b/>
          <w:bCs/>
          <w:color w:val="000000"/>
          <w:sz w:val="28"/>
          <w:szCs w:val="28"/>
          <w:highlight w:val="white"/>
        </w:rPr>
      </w:pPr>
      <w:r>
        <w:rPr>
          <w:b/>
          <w:bCs/>
          <w:color w:val="000000"/>
          <w:sz w:val="28"/>
          <w:szCs w:val="28"/>
          <w:highlight w:val="white"/>
        </w:rPr>
        <w:t>5. Фінансово-економічне обґрунтування</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Реалізація про</w:t>
      </w:r>
      <w:r w:rsidR="00075291">
        <w:rPr>
          <w:color w:val="000000"/>
          <w:sz w:val="28"/>
          <w:szCs w:val="28"/>
          <w:lang w:val="uk-UA"/>
        </w:rPr>
        <w:t>е</w:t>
      </w:r>
      <w:r>
        <w:rPr>
          <w:color w:val="000000"/>
          <w:sz w:val="28"/>
          <w:szCs w:val="28"/>
        </w:rPr>
        <w:t>кту акта потребує фінансування з державного бюджету. Фінансово-економічні розрахунки додаються до про</w:t>
      </w:r>
      <w:r w:rsidR="00075291">
        <w:rPr>
          <w:color w:val="000000"/>
          <w:sz w:val="28"/>
          <w:szCs w:val="28"/>
          <w:lang w:val="uk-UA"/>
        </w:rPr>
        <w:t>е</w:t>
      </w:r>
      <w:r>
        <w:rPr>
          <w:color w:val="000000"/>
          <w:sz w:val="28"/>
          <w:szCs w:val="28"/>
        </w:rPr>
        <w:t>кту акта.</w:t>
      </w:r>
    </w:p>
    <w:p w:rsidR="00A41BDB" w:rsidRDefault="00EB4342">
      <w:pPr>
        <w:pStyle w:val="1"/>
        <w:ind w:left="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 Позиція заінтересованих сторін</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Про</w:t>
      </w:r>
      <w:r w:rsidR="00075291">
        <w:rPr>
          <w:color w:val="000000"/>
          <w:sz w:val="28"/>
          <w:szCs w:val="28"/>
          <w:lang w:val="uk-UA"/>
        </w:rPr>
        <w:t>е</w:t>
      </w:r>
      <w:r>
        <w:rPr>
          <w:color w:val="000000"/>
          <w:sz w:val="28"/>
          <w:szCs w:val="28"/>
        </w:rPr>
        <w:t xml:space="preserve">кт акта буде винесено на громадське обговорення відповідно до вимог Порядку проведення консультацій з громадськістю з питань формування та реалізації державної політики, затвердженого постановою Кабінету Міністрів України від 3 листопада 2010 року № 996. </w:t>
      </w:r>
    </w:p>
    <w:p w:rsidR="00A41BDB" w:rsidRPr="00311573" w:rsidRDefault="00EB4342">
      <w:pPr>
        <w:ind w:firstLine="709"/>
        <w:jc w:val="both"/>
        <w:rPr>
          <w:sz w:val="28"/>
          <w:szCs w:val="28"/>
        </w:rPr>
      </w:pPr>
      <w:r w:rsidRPr="00311573">
        <w:rPr>
          <w:sz w:val="28"/>
          <w:szCs w:val="28"/>
        </w:rPr>
        <w:t>Про</w:t>
      </w:r>
      <w:r w:rsidR="00075291">
        <w:rPr>
          <w:sz w:val="28"/>
          <w:szCs w:val="28"/>
          <w:lang w:val="uk-UA"/>
        </w:rPr>
        <w:t>е</w:t>
      </w:r>
      <w:r w:rsidRPr="00311573">
        <w:rPr>
          <w:sz w:val="28"/>
          <w:szCs w:val="28"/>
        </w:rPr>
        <w:t xml:space="preserve">кт акта було обговорено на круглому столі та стратегічних сесіях за участю представників різних груп стейкхолдерів (науки, бізнесу та держави). </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Про</w:t>
      </w:r>
      <w:r w:rsidR="00075291">
        <w:rPr>
          <w:color w:val="000000"/>
          <w:sz w:val="28"/>
          <w:szCs w:val="28"/>
          <w:lang w:val="uk-UA"/>
        </w:rPr>
        <w:t>е</w:t>
      </w:r>
      <w:r>
        <w:rPr>
          <w:color w:val="000000"/>
          <w:sz w:val="28"/>
          <w:szCs w:val="28"/>
        </w:rPr>
        <w:t>кт акта не стосується питань функціонування місцевого самоврядування, прав та інтересів територіальних громад, місцевого та регіонального розвитку, соціально-трудової сфери, прав осіб з інвалідністю, функціонування і застосування української мови як державної.</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Про</w:t>
      </w:r>
      <w:r w:rsidR="00075291">
        <w:rPr>
          <w:color w:val="000000"/>
          <w:sz w:val="28"/>
          <w:szCs w:val="28"/>
          <w:lang w:val="uk-UA"/>
        </w:rPr>
        <w:t>е</w:t>
      </w:r>
      <w:r>
        <w:rPr>
          <w:color w:val="000000"/>
          <w:sz w:val="28"/>
          <w:szCs w:val="28"/>
        </w:rPr>
        <w:t>кт акта стосується сфери наукової та науково-технічної діяльності і буде надісланий на розгляд Науковому комітету Національної ради України з питань розвитку науки і технологій.</w:t>
      </w:r>
    </w:p>
    <w:p w:rsidR="00A41BDB" w:rsidRDefault="00EB4342">
      <w:pPr>
        <w:pStyle w:val="1"/>
        <w:ind w:left="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7. Оцінка відповідності</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У про</w:t>
      </w:r>
      <w:r w:rsidR="00075291">
        <w:rPr>
          <w:color w:val="000000"/>
          <w:sz w:val="28"/>
          <w:szCs w:val="28"/>
          <w:lang w:val="uk-UA"/>
        </w:rPr>
        <w:t>е</w:t>
      </w:r>
      <w:proofErr w:type="spellStart"/>
      <w:r>
        <w:rPr>
          <w:color w:val="000000"/>
          <w:sz w:val="28"/>
          <w:szCs w:val="28"/>
        </w:rPr>
        <w:t>кті</w:t>
      </w:r>
      <w:proofErr w:type="spellEnd"/>
      <w:r>
        <w:rPr>
          <w:color w:val="000000"/>
          <w:sz w:val="28"/>
          <w:szCs w:val="28"/>
        </w:rPr>
        <w:t xml:space="preserve"> акта відсутні положення, що:</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стосуються зобов’язань України у сфері європейської інтеграції;</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стосуються прав та свобод, гарантованих Конвенцією про захист прав людини і основоположних свобод;</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 xml:space="preserve">впливають на забезпечення рівних прав та можливостей жінок і чоловіків; </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містять ризики вчинення корупційних правопорушень та правопорушень, пов’язаних з корупцією;</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lastRenderedPageBreak/>
        <w:t>створюють підстави для дискримінації.</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Про</w:t>
      </w:r>
      <w:r w:rsidR="00075291">
        <w:rPr>
          <w:color w:val="000000"/>
          <w:sz w:val="28"/>
          <w:szCs w:val="28"/>
          <w:lang w:val="uk-UA"/>
        </w:rPr>
        <w:t>е</w:t>
      </w:r>
      <w:r>
        <w:rPr>
          <w:color w:val="000000"/>
          <w:sz w:val="28"/>
          <w:szCs w:val="28"/>
        </w:rPr>
        <w:t>кт акта буде надіслано до Національного агентства з питань запобігання корупції для визначення необхідності проведення антикорупційної експертизи.</w:t>
      </w:r>
    </w:p>
    <w:p w:rsidR="00A41BDB" w:rsidRDefault="00EB4342">
      <w:pPr>
        <w:pStyle w:val="1"/>
        <w:ind w:left="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 Прогноз результатів</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У сфері інтересів держави прийняття акта дозволить збільшити кількість впроваджених наукових розробок, а відтак перетворити знання на додану вартість та експортну продукцію, що своєю чергою, призведе до збільшення податкових надходжень, економічного зростання та побудови інноваційної економіки. Крім того, такий підхід дозволить державі оптимізувати фінансування досліджень, спрямовуючи його на ті напрямки, які мають найбільший потенціал комерціалізації та суспільного впливу.</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Критеріями оцінки ефективності є такі показники:</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частка інноваційних та інноваційно активних підприємств у загальній кількості підприємств;</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частка реалізованої інноваційної продукції в загальному обсязі реалізованої промислової продукції;</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частка підприємств, що впроваджують нову або значно вдосконалену продукцію;</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частка витрат на дослідження та розробки як відсоток до ВВП;</w:t>
      </w:r>
    </w:p>
    <w:p w:rsidR="00A41BDB" w:rsidRDefault="00EB4342">
      <w:pPr>
        <w:pBdr>
          <w:top w:val="nil"/>
          <w:left w:val="nil"/>
          <w:bottom w:val="nil"/>
          <w:right w:val="nil"/>
          <w:between w:val="nil"/>
        </w:pBdr>
        <w:tabs>
          <w:tab w:val="left" w:pos="851"/>
          <w:tab w:val="left" w:pos="3527"/>
          <w:tab w:val="left" w:pos="3969"/>
          <w:tab w:val="left" w:pos="5167"/>
          <w:tab w:val="left" w:pos="6521"/>
          <w:tab w:val="left" w:pos="6804"/>
          <w:tab w:val="left" w:pos="6946"/>
          <w:tab w:val="left" w:pos="7513"/>
          <w:tab w:val="left" w:pos="7797"/>
          <w:tab w:val="left" w:pos="8222"/>
          <w:tab w:val="left" w:pos="9214"/>
        </w:tabs>
        <w:ind w:firstLine="567"/>
        <w:jc w:val="both"/>
        <w:rPr>
          <w:color w:val="000000"/>
          <w:sz w:val="28"/>
          <w:szCs w:val="28"/>
        </w:rPr>
      </w:pPr>
      <w:r>
        <w:rPr>
          <w:color w:val="000000"/>
          <w:sz w:val="28"/>
          <w:szCs w:val="28"/>
        </w:rPr>
        <w:t xml:space="preserve">місце України у світових рейтингах, пов’язаних з інноваціями, зокрема показників «Інновації» та «Технологічна готовність» Індексу глобальної конкурентоспроможності Всесвітнього економічного форуму, Глобального інноваційного індексу, в  Європейському інноваційному табло, Індексі людського розвитку та у рейтингах </w:t>
      </w:r>
      <w:proofErr w:type="spellStart"/>
      <w:r>
        <w:rPr>
          <w:color w:val="000000"/>
          <w:sz w:val="28"/>
          <w:szCs w:val="28"/>
        </w:rPr>
        <w:t>Doing</w:t>
      </w:r>
      <w:proofErr w:type="spellEnd"/>
      <w:r>
        <w:rPr>
          <w:color w:val="000000"/>
          <w:sz w:val="28"/>
          <w:szCs w:val="28"/>
        </w:rPr>
        <w:t xml:space="preserve"> </w:t>
      </w:r>
      <w:proofErr w:type="spellStart"/>
      <w:r>
        <w:rPr>
          <w:color w:val="000000"/>
          <w:sz w:val="28"/>
          <w:szCs w:val="28"/>
        </w:rPr>
        <w:t>Business</w:t>
      </w:r>
      <w:proofErr w:type="spellEnd"/>
      <w:r>
        <w:rPr>
          <w:color w:val="000000"/>
          <w:sz w:val="28"/>
          <w:szCs w:val="28"/>
        </w:rPr>
        <w:t xml:space="preserve">, ICT </w:t>
      </w:r>
      <w:proofErr w:type="spellStart"/>
      <w:r>
        <w:rPr>
          <w:color w:val="000000"/>
          <w:sz w:val="28"/>
          <w:szCs w:val="28"/>
        </w:rPr>
        <w:t>Development</w:t>
      </w:r>
      <w:proofErr w:type="spellEnd"/>
      <w:r>
        <w:rPr>
          <w:color w:val="000000"/>
          <w:sz w:val="28"/>
          <w:szCs w:val="28"/>
        </w:rPr>
        <w:t xml:space="preserve"> </w:t>
      </w:r>
      <w:proofErr w:type="spellStart"/>
      <w:r>
        <w:rPr>
          <w:color w:val="000000"/>
          <w:sz w:val="28"/>
          <w:szCs w:val="28"/>
        </w:rPr>
        <w:t>Index</w:t>
      </w:r>
      <w:proofErr w:type="spellEnd"/>
      <w:r>
        <w:rPr>
          <w:color w:val="000000"/>
          <w:sz w:val="28"/>
          <w:szCs w:val="28"/>
        </w:rPr>
        <w:t>.</w:t>
      </w:r>
    </w:p>
    <w:p w:rsidR="00A41BDB" w:rsidRPr="00311573" w:rsidRDefault="00EB4342">
      <w:pPr>
        <w:tabs>
          <w:tab w:val="left" w:pos="851"/>
          <w:tab w:val="left" w:pos="3527"/>
          <w:tab w:val="left" w:pos="3969"/>
          <w:tab w:val="left" w:pos="5167"/>
          <w:tab w:val="left" w:pos="6521"/>
          <w:tab w:val="left" w:pos="6804"/>
          <w:tab w:val="left" w:pos="6946"/>
          <w:tab w:val="left" w:pos="7513"/>
          <w:tab w:val="left" w:pos="7797"/>
          <w:tab w:val="left" w:pos="8222"/>
          <w:tab w:val="left" w:pos="9214"/>
        </w:tabs>
        <w:ind w:firstLine="709"/>
        <w:jc w:val="both"/>
        <w:rPr>
          <w:sz w:val="28"/>
          <w:szCs w:val="28"/>
        </w:rPr>
      </w:pPr>
      <w:r w:rsidRPr="00311573">
        <w:rPr>
          <w:sz w:val="28"/>
          <w:szCs w:val="28"/>
        </w:rPr>
        <w:t>Про</w:t>
      </w:r>
      <w:r w:rsidR="00075291">
        <w:rPr>
          <w:sz w:val="28"/>
          <w:szCs w:val="28"/>
          <w:lang w:val="uk-UA"/>
        </w:rPr>
        <w:t>е</w:t>
      </w:r>
      <w:r w:rsidRPr="00311573">
        <w:rPr>
          <w:sz w:val="28"/>
          <w:szCs w:val="28"/>
        </w:rPr>
        <w:t>кт акта є регуляторним актом і матиме вплив на ринкове середовище, забезпечення прав та інтересів суб’єктів господарювання, громадян і держави.</w:t>
      </w:r>
    </w:p>
    <w:p w:rsidR="00A41BDB" w:rsidRDefault="00EB4342">
      <w:pPr>
        <w:pBdr>
          <w:top w:val="nil"/>
          <w:left w:val="nil"/>
          <w:bottom w:val="nil"/>
          <w:right w:val="nil"/>
          <w:between w:val="nil"/>
        </w:pBdr>
        <w:ind w:firstLine="567"/>
        <w:jc w:val="both"/>
        <w:rPr>
          <w:color w:val="000000"/>
          <w:sz w:val="28"/>
          <w:szCs w:val="28"/>
        </w:rPr>
      </w:pPr>
      <w:r w:rsidRPr="00311573">
        <w:rPr>
          <w:color w:val="000000"/>
          <w:sz w:val="28"/>
          <w:szCs w:val="28"/>
        </w:rPr>
        <w:t>Реалізація про</w:t>
      </w:r>
      <w:r w:rsidR="00075291">
        <w:rPr>
          <w:color w:val="000000"/>
          <w:sz w:val="28"/>
          <w:szCs w:val="28"/>
          <w:lang w:val="uk-UA"/>
        </w:rPr>
        <w:t>е</w:t>
      </w:r>
      <w:r w:rsidRPr="00311573">
        <w:rPr>
          <w:color w:val="000000"/>
          <w:sz w:val="28"/>
          <w:szCs w:val="28"/>
        </w:rPr>
        <w:t>кту акта</w:t>
      </w:r>
      <w:r>
        <w:rPr>
          <w:color w:val="000000"/>
          <w:sz w:val="28"/>
          <w:szCs w:val="28"/>
        </w:rPr>
        <w:t xml:space="preserve"> не впливає на розвиток регіонів, підвищення чи зниження спроможності територіальних громад; ринок праці, рівень зайнятості населення; громадське здоров’я, покращення чи погіршення стану здоров’я населення або його окремих груп; екологію та навколишнє природне середовище, обсяг природних ресурсів, рівень забруднення атмосферного повітря, води, земель, зокрема забруднення утвореними відходами.</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Про</w:t>
      </w:r>
      <w:r w:rsidR="00075291">
        <w:rPr>
          <w:color w:val="000000"/>
          <w:sz w:val="28"/>
          <w:szCs w:val="28"/>
          <w:lang w:val="uk-UA"/>
        </w:rPr>
        <w:t>е</w:t>
      </w:r>
      <w:r>
        <w:rPr>
          <w:color w:val="000000"/>
          <w:sz w:val="28"/>
          <w:szCs w:val="28"/>
        </w:rPr>
        <w:t>кт акта впливає на суспільні відносини у сфері наукової, науково- технічної та інноваційної діяльності.</w:t>
      </w:r>
    </w:p>
    <w:p w:rsidR="00A41BDB" w:rsidRDefault="00EB4342">
      <w:pPr>
        <w:pBdr>
          <w:top w:val="nil"/>
          <w:left w:val="nil"/>
          <w:bottom w:val="nil"/>
          <w:right w:val="nil"/>
          <w:between w:val="nil"/>
        </w:pBdr>
        <w:ind w:firstLine="567"/>
        <w:jc w:val="both"/>
        <w:rPr>
          <w:color w:val="000000"/>
          <w:sz w:val="28"/>
          <w:szCs w:val="28"/>
        </w:rPr>
      </w:pPr>
      <w:r>
        <w:rPr>
          <w:color w:val="000000"/>
          <w:sz w:val="28"/>
          <w:szCs w:val="28"/>
        </w:rPr>
        <w:t>Вплив на інтереси заінтересованих сторін:</w:t>
      </w:r>
    </w:p>
    <w:p w:rsidR="00A41BDB" w:rsidRDefault="00A41BDB">
      <w:pPr>
        <w:pBdr>
          <w:top w:val="nil"/>
          <w:left w:val="nil"/>
          <w:bottom w:val="nil"/>
          <w:right w:val="nil"/>
          <w:between w:val="nil"/>
        </w:pBdr>
        <w:jc w:val="both"/>
        <w:rPr>
          <w:color w:val="000000"/>
          <w:sz w:val="28"/>
          <w:szCs w:val="28"/>
        </w:rPr>
      </w:pPr>
    </w:p>
    <w:tbl>
      <w:tblPr>
        <w:tblStyle w:val="af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1"/>
        <w:gridCol w:w="3034"/>
        <w:gridCol w:w="3827"/>
      </w:tblGrid>
      <w:tr w:rsidR="00A41BDB">
        <w:trPr>
          <w:trHeight w:val="1031"/>
        </w:trPr>
        <w:tc>
          <w:tcPr>
            <w:tcW w:w="2211" w:type="dxa"/>
          </w:tcPr>
          <w:p w:rsidR="00A41BDB" w:rsidRDefault="00EB4342">
            <w:pPr>
              <w:pBdr>
                <w:top w:val="nil"/>
                <w:left w:val="nil"/>
                <w:bottom w:val="nil"/>
                <w:right w:val="nil"/>
                <w:between w:val="nil"/>
              </w:pBdr>
              <w:spacing w:before="21"/>
              <w:ind w:right="223"/>
              <w:jc w:val="center"/>
              <w:rPr>
                <w:color w:val="000000"/>
                <w:sz w:val="28"/>
                <w:szCs w:val="28"/>
              </w:rPr>
            </w:pPr>
            <w:r>
              <w:rPr>
                <w:color w:val="000000"/>
                <w:sz w:val="28"/>
                <w:szCs w:val="28"/>
              </w:rPr>
              <w:lastRenderedPageBreak/>
              <w:t>Заінтересована сторона</w:t>
            </w:r>
          </w:p>
        </w:tc>
        <w:tc>
          <w:tcPr>
            <w:tcW w:w="3034" w:type="dxa"/>
          </w:tcPr>
          <w:p w:rsidR="00A41BDB" w:rsidRDefault="00EB4342">
            <w:pPr>
              <w:pBdr>
                <w:top w:val="nil"/>
                <w:left w:val="nil"/>
                <w:bottom w:val="nil"/>
                <w:right w:val="nil"/>
                <w:between w:val="nil"/>
              </w:pBdr>
              <w:spacing w:before="21"/>
              <w:ind w:right="223"/>
              <w:jc w:val="center"/>
              <w:rPr>
                <w:color w:val="000000"/>
                <w:sz w:val="28"/>
                <w:szCs w:val="28"/>
              </w:rPr>
            </w:pPr>
            <w:r>
              <w:rPr>
                <w:color w:val="000000"/>
                <w:sz w:val="28"/>
                <w:szCs w:val="28"/>
              </w:rPr>
              <w:t>Вплив реалізації акта на  заінтересовану сторону</w:t>
            </w:r>
          </w:p>
        </w:tc>
        <w:tc>
          <w:tcPr>
            <w:tcW w:w="3827" w:type="dxa"/>
          </w:tcPr>
          <w:p w:rsidR="00A41BDB" w:rsidRDefault="00EB4342">
            <w:pPr>
              <w:pBdr>
                <w:top w:val="nil"/>
                <w:left w:val="nil"/>
                <w:bottom w:val="nil"/>
                <w:right w:val="nil"/>
                <w:between w:val="nil"/>
              </w:pBdr>
              <w:spacing w:before="21"/>
              <w:ind w:right="223"/>
              <w:jc w:val="center"/>
              <w:rPr>
                <w:color w:val="000000"/>
                <w:sz w:val="28"/>
                <w:szCs w:val="28"/>
              </w:rPr>
            </w:pPr>
            <w:bookmarkStart w:id="1" w:name="_heading=h.le40vp2lv6ie" w:colFirst="0" w:colLast="0"/>
            <w:bookmarkEnd w:id="1"/>
            <w:r>
              <w:rPr>
                <w:color w:val="000000"/>
                <w:sz w:val="28"/>
                <w:szCs w:val="28"/>
              </w:rPr>
              <w:t>Пояснення очікуваного впливу</w:t>
            </w:r>
          </w:p>
        </w:tc>
      </w:tr>
      <w:tr w:rsidR="00A41BDB">
        <w:trPr>
          <w:trHeight w:val="2217"/>
        </w:trPr>
        <w:tc>
          <w:tcPr>
            <w:tcW w:w="2211" w:type="dxa"/>
          </w:tcPr>
          <w:p w:rsidR="00A41BDB" w:rsidRDefault="00EB4342">
            <w:pPr>
              <w:pBdr>
                <w:top w:val="nil"/>
                <w:left w:val="nil"/>
                <w:bottom w:val="nil"/>
                <w:right w:val="nil"/>
                <w:between w:val="nil"/>
              </w:pBdr>
              <w:spacing w:before="165"/>
              <w:ind w:right="223"/>
              <w:jc w:val="center"/>
              <w:rPr>
                <w:color w:val="000000"/>
                <w:sz w:val="28"/>
                <w:szCs w:val="28"/>
              </w:rPr>
            </w:pPr>
            <w:r>
              <w:rPr>
                <w:color w:val="000000"/>
                <w:sz w:val="28"/>
                <w:szCs w:val="28"/>
              </w:rPr>
              <w:t>Науковці та інноватори</w:t>
            </w:r>
          </w:p>
        </w:tc>
        <w:tc>
          <w:tcPr>
            <w:tcW w:w="3034" w:type="dxa"/>
          </w:tcPr>
          <w:p w:rsidR="00A41BDB" w:rsidRDefault="00EB4342">
            <w:pPr>
              <w:pBdr>
                <w:top w:val="nil"/>
                <w:left w:val="nil"/>
                <w:bottom w:val="nil"/>
                <w:right w:val="nil"/>
                <w:between w:val="nil"/>
              </w:pBdr>
              <w:spacing w:before="165"/>
              <w:ind w:right="223"/>
              <w:jc w:val="center"/>
              <w:rPr>
                <w:color w:val="000000"/>
                <w:sz w:val="28"/>
                <w:szCs w:val="28"/>
              </w:rPr>
            </w:pPr>
            <w:r>
              <w:rPr>
                <w:color w:val="000000"/>
                <w:sz w:val="28"/>
                <w:szCs w:val="28"/>
              </w:rPr>
              <w:t>Позитивний</w:t>
            </w:r>
          </w:p>
        </w:tc>
        <w:tc>
          <w:tcPr>
            <w:tcW w:w="3827" w:type="dxa"/>
          </w:tcPr>
          <w:p w:rsidR="00A41BDB" w:rsidRDefault="00EB4342">
            <w:pPr>
              <w:pBdr>
                <w:top w:val="nil"/>
                <w:left w:val="nil"/>
                <w:bottom w:val="nil"/>
                <w:right w:val="nil"/>
                <w:between w:val="nil"/>
              </w:pBdr>
              <w:spacing w:before="165"/>
              <w:ind w:right="223"/>
              <w:jc w:val="both"/>
              <w:rPr>
                <w:color w:val="000000"/>
                <w:sz w:val="28"/>
                <w:szCs w:val="28"/>
              </w:rPr>
            </w:pPr>
            <w:r>
              <w:rPr>
                <w:color w:val="000000"/>
                <w:sz w:val="28"/>
                <w:szCs w:val="28"/>
              </w:rPr>
              <w:t xml:space="preserve">Створюються умови для науковців та інноваторів для отримання фінансування на виконання спільних прикладних наукових досліджень і науково-технічних (експериментальних) розробок на замовлення бізнесу. </w:t>
            </w:r>
          </w:p>
          <w:p w:rsidR="00A41BDB" w:rsidRDefault="00EB4342">
            <w:pPr>
              <w:pBdr>
                <w:top w:val="nil"/>
                <w:left w:val="nil"/>
                <w:bottom w:val="nil"/>
                <w:right w:val="nil"/>
                <w:between w:val="nil"/>
              </w:pBdr>
              <w:ind w:right="223"/>
              <w:jc w:val="both"/>
              <w:rPr>
                <w:color w:val="000000"/>
                <w:sz w:val="28"/>
                <w:szCs w:val="28"/>
              </w:rPr>
            </w:pPr>
            <w:r>
              <w:rPr>
                <w:color w:val="000000"/>
                <w:sz w:val="28"/>
                <w:szCs w:val="28"/>
              </w:rPr>
              <w:t>Науковці та інноватори отримають можливість швидко комерціалізувати власні розробки, а також отримають доступ до сучасної інфраструктури та практичний досвід.</w:t>
            </w:r>
          </w:p>
        </w:tc>
      </w:tr>
      <w:tr w:rsidR="00A41BDB">
        <w:trPr>
          <w:trHeight w:val="4249"/>
        </w:trPr>
        <w:tc>
          <w:tcPr>
            <w:tcW w:w="2211" w:type="dxa"/>
          </w:tcPr>
          <w:p w:rsidR="00A41BDB" w:rsidRDefault="00EB4342" w:rsidP="0014530B">
            <w:pPr>
              <w:pBdr>
                <w:top w:val="nil"/>
                <w:left w:val="nil"/>
                <w:bottom w:val="nil"/>
                <w:right w:val="nil"/>
                <w:between w:val="nil"/>
              </w:pBdr>
              <w:spacing w:before="165"/>
              <w:ind w:right="223"/>
              <w:jc w:val="center"/>
              <w:rPr>
                <w:color w:val="000000"/>
                <w:sz w:val="28"/>
                <w:szCs w:val="28"/>
              </w:rPr>
            </w:pPr>
            <w:r>
              <w:rPr>
                <w:color w:val="000000"/>
                <w:sz w:val="28"/>
                <w:szCs w:val="28"/>
              </w:rPr>
              <w:t>Заклади в</w:t>
            </w:r>
            <w:r w:rsidR="0014530B">
              <w:rPr>
                <w:color w:val="000000"/>
                <w:sz w:val="28"/>
                <w:szCs w:val="28"/>
              </w:rPr>
              <w:t>ищої освіти та наукові установи</w:t>
            </w:r>
          </w:p>
        </w:tc>
        <w:tc>
          <w:tcPr>
            <w:tcW w:w="3034" w:type="dxa"/>
          </w:tcPr>
          <w:p w:rsidR="00A41BDB" w:rsidRDefault="00EB4342">
            <w:pPr>
              <w:pBdr>
                <w:top w:val="nil"/>
                <w:left w:val="nil"/>
                <w:bottom w:val="nil"/>
                <w:right w:val="nil"/>
                <w:between w:val="nil"/>
              </w:pBdr>
              <w:spacing w:before="165"/>
              <w:ind w:right="223"/>
              <w:jc w:val="center"/>
              <w:rPr>
                <w:color w:val="000000"/>
                <w:sz w:val="28"/>
                <w:szCs w:val="28"/>
              </w:rPr>
            </w:pPr>
            <w:r>
              <w:rPr>
                <w:color w:val="000000"/>
                <w:sz w:val="28"/>
                <w:szCs w:val="28"/>
              </w:rPr>
              <w:t>Позитивний</w:t>
            </w:r>
          </w:p>
        </w:tc>
        <w:tc>
          <w:tcPr>
            <w:tcW w:w="3827" w:type="dxa"/>
          </w:tcPr>
          <w:p w:rsidR="00A41BDB" w:rsidRDefault="00EB4342">
            <w:pPr>
              <w:pBdr>
                <w:top w:val="nil"/>
                <w:left w:val="nil"/>
                <w:bottom w:val="nil"/>
                <w:right w:val="nil"/>
                <w:between w:val="nil"/>
              </w:pBdr>
              <w:spacing w:before="165"/>
              <w:ind w:right="223"/>
              <w:jc w:val="both"/>
              <w:rPr>
                <w:color w:val="000000"/>
                <w:sz w:val="28"/>
                <w:szCs w:val="28"/>
              </w:rPr>
            </w:pPr>
            <w:r>
              <w:rPr>
                <w:color w:val="000000"/>
                <w:sz w:val="28"/>
                <w:szCs w:val="28"/>
              </w:rPr>
              <w:t>Створюються сприятливі умови для комерціалізації наукових досліджень та розробок закладів вищої освіти та наукових установ.</w:t>
            </w:r>
          </w:p>
          <w:p w:rsidR="00A41BDB" w:rsidRDefault="00EB4342">
            <w:pPr>
              <w:pBdr>
                <w:top w:val="nil"/>
                <w:left w:val="nil"/>
                <w:bottom w:val="nil"/>
                <w:right w:val="nil"/>
                <w:between w:val="nil"/>
              </w:pBdr>
              <w:ind w:right="223"/>
              <w:jc w:val="both"/>
              <w:rPr>
                <w:color w:val="000000"/>
                <w:sz w:val="28"/>
                <w:szCs w:val="28"/>
              </w:rPr>
            </w:pPr>
            <w:r>
              <w:rPr>
                <w:color w:val="000000"/>
                <w:sz w:val="28"/>
                <w:szCs w:val="28"/>
              </w:rPr>
              <w:t>Майнові права інтелектуальної власності, створеної під час проведення спільних прикладних наукових досліджень і науково-технічних (експериментальних) розробок в частині фінансування організатором конкурсу, належатимуть закладам вищої освіти та науковим установам.</w:t>
            </w:r>
          </w:p>
        </w:tc>
      </w:tr>
      <w:tr w:rsidR="00A41BDB">
        <w:trPr>
          <w:trHeight w:val="272"/>
        </w:trPr>
        <w:tc>
          <w:tcPr>
            <w:tcW w:w="2211" w:type="dxa"/>
          </w:tcPr>
          <w:p w:rsidR="00A41BDB" w:rsidRDefault="00EB4342">
            <w:pPr>
              <w:pBdr>
                <w:top w:val="nil"/>
                <w:left w:val="nil"/>
                <w:bottom w:val="nil"/>
                <w:right w:val="nil"/>
                <w:between w:val="nil"/>
              </w:pBdr>
              <w:spacing w:before="165"/>
              <w:ind w:right="223"/>
              <w:jc w:val="center"/>
              <w:rPr>
                <w:color w:val="000000"/>
                <w:sz w:val="28"/>
                <w:szCs w:val="28"/>
              </w:rPr>
            </w:pPr>
            <w:r>
              <w:rPr>
                <w:color w:val="000000"/>
                <w:sz w:val="28"/>
                <w:szCs w:val="28"/>
              </w:rPr>
              <w:t xml:space="preserve">Суб’єкти малого, середнього та великого </w:t>
            </w:r>
            <w:r>
              <w:rPr>
                <w:color w:val="000000"/>
                <w:sz w:val="28"/>
                <w:szCs w:val="28"/>
              </w:rPr>
              <w:lastRenderedPageBreak/>
              <w:t>підприємництва</w:t>
            </w:r>
          </w:p>
        </w:tc>
        <w:tc>
          <w:tcPr>
            <w:tcW w:w="3034" w:type="dxa"/>
          </w:tcPr>
          <w:p w:rsidR="00A41BDB" w:rsidRDefault="00EB4342">
            <w:pPr>
              <w:pBdr>
                <w:top w:val="nil"/>
                <w:left w:val="nil"/>
                <w:bottom w:val="nil"/>
                <w:right w:val="nil"/>
                <w:between w:val="nil"/>
              </w:pBdr>
              <w:spacing w:before="165"/>
              <w:ind w:right="223"/>
              <w:jc w:val="center"/>
              <w:rPr>
                <w:color w:val="000000"/>
                <w:sz w:val="28"/>
                <w:szCs w:val="28"/>
              </w:rPr>
            </w:pPr>
            <w:r>
              <w:rPr>
                <w:color w:val="000000"/>
                <w:sz w:val="28"/>
                <w:szCs w:val="28"/>
              </w:rPr>
              <w:lastRenderedPageBreak/>
              <w:t>Позитивний</w:t>
            </w:r>
          </w:p>
        </w:tc>
        <w:tc>
          <w:tcPr>
            <w:tcW w:w="3827" w:type="dxa"/>
          </w:tcPr>
          <w:p w:rsidR="00A41BDB" w:rsidRDefault="00EB4342">
            <w:pPr>
              <w:pBdr>
                <w:top w:val="nil"/>
                <w:left w:val="nil"/>
                <w:bottom w:val="nil"/>
                <w:right w:val="nil"/>
                <w:between w:val="nil"/>
              </w:pBdr>
              <w:spacing w:before="165"/>
              <w:ind w:right="223"/>
              <w:jc w:val="both"/>
              <w:rPr>
                <w:color w:val="000000"/>
                <w:sz w:val="28"/>
                <w:szCs w:val="28"/>
              </w:rPr>
            </w:pPr>
            <w:r>
              <w:rPr>
                <w:color w:val="000000"/>
                <w:sz w:val="28"/>
                <w:szCs w:val="28"/>
              </w:rPr>
              <w:t xml:space="preserve">Створюються умови для зменшення фінансових витрат та ризиків суб’єктів підприємництва за рахунок </w:t>
            </w:r>
            <w:r>
              <w:rPr>
                <w:color w:val="000000"/>
                <w:sz w:val="28"/>
                <w:szCs w:val="28"/>
              </w:rPr>
              <w:lastRenderedPageBreak/>
              <w:t>співфінансування.</w:t>
            </w:r>
          </w:p>
          <w:p w:rsidR="00A41BDB" w:rsidRDefault="00EB4342">
            <w:pPr>
              <w:pBdr>
                <w:top w:val="nil"/>
                <w:left w:val="nil"/>
                <w:bottom w:val="nil"/>
                <w:right w:val="nil"/>
                <w:between w:val="nil"/>
              </w:pBdr>
              <w:ind w:right="223"/>
              <w:jc w:val="both"/>
              <w:rPr>
                <w:color w:val="000000"/>
                <w:sz w:val="28"/>
                <w:szCs w:val="28"/>
              </w:rPr>
            </w:pPr>
            <w:r>
              <w:rPr>
                <w:color w:val="000000"/>
                <w:sz w:val="28"/>
                <w:szCs w:val="28"/>
              </w:rPr>
              <w:t>Суб’єкти підприємництва зможуть отримати доступ до глибоких наукових знань та залучити видатних науковців, а також скоротити часові витрати від ідеї до готового продукту.</w:t>
            </w:r>
          </w:p>
          <w:p w:rsidR="00A57112" w:rsidRDefault="00EB4342">
            <w:pPr>
              <w:pBdr>
                <w:top w:val="nil"/>
                <w:left w:val="nil"/>
                <w:bottom w:val="nil"/>
                <w:right w:val="nil"/>
                <w:between w:val="nil"/>
              </w:pBdr>
              <w:ind w:right="223"/>
              <w:jc w:val="both"/>
              <w:rPr>
                <w:color w:val="000000"/>
                <w:sz w:val="28"/>
                <w:szCs w:val="28"/>
              </w:rPr>
            </w:pPr>
            <w:r>
              <w:rPr>
                <w:color w:val="000000"/>
                <w:sz w:val="28"/>
                <w:szCs w:val="28"/>
              </w:rPr>
              <w:t>У короткостроковій перспективі вплив буде нейтральний, оскільки потрібен час для участі у конкурсному відборі та для проведення спільних прикладних наукових досліджень і науково-технічних (експериментальних) розробок, в подальшому – позитивний.</w:t>
            </w:r>
          </w:p>
        </w:tc>
      </w:tr>
    </w:tbl>
    <w:p w:rsidR="00A41BDB" w:rsidRDefault="00A41BDB">
      <w:pPr>
        <w:rPr>
          <w:b/>
          <w:bCs/>
          <w:sz w:val="28"/>
          <w:szCs w:val="28"/>
        </w:rPr>
      </w:pPr>
    </w:p>
    <w:p w:rsidR="00A41BDB" w:rsidRDefault="00A41BDB">
      <w:pPr>
        <w:ind w:right="-709"/>
        <w:rPr>
          <w:b/>
          <w:bCs/>
          <w:sz w:val="28"/>
          <w:szCs w:val="28"/>
        </w:rPr>
      </w:pPr>
    </w:p>
    <w:p w:rsidR="00A41BDB" w:rsidRPr="006B09B7" w:rsidRDefault="006B09B7">
      <w:pPr>
        <w:tabs>
          <w:tab w:val="left" w:pos="567"/>
        </w:tabs>
        <w:rPr>
          <w:b/>
          <w:bCs/>
          <w:sz w:val="28"/>
          <w:szCs w:val="28"/>
          <w:lang w:val="uk-UA"/>
        </w:rPr>
      </w:pPr>
      <w:bookmarkStart w:id="2" w:name="_heading=h.8m014jdzgg3q" w:colFirst="0" w:colLast="0"/>
      <w:bookmarkEnd w:id="2"/>
      <w:r>
        <w:rPr>
          <w:b/>
          <w:bCs/>
          <w:sz w:val="28"/>
          <w:szCs w:val="28"/>
        </w:rPr>
        <w:t>Міністр</w:t>
      </w:r>
      <w:r w:rsidR="00EB4342">
        <w:rPr>
          <w:b/>
          <w:bCs/>
          <w:sz w:val="28"/>
          <w:szCs w:val="28"/>
        </w:rPr>
        <w:t xml:space="preserve"> освіти і науки України                       </w:t>
      </w:r>
      <w:r>
        <w:rPr>
          <w:b/>
          <w:bCs/>
          <w:sz w:val="28"/>
          <w:szCs w:val="28"/>
          <w:lang w:val="uk-UA"/>
        </w:rPr>
        <w:t xml:space="preserve">              Оксен ЛІСОВИЙ</w:t>
      </w:r>
    </w:p>
    <w:p w:rsidR="00A41BDB" w:rsidRDefault="00A41BDB">
      <w:pPr>
        <w:rPr>
          <w:b/>
          <w:bCs/>
          <w:sz w:val="28"/>
          <w:szCs w:val="28"/>
        </w:rPr>
      </w:pPr>
    </w:p>
    <w:p w:rsidR="00A41BDB" w:rsidRDefault="00A41BDB">
      <w:pPr>
        <w:rPr>
          <w:b/>
          <w:bCs/>
          <w:sz w:val="28"/>
          <w:szCs w:val="28"/>
        </w:rPr>
      </w:pPr>
    </w:p>
    <w:p w:rsidR="00A57112" w:rsidRDefault="00A57112">
      <w:pPr>
        <w:rPr>
          <w:b/>
          <w:bCs/>
          <w:sz w:val="28"/>
          <w:szCs w:val="28"/>
        </w:rPr>
      </w:pPr>
    </w:p>
    <w:p w:rsidR="00A57112" w:rsidRDefault="00A57112">
      <w:pPr>
        <w:rPr>
          <w:b/>
          <w:bCs/>
          <w:sz w:val="28"/>
          <w:szCs w:val="28"/>
        </w:rPr>
      </w:pPr>
    </w:p>
    <w:p w:rsidR="00A57112" w:rsidRDefault="00A57112">
      <w:pPr>
        <w:rPr>
          <w:b/>
          <w:bCs/>
          <w:sz w:val="28"/>
          <w:szCs w:val="28"/>
        </w:rPr>
      </w:pPr>
    </w:p>
    <w:p w:rsidR="00A57112" w:rsidRDefault="00A57112">
      <w:pPr>
        <w:rPr>
          <w:b/>
          <w:bCs/>
          <w:sz w:val="28"/>
          <w:szCs w:val="28"/>
        </w:rPr>
      </w:pPr>
    </w:p>
    <w:p w:rsidR="00A41BDB" w:rsidRDefault="00EB4342">
      <w:pPr>
        <w:rPr>
          <w:sz w:val="28"/>
          <w:szCs w:val="28"/>
        </w:rPr>
      </w:pPr>
      <w:r>
        <w:rPr>
          <w:sz w:val="28"/>
          <w:szCs w:val="28"/>
        </w:rPr>
        <w:t>«____»____________2025 року</w:t>
      </w:r>
    </w:p>
    <w:sectPr w:rsidR="00A41BDB">
      <w:headerReference w:type="even" r:id="rId8"/>
      <w:headerReference w:type="default" r:id="rId9"/>
      <w:footerReference w:type="default" r:id="rId10"/>
      <w:headerReference w:type="first" r:id="rId11"/>
      <w:footerReference w:type="first" r:id="rId12"/>
      <w:pgSz w:w="11906" w:h="16838"/>
      <w:pgMar w:top="1135" w:right="113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ECD" w:rsidRDefault="00E95ECD">
      <w:r>
        <w:separator/>
      </w:r>
    </w:p>
  </w:endnote>
  <w:endnote w:type="continuationSeparator" w:id="0">
    <w:p w:rsidR="00E95ECD" w:rsidRDefault="00E9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ECDB321-ECBE-48F6-A75A-6F76B55FE5CA}"/>
  </w:font>
  <w:font w:name="Calibri Light">
    <w:panose1 w:val="020F0302020204030204"/>
    <w:charset w:val="CC"/>
    <w:family w:val="swiss"/>
    <w:pitch w:val="variable"/>
    <w:sig w:usb0="E4002EFF" w:usb1="C000247B" w:usb2="00000009" w:usb3="00000000" w:csb0="000001FF" w:csb1="00000000"/>
    <w:embedRegular r:id="rId2" w:fontKey="{114E3C6A-7F0B-4897-8149-9A7F532C2B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A41BDB">
    <w:pP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A41BD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ECD" w:rsidRDefault="00E95ECD">
      <w:r>
        <w:separator/>
      </w:r>
    </w:p>
  </w:footnote>
  <w:footnote w:type="continuationSeparator" w:id="0">
    <w:p w:rsidR="00E95ECD" w:rsidRDefault="00E9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EB4342">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rsidR="00A41BDB" w:rsidRDefault="00A41BD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EB4342">
    <w:pPr>
      <w:pBdr>
        <w:top w:val="nil"/>
        <w:left w:val="nil"/>
        <w:bottom w:val="nil"/>
        <w:right w:val="nil"/>
        <w:between w:val="nil"/>
      </w:pBdr>
      <w:tabs>
        <w:tab w:val="center" w:pos="4513"/>
        <w:tab w:val="right" w:pos="9026"/>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A57112">
      <w:rPr>
        <w:noProof/>
        <w:color w:val="000000"/>
        <w:sz w:val="28"/>
        <w:szCs w:val="28"/>
      </w:rPr>
      <w:t>2</w:t>
    </w:r>
    <w:r>
      <w:rPr>
        <w:color w:val="000000"/>
        <w:sz w:val="28"/>
        <w:szCs w:val="28"/>
      </w:rPr>
      <w:fldChar w:fldCharType="end"/>
    </w:r>
  </w:p>
  <w:p w:rsidR="00A41BDB" w:rsidRDefault="00A41BD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A41BDB">
    <w:pPr>
      <w:pBdr>
        <w:top w:val="nil"/>
        <w:left w:val="nil"/>
        <w:bottom w:val="nil"/>
        <w:right w:val="nil"/>
        <w:between w:val="nil"/>
      </w:pBdr>
      <w:tabs>
        <w:tab w:val="center" w:pos="4513"/>
        <w:tab w:val="right" w:pos="9026"/>
      </w:tabs>
      <w:jc w:val="center"/>
      <w:rPr>
        <w:color w:val="000000"/>
      </w:rPr>
    </w:pPr>
  </w:p>
  <w:p w:rsidR="00A41BDB" w:rsidRDefault="00A41BD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70D2E"/>
    <w:multiLevelType w:val="multilevel"/>
    <w:tmpl w:val="97C298EC"/>
    <w:lvl w:ilvl="0">
      <w:numFmt w:val="bullet"/>
      <w:lvlText w:val="-"/>
      <w:lvlJc w:val="left"/>
      <w:pPr>
        <w:ind w:left="1995" w:hanging="361"/>
      </w:pPr>
      <w:rPr>
        <w:rFonts w:ascii="Times New Roman" w:eastAsia="Times New Roman" w:hAnsi="Times New Roman" w:cs="Times New Roman"/>
        <w:b w:val="0"/>
        <w:bCs w:val="0"/>
        <w:i w:val="0"/>
        <w:iCs w:val="0"/>
        <w:sz w:val="28"/>
        <w:szCs w:val="28"/>
      </w:rPr>
    </w:lvl>
    <w:lvl w:ilvl="1">
      <w:numFmt w:val="bullet"/>
      <w:lvlText w:val="•"/>
      <w:lvlJc w:val="left"/>
      <w:pPr>
        <w:ind w:left="2934" w:hanging="361"/>
      </w:pPr>
    </w:lvl>
    <w:lvl w:ilvl="2">
      <w:numFmt w:val="bullet"/>
      <w:lvlText w:val="•"/>
      <w:lvlJc w:val="left"/>
      <w:pPr>
        <w:ind w:left="3868" w:hanging="361"/>
      </w:pPr>
    </w:lvl>
    <w:lvl w:ilvl="3">
      <w:numFmt w:val="bullet"/>
      <w:lvlText w:val="•"/>
      <w:lvlJc w:val="left"/>
      <w:pPr>
        <w:ind w:left="4802" w:hanging="361"/>
      </w:pPr>
    </w:lvl>
    <w:lvl w:ilvl="4">
      <w:numFmt w:val="bullet"/>
      <w:lvlText w:val="•"/>
      <w:lvlJc w:val="left"/>
      <w:pPr>
        <w:ind w:left="5736" w:hanging="361"/>
      </w:pPr>
    </w:lvl>
    <w:lvl w:ilvl="5">
      <w:numFmt w:val="bullet"/>
      <w:lvlText w:val="•"/>
      <w:lvlJc w:val="left"/>
      <w:pPr>
        <w:ind w:left="6670" w:hanging="361"/>
      </w:pPr>
    </w:lvl>
    <w:lvl w:ilvl="6">
      <w:numFmt w:val="bullet"/>
      <w:lvlText w:val="•"/>
      <w:lvlJc w:val="left"/>
      <w:pPr>
        <w:ind w:left="7604" w:hanging="361"/>
      </w:pPr>
    </w:lvl>
    <w:lvl w:ilvl="7">
      <w:numFmt w:val="bullet"/>
      <w:lvlText w:val="•"/>
      <w:lvlJc w:val="left"/>
      <w:pPr>
        <w:ind w:left="8538" w:hanging="361"/>
      </w:pPr>
    </w:lvl>
    <w:lvl w:ilvl="8">
      <w:numFmt w:val="bullet"/>
      <w:lvlText w:val="•"/>
      <w:lvlJc w:val="left"/>
      <w:pPr>
        <w:ind w:left="9472" w:hanging="36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DB"/>
    <w:rsid w:val="0007304D"/>
    <w:rsid w:val="00075291"/>
    <w:rsid w:val="0014530B"/>
    <w:rsid w:val="00311573"/>
    <w:rsid w:val="006B09B7"/>
    <w:rsid w:val="00A41BDB"/>
    <w:rsid w:val="00A57112"/>
    <w:rsid w:val="00E54CEA"/>
    <w:rsid w:val="00E95ECD"/>
    <w:rsid w:val="00EB43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6DD526"/>
  <w15:docId w15:val="{C1935B2A-9622-40C2-8276-11CD3124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outlineLvl w:val="5"/>
    </w:pPr>
    <w:rPr>
      <w:i/>
      <w:iCs/>
      <w:color w:val="595959"/>
    </w:rPr>
  </w:style>
  <w:style w:type="paragraph" w:styleId="7">
    <w:name w:val="heading 7"/>
    <w:link w:val="70"/>
    <w:uiPriority w:val="9"/>
    <w:semiHidden/>
    <w:unhideWhenUsed/>
    <w:qFormat/>
    <w:rsid w:val="00996BEC"/>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996BEC"/>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996BE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pPr>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996BE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996BE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996BEC"/>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996BEC"/>
    <w:rPr>
      <w:rFonts w:eastAsiaTheme="majorEastAsia" w:cstheme="majorBidi"/>
      <w:i/>
      <w:iCs/>
      <w:color w:val="2F5496" w:themeColor="accent1" w:themeShade="BF"/>
    </w:rPr>
  </w:style>
  <w:style w:type="character" w:customStyle="1" w:styleId="50">
    <w:name w:val="Заголовок 5 Знак"/>
    <w:basedOn w:val="a0"/>
    <w:uiPriority w:val="9"/>
    <w:semiHidden/>
    <w:rsid w:val="00996BEC"/>
    <w:rPr>
      <w:rFonts w:eastAsiaTheme="majorEastAsia" w:cstheme="majorBidi"/>
      <w:color w:val="2F5496" w:themeColor="accent1" w:themeShade="BF"/>
    </w:rPr>
  </w:style>
  <w:style w:type="character" w:customStyle="1" w:styleId="60">
    <w:name w:val="Заголовок 6 Знак"/>
    <w:basedOn w:val="a0"/>
    <w:uiPriority w:val="9"/>
    <w:semiHidden/>
    <w:rsid w:val="00996BE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96BEC"/>
    <w:rPr>
      <w:rFonts w:eastAsiaTheme="majorEastAsia" w:cstheme="majorBidi"/>
      <w:color w:val="595959" w:themeColor="text1" w:themeTint="A6"/>
    </w:rPr>
  </w:style>
  <w:style w:type="character" w:customStyle="1" w:styleId="80">
    <w:name w:val="Заголовок 8 Знак"/>
    <w:basedOn w:val="a0"/>
    <w:link w:val="8"/>
    <w:uiPriority w:val="9"/>
    <w:semiHidden/>
    <w:rsid w:val="00996BE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96BEC"/>
    <w:rPr>
      <w:rFonts w:eastAsiaTheme="majorEastAsia" w:cstheme="majorBidi"/>
      <w:color w:val="272727" w:themeColor="text1" w:themeTint="D8"/>
    </w:rPr>
  </w:style>
  <w:style w:type="character" w:customStyle="1" w:styleId="a4">
    <w:name w:val="Заголовок Знак"/>
    <w:basedOn w:val="a0"/>
    <w:uiPriority w:val="10"/>
    <w:rsid w:val="00996BEC"/>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996BEC"/>
    <w:rPr>
      <w:rFonts w:eastAsiaTheme="majorEastAsia" w:cstheme="majorBidi"/>
      <w:color w:val="595959" w:themeColor="text1" w:themeTint="A6"/>
      <w:spacing w:val="15"/>
      <w:sz w:val="28"/>
      <w:szCs w:val="28"/>
    </w:rPr>
  </w:style>
  <w:style w:type="paragraph" w:styleId="21">
    <w:name w:val="Quote"/>
    <w:link w:val="22"/>
    <w:uiPriority w:val="29"/>
    <w:qFormat/>
    <w:rsid w:val="00996BEC"/>
    <w:pPr>
      <w:spacing w:before="160"/>
      <w:jc w:val="center"/>
    </w:pPr>
    <w:rPr>
      <w:i/>
      <w:iCs/>
      <w:color w:val="404040" w:themeColor="text1" w:themeTint="BF"/>
    </w:rPr>
  </w:style>
  <w:style w:type="character" w:customStyle="1" w:styleId="22">
    <w:name w:val="Цитата 2 Знак"/>
    <w:basedOn w:val="a0"/>
    <w:link w:val="21"/>
    <w:uiPriority w:val="29"/>
    <w:rsid w:val="00996BEC"/>
    <w:rPr>
      <w:i/>
      <w:iCs/>
      <w:color w:val="404040" w:themeColor="text1" w:themeTint="BF"/>
    </w:rPr>
  </w:style>
  <w:style w:type="paragraph" w:styleId="a6">
    <w:name w:val="List Paragraph"/>
    <w:uiPriority w:val="1"/>
    <w:qFormat/>
    <w:rsid w:val="00996BEC"/>
    <w:pPr>
      <w:ind w:left="720"/>
      <w:contextualSpacing/>
    </w:pPr>
  </w:style>
  <w:style w:type="character" w:styleId="a7">
    <w:name w:val="Intense Emphasis"/>
    <w:basedOn w:val="a0"/>
    <w:uiPriority w:val="21"/>
    <w:qFormat/>
    <w:rsid w:val="00996BEC"/>
    <w:rPr>
      <w:i/>
      <w:iCs/>
      <w:color w:val="2F5496" w:themeColor="accent1" w:themeShade="BF"/>
    </w:rPr>
  </w:style>
  <w:style w:type="paragraph" w:styleId="a8">
    <w:name w:val="Intense Quote"/>
    <w:link w:val="a9"/>
    <w:uiPriority w:val="30"/>
    <w:qFormat/>
    <w:rsid w:val="00996B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996BEC"/>
    <w:rPr>
      <w:i/>
      <w:iCs/>
      <w:color w:val="2F5496" w:themeColor="accent1" w:themeShade="BF"/>
    </w:rPr>
  </w:style>
  <w:style w:type="character" w:styleId="aa">
    <w:name w:val="Intense Reference"/>
    <w:basedOn w:val="a0"/>
    <w:uiPriority w:val="32"/>
    <w:qFormat/>
    <w:rsid w:val="00996BEC"/>
    <w:rPr>
      <w:b/>
      <w:bCs/>
      <w:smallCaps/>
      <w:color w:val="2F5496" w:themeColor="accent1" w:themeShade="BF"/>
      <w:spacing w:val="5"/>
    </w:rPr>
  </w:style>
  <w:style w:type="paragraph" w:styleId="ab">
    <w:name w:val="Body Text"/>
    <w:link w:val="ac"/>
    <w:uiPriority w:val="1"/>
    <w:qFormat/>
    <w:rsid w:val="00996BEC"/>
    <w:pPr>
      <w:ind w:left="1560"/>
      <w:jc w:val="both"/>
    </w:pPr>
    <w:rPr>
      <w:sz w:val="28"/>
      <w:szCs w:val="28"/>
    </w:rPr>
  </w:style>
  <w:style w:type="character" w:customStyle="1" w:styleId="ac">
    <w:name w:val="Основной текст Знак"/>
    <w:basedOn w:val="a0"/>
    <w:link w:val="ab"/>
    <w:uiPriority w:val="1"/>
    <w:rsid w:val="00996BEC"/>
    <w:rPr>
      <w:rFonts w:ascii="Times New Roman" w:eastAsia="Times New Roman" w:hAnsi="Times New Roman" w:cs="Times New Roman"/>
      <w:kern w:val="0"/>
      <w:sz w:val="28"/>
      <w:szCs w:val="28"/>
      <w:lang w:val="uk-UA"/>
    </w:rPr>
  </w:style>
  <w:style w:type="table" w:customStyle="1" w:styleId="TableNormal2">
    <w:name w:val="Table Normal"/>
    <w:uiPriority w:val="2"/>
    <w:semiHidden/>
    <w:unhideWhenUsed/>
    <w:qFormat/>
    <w:rsid w:val="00996BEC"/>
    <w:pPr>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uiPriority w:val="1"/>
    <w:qFormat/>
    <w:rsid w:val="00996BEC"/>
    <w:pPr>
      <w:spacing w:before="165"/>
    </w:pPr>
  </w:style>
  <w:style w:type="paragraph" w:styleId="ad">
    <w:name w:val="header"/>
    <w:link w:val="ae"/>
    <w:uiPriority w:val="99"/>
    <w:unhideWhenUsed/>
    <w:rsid w:val="00996BEC"/>
    <w:pPr>
      <w:tabs>
        <w:tab w:val="center" w:pos="4513"/>
        <w:tab w:val="right" w:pos="9026"/>
      </w:tabs>
    </w:pPr>
  </w:style>
  <w:style w:type="character" w:customStyle="1" w:styleId="ae">
    <w:name w:val="Верхний колонтитул Знак"/>
    <w:basedOn w:val="a0"/>
    <w:link w:val="ad"/>
    <w:uiPriority w:val="99"/>
    <w:rsid w:val="00996BEC"/>
    <w:rPr>
      <w:rFonts w:ascii="Times New Roman" w:eastAsia="Times New Roman" w:hAnsi="Times New Roman" w:cs="Times New Roman"/>
      <w:kern w:val="0"/>
      <w:sz w:val="22"/>
      <w:szCs w:val="22"/>
      <w:lang w:val="uk-UA"/>
    </w:rPr>
  </w:style>
  <w:style w:type="character" w:styleId="af">
    <w:name w:val="page number"/>
    <w:basedOn w:val="a0"/>
    <w:uiPriority w:val="99"/>
    <w:semiHidden/>
    <w:unhideWhenUsed/>
    <w:rsid w:val="00996BEC"/>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paragraph" w:styleId="af2">
    <w:name w:val="footer"/>
    <w:link w:val="af3"/>
    <w:uiPriority w:val="99"/>
    <w:unhideWhenUsed/>
    <w:rsid w:val="00995D55"/>
    <w:pPr>
      <w:tabs>
        <w:tab w:val="center" w:pos="4819"/>
        <w:tab w:val="right" w:pos="9639"/>
      </w:tabs>
    </w:pPr>
  </w:style>
  <w:style w:type="character" w:customStyle="1" w:styleId="af3">
    <w:name w:val="Нижний колонтитул Знак"/>
    <w:basedOn w:val="a0"/>
    <w:link w:val="af2"/>
    <w:uiPriority w:val="99"/>
    <w:rsid w:val="00995D55"/>
  </w:style>
  <w:style w:type="paragraph" w:styleId="af4">
    <w:name w:val="Subtitle"/>
    <w:basedOn w:val="a"/>
    <w:next w:val="a"/>
    <w:rPr>
      <w:color w:val="595959"/>
      <w:sz w:val="28"/>
      <w:szCs w:val="28"/>
    </w:rPr>
  </w:style>
  <w:style w:type="table" w:customStyle="1" w:styleId="af5">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HThJIqwp+igcSzs8mC3w+XSTw==">CgMxLjAyDmgubGU0MHZwMmx2NmllMg5oLjhtMDE0amR6Z2czcTgAciExNW53LXBGMWZ1eUxDNzcxNi1NTDAzMEVZNHZUUVF1dFo=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6570</Words>
  <Characters>3745</Characters>
  <Application>Microsoft Office Word</Application>
  <DocSecurity>0</DocSecurity>
  <Lines>31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 Petrunina</dc:creator>
  <cp:lastModifiedBy>Andriy Petrovskyi</cp:lastModifiedBy>
  <cp:revision>6</cp:revision>
  <dcterms:created xsi:type="dcterms:W3CDTF">2025-11-21T09:36:00Z</dcterms:created>
  <dcterms:modified xsi:type="dcterms:W3CDTF">2025-11-21T13:42:00Z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a6df21ca-9e65-4410-ad3c-f9ad76ff140d</vt:lpwstr>
  </property>
</Properties>
</file>