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АНАЛІЗ РЕГУЛЯТОРНОГО ВПЛИВУ</w:t>
      </w: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bookmarkStart w:id="0" w:name="_heading=h.3enrkye9l6eg" w:colFirst="0" w:colLast="0"/>
      <w:bookmarkEnd w:id="0"/>
      <w:r>
        <w:rPr>
          <w:b/>
          <w:bCs/>
          <w:sz w:val="28"/>
          <w:szCs w:val="28"/>
        </w:rPr>
        <w:t>до про</w:t>
      </w:r>
      <w:r w:rsidR="00F527E2"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</w:rPr>
        <w:t xml:space="preserve">кту постанови Кабінету Міністрів України </w:t>
      </w: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>
        <w:rPr>
          <w:b/>
          <w:bCs/>
          <w:sz w:val="28"/>
          <w:szCs w:val="28"/>
        </w:rPr>
        <w:t>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</w:t>
      </w:r>
      <w:r>
        <w:rPr>
          <w:b/>
          <w:bCs/>
          <w:sz w:val="32"/>
          <w:szCs w:val="32"/>
        </w:rPr>
        <w:t>»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85790B" w:rsidRDefault="005352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Визначення проблеми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сьогодні існуючі в Україні  інструменти державної підтримки не забезпечують високий рівень впровадження результатів наукових досліджень та науково-технічних (експериментальних) розробок, що обмежує можливості для побудови інноваційної економіки.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Спостерігається тенденція до зменшення кількості інноваційно активних підприємств та   організацій, що  здійснюють наукові дослідження і науково-технічні (експериментальні) розробки.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Згідно з даними Державної служби статистики України кількість організацій, які здійснювали наукові дослідження і розробки у 2021 році становила 637, а у 2024 році – 616, а частка підприємств, що впроваджували нову або значно вдосконалену продукцію у 2022-2024 роках становила лише 8,5 %. Частка витрат на дослідження та розробки (GERD) як відсоток до ВВП є досить низькою і у 2021 році складала 0,38 %, а у 2024 році -  0,37 %.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Відповідно до Глобального інноваційного індексу у 2024 році Україна займала 60-те місце серед 133 країн, проти 55-го в 2023 році, 57-го в 2022 році та 49-го в 2021 році, а також 34-е місце серед 39 країн Європи, і в групі країн з доходом нижче середнього – 4-е місце. Україна посідає найвище місце за показником «Знання та технологічні результати» (34 місце), «Складність бізнесу» (45-те місце) та «Людський капітал та дослідження» (54-е місце).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2024 році деякі інші показники також мають позитивну динаміку. Так, за показником «Ринкова складність» Україна піднялася на 85-е місце, порівняно із 104-им місцем у 2023 році. Згідно з субіндексом «Знання та технологічні результати» Україна знаходиться на 34-му місці, піднявшись на 10 позицій порівняно з 2023 роком. Сильними сторонами України залишаються: «Утилітарні моделі за походженням/млрд до ВВП» (1 місце); жінки з вищою освітою (2 місце);  «Витрати на програмне забезпечення як відсоток ВВП» (4-е місце); «Експорт ІКТ-послуг як відсоток від загальної торгівлі» (5-е місце); «Створення знань» (29-е місце).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Згідно з субіндексом «Креативні результати» Україна перемістилася з 37-го місця у 2023 році на 68-ме місце у 2024 році. Сильними сторонами цього субіндексу </w:t>
      </w:r>
      <w:r>
        <w:rPr>
          <w:sz w:val="28"/>
          <w:szCs w:val="28"/>
        </w:rPr>
        <w:lastRenderedPageBreak/>
        <w:t>є: «Промислові зразки за походженням/млрд до ВВП» (20 місце); «Торговельні марки за походженням/млрд до ВВП» (32-е місце); «Креативність онлайн» (39-е місце). Слабкі сторони цього субіндексу: «Вартість світових брендів як відсоток до ВВП» (65-е місце), «Національні художні фільми у співвідношенні до мільйона населення» (73-е місце); «Експорт креативних товарів як відсоток від загальної торгівлі» (82-е місце).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Також Україна має негативну динаміку по низці важливих показників, що свідчать про інноваційні ресурси, а саме: «Людський капітал і дослідження» - 54-те (-7 позицій порівняно з 2023 роком і -9 позицій порівняно з 2022 роком), «Інституції» - Україна на 107-му місці (-7 та -10 позицій порівняно з 2023 та 2022 роками відповідно, значною мірою через зменшення ступеня стабільності інституційного середовища для ведення бізнесу).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Найбільша кількість показників, за якими знизився рейтинг України, пов’язана із субіндексами, що стосуються інноваційної діяльності бізнесу – його складності та реалізації результатів знань і технологій. Це, зокрема, виробництво та експорт високотехнологічної продукції, продуктивність праці, кількість сертифікатів ISO 9001 та екологічних сертифікатів, отримання прав інтелектуальної власності, насамперед патентів – найвищої якості прав інтелектуальної власності, імпорт прав інтелектуальної власності.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Ці показники свідчать про те, що в Україні досі відсутні наявні в ЄС фінансові, податкові та інші механізми, які сприяють ефективній комерціалізації наукових досліджень та інноваційної діяльності бізнесу. 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Як наслідок, зменшується інвестиційна привабливість України, скорочується кількість дослідників, винахідників та інноваторів, а наукоємність ВВП України залишається критично низькою, що призводить до втрачання наукою та інноваціями здатності виконувати економічну функцію.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Причиною цьому є низка проблем щодо співпраці науковців та бізнесу, які потребують вирішення, а саме:</w:t>
      </w:r>
    </w:p>
    <w:p w:rsidR="0085790B" w:rsidRDefault="005352D3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відсутність дієвого механізму підтримки співпраці між наукою та бізнесом;</w:t>
      </w:r>
    </w:p>
    <w:p w:rsidR="0085790B" w:rsidRDefault="005352D3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відсутність координації процесу взаємодії науки та бізнесу;</w:t>
      </w:r>
    </w:p>
    <w:p w:rsidR="0085790B" w:rsidRDefault="005352D3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відсутній механізм стимулювання бізнесу до співпраці з закладами вищої освіти та науковими установами.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кт акта розроблений на виконання Стратегічної цілі 5 «Розбудова спроможності для створення наукоємних інновацій» та Стратегічної цілі 8 «Стимулювання дослідження та розробки в умовах обмежених матеріальних ресурсів, уможливлення реалізації інноваційних проектів у пріоритетних галузях» Стратегії цифрового розвитку інноваційної діяльності України на період до 2030 </w:t>
      </w:r>
      <w:r>
        <w:rPr>
          <w:sz w:val="28"/>
          <w:szCs w:val="28"/>
        </w:rPr>
        <w:lastRenderedPageBreak/>
        <w:t>року, затвердженої розпорядженням Кабінету Міністрів України від 31 грудня 2024 року № 1351-р.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1" w:hanging="2"/>
        <w:jc w:val="both"/>
        <w:rPr>
          <w:sz w:val="28"/>
          <w:szCs w:val="28"/>
        </w:rPr>
      </w:pPr>
      <w:r>
        <w:rPr>
          <w:sz w:val="28"/>
          <w:szCs w:val="28"/>
        </w:rPr>
        <w:t>Основні групи, на які проблема справляє вплив: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afffffff5"/>
        <w:tblW w:w="9995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743"/>
        <w:gridCol w:w="2127"/>
        <w:gridCol w:w="2125"/>
      </w:tblGrid>
      <w:tr w:rsidR="0085790B" w:rsidTr="005352D3">
        <w:tc>
          <w:tcPr>
            <w:tcW w:w="5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Групи (підгрупи)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</w:t>
            </w:r>
          </w:p>
        </w:tc>
        <w:tc>
          <w:tcPr>
            <w:tcW w:w="2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Ні</w:t>
            </w:r>
          </w:p>
        </w:tc>
      </w:tr>
      <w:tr w:rsidR="0085790B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Громадяни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-</w:t>
            </w:r>
          </w:p>
        </w:tc>
      </w:tr>
      <w:tr w:rsidR="0085790B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-</w:t>
            </w:r>
          </w:p>
        </w:tc>
      </w:tr>
      <w:tr w:rsidR="0085790B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господарювання,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</w:p>
        </w:tc>
      </w:tr>
      <w:tr w:rsidR="0085790B" w:rsidTr="005352D3">
        <w:tc>
          <w:tcPr>
            <w:tcW w:w="57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тому числі суб’єкти малого підприємництва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Обґрунтування неможливості вирішення проблеми за допомогою ринкових механізмів: 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Проблема, яка потребує врегулювання, не може бути розв’язана за допомогою ринкових механізмів з огляду на її системний, нормативно-правовий характер, зокрема, в проведенні конкурсних процедур для  забезпечення часткового фінансування за рахунок держави.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Окрім того, ринкові механізми не здатні врегулювати питання фінансування ранніх стадій розробок, оскільки прикладні дослідження та розробки (TRL 3-6) є високо ризиковими інвестиціями з тривалим періодом окупності. Бізнес зазвичай інвестує у розробки, які мають TRL 7-9 та можуть швидко вийти на ринок, уникаючи фінансування проміжних стадій (від ідеї до прототипу) через невизначеність і високі витрати на оцінку наукового потенціалу. Саме тому механізм співфінансування, який є поширеним у світі, виступає як інструмент розподілу ризиків, де держава покриває найбільш ризикову частину досліджень та розробок.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Отже, вирішення цієї проблеми потребує спеціального законодавчого механізму для усунення системних ринкових неспроможностей у сфері інновацій. 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чином, державне регулювання є єдиним можливим способом вирішення окресленої проблеми, який дозволяє встановити обов’язкові стандарти, створити правові підстави для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бізнесу. 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jc w:val="both"/>
        <w:rPr>
          <w:sz w:val="28"/>
          <w:szCs w:val="28"/>
        </w:rPr>
      </w:pPr>
    </w:p>
    <w:p w:rsidR="0085790B" w:rsidRDefault="005352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Цілі державного регулювання</w:t>
      </w:r>
    </w:p>
    <w:p w:rsidR="0085790B" w:rsidRDefault="008579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  <w:u w:val="single"/>
        </w:rPr>
      </w:pP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Основною ціллю державного регулювання є проведення експериментального проекту щодо конкурсного відбору спільних прикладних наукових досліджень і </w:t>
      </w:r>
      <w:r>
        <w:rPr>
          <w:sz w:val="28"/>
          <w:szCs w:val="28"/>
        </w:rPr>
        <w:lastRenderedPageBreak/>
        <w:t>науково-технічних (експериментальних) розробок закладів вищої освіти, наукових установ та підприємств, організацій реального сектору економіки (далі - конкурс), які отримують фінансову підтримку на умовах співфінансування, для створення партнерських зв'язків між наукою, бізнесом та державою, інтеграції нових технологій у виробничі процеси підприємств, що підвищить їх конкурентоспроможність на внутрішньому та міжнародному ринках.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Запропонований механізм проведення конкурсного відбору спільних прикладних наукових досліджень і науково-технічних (експериментальних) розробок на замовлення бізнесу дозволить значно збільшити кількість впроваджених наукових розробок, а відтак перетворити знання на додану вартість та експортну продукцію, що своєю чергою, призведе до збільшення податкових надходжень, економічного зростання та побудови інноваційної економіки.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Крім того, такий підхід дозволить державі оптимізувати фінансування досліджень, спрямовуючи його на ті напрямки, які мають найбільший потенціал комерціалізації та суспільного впливу.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Запровадження нового механізму дозволить надати фінансові стимули науковцям залишатися в Україні та займатися комерціалізацією своїх розробок.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Також новий підхід до співфінансування наукових досліджень і розробок наблизить українські ЗВО та наукові установи для співпраці з іноземними та українськими інвесторами, а бізнес, отримавши доступ до українських технологій, зможе впроваджувати інновації у виробництво, створюючи продукти з високою доданою вартістю, що є також критично важливим для конкуренції на міжнародних ринках.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Отже, прийняття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кту акта створить фундамент для інноваційної економіки, що є запорукою стійкого розвитку та успішної відбудови України.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Default="005352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Визначення та оцінка альтернативних способів досягнення цілей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 Визначення альтернативних способів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  <w:u w:val="single"/>
        </w:rPr>
      </w:pPr>
    </w:p>
    <w:tbl>
      <w:tblPr>
        <w:tblStyle w:val="afffffff6"/>
        <w:tblW w:w="9996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3484"/>
        <w:gridCol w:w="6512"/>
      </w:tblGrid>
      <w:tr w:rsidR="0085790B" w:rsidTr="005352D3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Вид альтернативи</w:t>
            </w: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 альтернативи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85790B" w:rsidTr="005352D3">
        <w:trPr>
          <w:trHeight w:val="269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(збереження чинного регулювання)</w:t>
            </w: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Передбачає збереження чинного регулювання. У цьому випадку чинне законодавство України залишається без змін, відсутні дієві механізми співпраці між наукою та бізнесом, а також відсутні </w:t>
            </w:r>
            <w:r>
              <w:rPr>
                <w:sz w:val="28"/>
                <w:szCs w:val="28"/>
              </w:rPr>
              <w:lastRenderedPageBreak/>
              <w:t>механізми стимулювання бізнесу до співпраці з закладами вищої освіти та науковими установами.</w:t>
            </w:r>
          </w:p>
        </w:tc>
      </w:tr>
      <w:tr w:rsidR="0085790B" w:rsidTr="005352D3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Альтернатива 2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(прийняття регуляторного акту)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65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 w:rsidP="00D01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bookmarkStart w:id="1" w:name="_heading=h.8xyokccfwy8n" w:colFirst="0" w:colLast="0"/>
            <w:bookmarkEnd w:id="1"/>
            <w:r>
              <w:rPr>
                <w:sz w:val="28"/>
                <w:szCs w:val="28"/>
              </w:rPr>
              <w:t>Передбачає прийняття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бізнесу», яка визначає процедуру проведення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бізнесу, а також визначає умови, критерії, перелік учасників та основні етапи проведення такого конкурсного відбору.</w:t>
            </w:r>
            <w:r>
              <w:rPr>
                <w:sz w:val="28"/>
                <w:szCs w:val="28"/>
              </w:rPr>
              <w:tab/>
              <w:t>Альтернатива дозволяє створити новий механізм співфінансування спільних прикладних наукових досліджень і науково-технічних (експериментальних) розробок на замовлення бізнесу, що підвищить якість і ефективність наукової та інноваційної діяльності, дозволить створити партнерські зв'язки між наукою, бізнесом та державою, сприятиме інтеграції нових технологій у виробничі процеси підприємств, що підвищить їх конкурентоспроможність на внутрішньому та міжнародному ринках.</w:t>
            </w:r>
          </w:p>
        </w:tc>
      </w:tr>
    </w:tbl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Оцінка обраних альтернативних способів досягнення цілей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Оцінка впливу на сферу інтересів держави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afffffff7"/>
        <w:tblW w:w="100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4252"/>
        <w:gridCol w:w="3544"/>
      </w:tblGrid>
      <w:tr w:rsidR="0085790B" w:rsidTr="005352D3"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544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Tr="005352D3"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firstLine="2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Вигоди відсутні</w:t>
            </w:r>
            <w:r>
              <w:rPr>
                <w:sz w:val="28"/>
                <w:szCs w:val="28"/>
              </w:rPr>
              <w:t xml:space="preserve">, оскільки збереження поточного регулювання фактично </w:t>
            </w:r>
            <w:r>
              <w:rPr>
                <w:sz w:val="28"/>
                <w:szCs w:val="28"/>
              </w:rPr>
              <w:lastRenderedPageBreak/>
              <w:t>призводить до залишення існуючих бар'єрів співпраці між наукою та бізнесом.</w:t>
            </w:r>
          </w:p>
        </w:tc>
        <w:tc>
          <w:tcPr>
            <w:tcW w:w="3544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4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Необхідність збільшення у майбутньому видатків державного бюджету на </w:t>
            </w:r>
            <w:r>
              <w:rPr>
                <w:sz w:val="28"/>
                <w:szCs w:val="28"/>
              </w:rPr>
              <w:lastRenderedPageBreak/>
              <w:t xml:space="preserve">фінансування наукових досліджень та науково-технічних (експериментальних) розробок, оскільки бізнес не долучатиметься до співфінансування. </w:t>
            </w:r>
          </w:p>
        </w:tc>
      </w:tr>
      <w:tr w:rsidR="0085790B" w:rsidTr="005352D3">
        <w:trPr>
          <w:trHeight w:val="1550"/>
        </w:trPr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Альтернатива 2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майбутньому це призведе до 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установ. Держава використовує кошти, вкладені у дослідження та розробки, як фінансовий важіль, який залучає значно більший обсяг приватних інвестицій у цю сферу, оскільки на кожен профінансований державою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кт, бізнес інвестує власні кошти, збільшуючи загальний обсяг фінансування інноваційної діяльності.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Успішна комерціалізація таких розробок призводить до створення нових високотехнологічних продуктів, послуг та стартапів. Це розширює податкову базу та збільшує надходження до бюджету завдяки створенню високооплачуваних робочих місць.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Окрім того, співфінансування на ранніх ризикових стадіях </w:t>
            </w:r>
            <w:r>
              <w:rPr>
                <w:sz w:val="28"/>
                <w:szCs w:val="28"/>
              </w:rPr>
              <w:lastRenderedPageBreak/>
              <w:t>зменшує залежність від імпорту високотехнологічних рішень у майбутньому.</w:t>
            </w:r>
          </w:p>
          <w:p w:rsidR="005352D3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3" w:right="136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85790B" w:rsidRDefault="005352D3">
            <w:pPr>
              <w:spacing w:line="276" w:lineRule="auto"/>
              <w:ind w:left="110" w:right="14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Потребує видатків з державного бюджету у розмірі 100 151,4 грн на рік.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</w:tr>
    </w:tbl>
    <w:p w:rsidR="0085790B" w:rsidRDefault="0085790B" w:rsidP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 w:rsidP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Оцінка впливу на сферу інтересів громадян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tbl>
      <w:tblPr>
        <w:tblStyle w:val="afffffff8"/>
        <w:tblW w:w="100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4252"/>
        <w:gridCol w:w="3576"/>
      </w:tblGrid>
      <w:tr w:rsidR="0085790B" w:rsidTr="005352D3"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576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Tr="005352D3"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right="168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Вигоди для громадян відсутні. Громадяни не користуються результатами наукових досліджень та науково-технічних (експериментальних) розробок.</w:t>
            </w:r>
          </w:p>
        </w:tc>
        <w:tc>
          <w:tcPr>
            <w:tcW w:w="3576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відсутні.</w:t>
            </w:r>
          </w:p>
        </w:tc>
      </w:tr>
      <w:tr w:rsidR="0085790B" w:rsidTr="005352D3">
        <w:tc>
          <w:tcPr>
            <w:tcW w:w="223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252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6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Створення нових високооплачуваних робочих місць у сфері досліджень, розробок та виробництва, підвищення загального рівня заробітної плати у науково-технічних галузях через зростання попиту на кваліфікацію, що створює нові кар'єрні можливості.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6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Окрім того, громадяни зможуть користуватися результатами наукових досліджень та науково-технічних (експериментальних) розробок. Державна підтримка досліджень та розробок безпосередньо призводить до створення інноваційних продуктів і послуг у ключових секторах, що має прямий вплив на якість життя.</w:t>
            </w:r>
          </w:p>
        </w:tc>
        <w:tc>
          <w:tcPr>
            <w:tcW w:w="3576" w:type="dxa"/>
          </w:tcPr>
          <w:p w:rsidR="0085790B" w:rsidRDefault="005352D3" w:rsidP="00D01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відсутні. Для громадян реалізація положень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кту акта не передбачає фінансових або адміністративних зобов’язань.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jc w:val="both"/>
        <w:rPr>
          <w:sz w:val="28"/>
          <w:szCs w:val="28"/>
        </w:rPr>
      </w:pPr>
    </w:p>
    <w:p w:rsidR="005352D3" w:rsidRDefault="005352D3" w:rsidP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1" w:hanging="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Оцінка впливу на сферу інтересів суб’єктів господарювання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ролі суб’єктів господарювання, на яких створює вплив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 акта, виступають: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616 організацій, які здійснювали наукові дослідження і розробки, у тому числі 143 організації підприємницького сектору, 344 – державного сектору, 129 – сектору вищої освіти (за даними Держстату станом на 2024 рік);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4136 інноваційно активних підприємств (за даними Держстату станом на 2024 рік);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44 наукових парків (за даними Реєстру наукових парків станом на листопад 2025 року).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даними Держстату у 2024 році кількість дослідників, задіяних у виконанні наукових досліджень і розробок, у підприємницькому секторі складала 10488 осіб, що в середньому за сектором дорівнює 74 працівникам на організацію і дозволяє їх віднести до середніх суб’єктів господарської діяльності; у державному секторі кількість дослідників, задіяних у виконанні наукових досліджень і розробок, складала 23134 осіб, що в середньому за сектором дорівнює 63 працівникам на організацію і дозволяє їх віднести до середніх суб’єктів господарської діяльності; у секторі вищої освіти кількість дослідників, задіяних у виконанні наукових досліджень і розробок, складала 9048 осіб, що в середньому за сектором дорівнює 70 працівникам на організацію і дозволяє їх віднести до середніх суб’єктів господарської діяльності.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даними Держстату за 2024 рік за кількістю зайнятих працівників від 10 до 49 осіб налічувалось 2777 інноваційно активних підприємства, що дозволяє їх віднести до суб’єктів малого підприємництва; за кількістю зайнятих працівників від 50 до 249 осіб - 914 інноваційно активних підприємства, що дозволяє їх віднести до суб’єктів середнього підприємництва; за кількістю зайнятих працівників від 250 осіб і більше - 445 інноваційно активних підприємства, що дозволяє їх віднести до суб’єктів великого підприємництва.</w:t>
      </w:r>
    </w:p>
    <w:p w:rsidR="0085790B" w:rsidRDefault="005352D3" w:rsidP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Станом на 2025 рік зареєстровано 44 наукових парків, які є юридичними особами, в яких середня кількість працівників сягає від 5 до 10 осіб, що дозволяє їх віднести до суб’єктів мікропідприємництва. 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  <w:bookmarkStart w:id="2" w:name="_heading=h.rwvzj19o87uv" w:colFirst="0" w:colLast="0"/>
      <w:bookmarkEnd w:id="2"/>
    </w:p>
    <w:tbl>
      <w:tblPr>
        <w:tblStyle w:val="afffffff9"/>
        <w:tblW w:w="9923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0"/>
        <w:gridCol w:w="1515"/>
        <w:gridCol w:w="1515"/>
        <w:gridCol w:w="1415"/>
        <w:gridCol w:w="1415"/>
        <w:gridCol w:w="1533"/>
      </w:tblGrid>
      <w:tr w:rsidR="0085790B" w:rsidTr="00CA55F9">
        <w:trPr>
          <w:jc w:val="center"/>
        </w:trPr>
        <w:tc>
          <w:tcPr>
            <w:tcW w:w="2530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Показник</w:t>
            </w:r>
          </w:p>
        </w:tc>
        <w:tc>
          <w:tcPr>
            <w:tcW w:w="1515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Великі</w:t>
            </w:r>
          </w:p>
        </w:tc>
        <w:tc>
          <w:tcPr>
            <w:tcW w:w="1515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Середні</w:t>
            </w:r>
          </w:p>
        </w:tc>
        <w:tc>
          <w:tcPr>
            <w:tcW w:w="1415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Малі</w:t>
            </w:r>
          </w:p>
        </w:tc>
        <w:tc>
          <w:tcPr>
            <w:tcW w:w="1415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Мікро</w:t>
            </w:r>
          </w:p>
        </w:tc>
        <w:tc>
          <w:tcPr>
            <w:tcW w:w="1533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>Разом</w:t>
            </w:r>
          </w:p>
        </w:tc>
      </w:tr>
      <w:tr w:rsidR="0085790B" w:rsidTr="00CA55F9">
        <w:trPr>
          <w:jc w:val="center"/>
        </w:trPr>
        <w:tc>
          <w:tcPr>
            <w:tcW w:w="2530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t xml:space="preserve">Кількість суб’єктів господарювання, </w:t>
            </w:r>
            <w:r w:rsidRPr="00CA55F9">
              <w:rPr>
                <w:b/>
                <w:bCs/>
                <w:sz w:val="28"/>
                <w:szCs w:val="28"/>
              </w:rPr>
              <w:lastRenderedPageBreak/>
              <w:t>що підпадають під дію регулювання, одиниць</w:t>
            </w:r>
          </w:p>
        </w:tc>
        <w:tc>
          <w:tcPr>
            <w:tcW w:w="15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lastRenderedPageBreak/>
              <w:t>445</w:t>
            </w:r>
          </w:p>
        </w:tc>
        <w:tc>
          <w:tcPr>
            <w:tcW w:w="15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1530</w:t>
            </w:r>
          </w:p>
        </w:tc>
        <w:tc>
          <w:tcPr>
            <w:tcW w:w="14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2777</w:t>
            </w:r>
          </w:p>
        </w:tc>
        <w:tc>
          <w:tcPr>
            <w:tcW w:w="14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44</w:t>
            </w:r>
          </w:p>
        </w:tc>
        <w:tc>
          <w:tcPr>
            <w:tcW w:w="1533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4796</w:t>
            </w:r>
          </w:p>
        </w:tc>
      </w:tr>
      <w:tr w:rsidR="0085790B" w:rsidTr="00CA55F9">
        <w:trPr>
          <w:jc w:val="center"/>
        </w:trPr>
        <w:tc>
          <w:tcPr>
            <w:tcW w:w="2530" w:type="dxa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 w:line="276" w:lineRule="auto"/>
              <w:ind w:hanging="2"/>
              <w:rPr>
                <w:sz w:val="28"/>
                <w:szCs w:val="28"/>
              </w:rPr>
            </w:pPr>
            <w:r w:rsidRPr="00CA55F9">
              <w:rPr>
                <w:b/>
                <w:bCs/>
                <w:sz w:val="28"/>
                <w:szCs w:val="28"/>
              </w:rPr>
              <w:lastRenderedPageBreak/>
              <w:t>Питома вага групи у загальній кількості, відсотків</w:t>
            </w:r>
          </w:p>
        </w:tc>
        <w:tc>
          <w:tcPr>
            <w:tcW w:w="15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9, 28%</w:t>
            </w:r>
          </w:p>
        </w:tc>
        <w:tc>
          <w:tcPr>
            <w:tcW w:w="15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31, 9 %</w:t>
            </w:r>
          </w:p>
        </w:tc>
        <w:tc>
          <w:tcPr>
            <w:tcW w:w="1415" w:type="dxa"/>
            <w:vAlign w:val="center"/>
          </w:tcPr>
          <w:p w:rsidR="0085790B" w:rsidRPr="00CA55F9" w:rsidRDefault="005352D3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57, 9 %</w:t>
            </w:r>
          </w:p>
        </w:tc>
        <w:tc>
          <w:tcPr>
            <w:tcW w:w="1415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0, 92 %</w:t>
            </w:r>
          </w:p>
        </w:tc>
        <w:tc>
          <w:tcPr>
            <w:tcW w:w="1533" w:type="dxa"/>
            <w:vAlign w:val="center"/>
          </w:tcPr>
          <w:p w:rsidR="0085790B" w:rsidRPr="00CA55F9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 w:rsidRPr="00CA55F9">
              <w:rPr>
                <w:sz w:val="28"/>
                <w:szCs w:val="28"/>
              </w:rPr>
              <w:t>100 %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tbl>
      <w:tblPr>
        <w:tblStyle w:val="afffffffa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5"/>
        <w:gridCol w:w="4410"/>
        <w:gridCol w:w="3360"/>
      </w:tblGrid>
      <w:tr w:rsidR="0085790B" w:rsidTr="00CA55F9">
        <w:tc>
          <w:tcPr>
            <w:tcW w:w="2295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41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36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90B" w:rsidTr="00CA55F9">
        <w:tc>
          <w:tcPr>
            <w:tcW w:w="2295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41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Вигоди відсутні. Суб’єкти господарювання продовжують працювати в умовах існуючого правового поля.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 w:right="158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36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5" w:right="13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 самостійно здійснюють витрати на дослідження та розробки.</w:t>
            </w:r>
          </w:p>
        </w:tc>
      </w:tr>
      <w:tr w:rsidR="0085790B" w:rsidTr="00CA55F9">
        <w:tc>
          <w:tcPr>
            <w:tcW w:w="2295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Альтернатива 2 </w:t>
            </w:r>
          </w:p>
        </w:tc>
        <w:tc>
          <w:tcPr>
            <w:tcW w:w="4410" w:type="dxa"/>
          </w:tcPr>
          <w:p w:rsidR="0085790B" w:rsidRDefault="005352D3" w:rsidP="00D0106D">
            <w:pPr>
              <w:spacing w:line="276" w:lineRule="auto"/>
              <w:ind w:left="115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 акта визначає нову процедуру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бізнесу, а також визначає умови, критерії, перелік учасників та основні етапи проведення такого конкурсного відбору. Суб’єкти господарювання отримають можливість часткового покриття витрат на дослідження та розробки.</w:t>
            </w:r>
          </w:p>
        </w:tc>
        <w:tc>
          <w:tcPr>
            <w:tcW w:w="3360" w:type="dxa"/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Прийняття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кту акта не передбачає прямих економічних витрат для суб’єктів господарювання.</w:t>
            </w:r>
          </w:p>
          <w:p w:rsidR="0085790B" w:rsidRDefault="005352D3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Ознайомлення з відповідними</w:t>
            </w:r>
          </w:p>
          <w:p w:rsidR="0085790B" w:rsidRDefault="005352D3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нормативно-правовими актами та інформування співробітників</w:t>
            </w:r>
          </w:p>
          <w:p w:rsidR="0085790B" w:rsidRDefault="005352D3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(1 особа х 1 година робочого часу х 4796 суб’єктів господарювання = 1 х 48* х 4796 = 230 208,00 грн), процедури організації виконання вимог регулювання (1 особа х 1 година робочого часу х 4796 суб’єктів господарювання = 1 х 48* </w:t>
            </w:r>
            <w:r>
              <w:rPr>
                <w:sz w:val="28"/>
                <w:szCs w:val="28"/>
              </w:rPr>
              <w:lastRenderedPageBreak/>
              <w:t>х 4796 = 230 208,00 грн), а також  підготовкою та</w:t>
            </w:r>
          </w:p>
          <w:p w:rsidR="0085790B" w:rsidRDefault="005352D3">
            <w:pPr>
              <w:spacing w:line="276" w:lineRule="auto"/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поданням звітності (1 особа х 2 години робочого часу х 4796 суб’єктів господарювання = 1 х 2 х 48* х 4796 = 460 416,00 грн).</w:t>
            </w:r>
          </w:p>
        </w:tc>
      </w:tr>
    </w:tbl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6"/>
          <w:szCs w:val="26"/>
        </w:rPr>
      </w:pPr>
      <w:r>
        <w:rPr>
          <w:sz w:val="22"/>
          <w:szCs w:val="22"/>
        </w:rPr>
        <w:lastRenderedPageBreak/>
        <w:t>* Мінімальна заробітна плата визначається Законом про Державний бюджет на відповідний рік. Так, статтею 8 Закону України «Про Державний бюджет України на 2025 рік» з 1 січня 2025 року встановлено мінімальну заробітну плату у погодинному розмірі – 48 гривень.</w:t>
      </w:r>
      <w:r>
        <w:rPr>
          <w:sz w:val="26"/>
          <w:szCs w:val="26"/>
        </w:rPr>
        <w:t xml:space="preserve"> 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Оскільки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 акта не містить норм прямої дії щодо зобов'язання суб’єктів господарювання нести додаткові витрати внаслідок дії регуляторного акта, жоден тип підприємств не підпадає під дію норм, які б прямо впливали на витрати чи обов’язки бізнесу, в тому числі суб’єктів господарювання великого і середнього підприємництва.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b/>
          <w:bCs/>
          <w:sz w:val="28"/>
          <w:szCs w:val="28"/>
        </w:rPr>
      </w:pPr>
    </w:p>
    <w:tbl>
      <w:tblPr>
        <w:tblStyle w:val="afffffffb"/>
        <w:tblW w:w="10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27"/>
        <w:gridCol w:w="5027"/>
      </w:tblGrid>
      <w:tr w:rsidR="0085790B">
        <w:tc>
          <w:tcPr>
            <w:tcW w:w="5027" w:type="dxa"/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Сумарні витрати за альтернативами </w:t>
            </w:r>
          </w:p>
        </w:tc>
        <w:tc>
          <w:tcPr>
            <w:tcW w:w="5027" w:type="dxa"/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Суми витрат, гривень</w:t>
            </w:r>
          </w:p>
        </w:tc>
      </w:tr>
      <w:tr w:rsidR="0085790B">
        <w:tc>
          <w:tcPr>
            <w:tcW w:w="5027" w:type="dxa"/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5027" w:type="dxa"/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Прямих витрат немає, але системні втрати для економіки значні, вони проявляються у вигляді упущених </w:t>
            </w:r>
            <w:proofErr w:type="spellStart"/>
            <w:r>
              <w:rPr>
                <w:sz w:val="28"/>
                <w:szCs w:val="28"/>
              </w:rPr>
              <w:t>вигод</w:t>
            </w:r>
            <w:proofErr w:type="spellEnd"/>
            <w:r>
              <w:rPr>
                <w:sz w:val="28"/>
                <w:szCs w:val="28"/>
              </w:rPr>
              <w:t>, мають непрямий характер і включають, зокрема: упущені вигоди від використання результатів досліджень та розробок; втрати інноваційного потенціалу суб’єктів господарювання; втрати для суспільства через обмеження доступу до наукових знань; зниження конкурентоспроможності суб'єктів господарювання тощо.</w:t>
            </w:r>
          </w:p>
        </w:tc>
      </w:tr>
      <w:tr w:rsidR="0085790B">
        <w:tc>
          <w:tcPr>
            <w:tcW w:w="5027" w:type="dxa"/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5027" w:type="dxa"/>
          </w:tcPr>
          <w:p w:rsidR="0085790B" w:rsidRDefault="005352D3">
            <w:pPr>
              <w:spacing w:line="276" w:lineRule="auto"/>
              <w:ind w:left="1" w:right="158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Прийняття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r>
              <w:rPr>
                <w:sz w:val="28"/>
                <w:szCs w:val="28"/>
              </w:rPr>
              <w:t>кту акта не передбачає прямих економічних витрат для суб’єктів господарювання.</w:t>
            </w:r>
          </w:p>
          <w:p w:rsidR="0085790B" w:rsidRDefault="005352D3">
            <w:pPr>
              <w:spacing w:line="276" w:lineRule="auto"/>
              <w:ind w:left="1" w:right="158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Ознайомлення з відповідними нормативно-правовими актами та </w:t>
            </w:r>
            <w:r>
              <w:rPr>
                <w:sz w:val="28"/>
                <w:szCs w:val="28"/>
              </w:rPr>
              <w:lastRenderedPageBreak/>
              <w:t>інформування співробітників (1 особа х 1 година робочого часу х 1975 суб’єктів середнього та великого підприємництва = 1 х 48* х 1975 = 94 800,00 грн), процедури організації виконання вимог регулювання (1 особа х 1 година робочого часу х 1975 суб’єктів середнього та великого підприємництва = 1 х 48* х 1975 = 94 800,00 грн), а також  підготовкою та поданням звітності (1 особа х 2 години робочого часу х 1975 суб’єктів середнього та великого підприємництва = 1 х 2 х 48* х 1975 = 189 600,00 грн).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1" w:firstLine="0"/>
        <w:rPr>
          <w:sz w:val="28"/>
          <w:szCs w:val="28"/>
        </w:rPr>
      </w:pPr>
    </w:p>
    <w:p w:rsidR="0085790B" w:rsidRDefault="005352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Вибір найбільш оптимального альтернативного способу досягнення цілей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afffffffc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2700"/>
        <w:gridCol w:w="4993"/>
      </w:tblGrid>
      <w:tr w:rsidR="0085790B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Рейтинг результативності (досягнення цілей під час вирішення проблеми)</w:t>
            </w: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 результативності (за чотирибальною системою оцінки)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Коментарі щодо присвоєння відповідного </w:t>
            </w:r>
            <w:proofErr w:type="spellStart"/>
            <w:r>
              <w:rPr>
                <w:b/>
                <w:bCs/>
                <w:sz w:val="28"/>
                <w:szCs w:val="28"/>
              </w:rPr>
              <w:t>бала</w:t>
            </w:r>
            <w:proofErr w:type="spellEnd"/>
          </w:p>
        </w:tc>
      </w:tr>
      <w:tr w:rsidR="0085790B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Альтернатива не дозволяє вирішити проблему: </w:t>
            </w:r>
            <w:r>
              <w:rPr>
                <w:sz w:val="28"/>
                <w:szCs w:val="28"/>
              </w:rPr>
              <w:t>відсутні дієві механізми співпраці між наукою та бізнесом, а також відсутні механізми стимулювання бізнесу до співпраці з закладами вищої освіти та науковими установами.</w:t>
            </w:r>
          </w:p>
        </w:tc>
      </w:tr>
      <w:tr w:rsidR="0085790B" w:rsidTr="00CA55F9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повністю відповідає задекларованим цілям.</w:t>
            </w:r>
            <w:r>
              <w:rPr>
                <w:sz w:val="28"/>
                <w:szCs w:val="28"/>
              </w:rPr>
              <w:t xml:space="preserve"> Дана альтернатива вирішує описану проблематику та дозволить створити новий механізм співфінансування спільних прикладних наукових </w:t>
            </w:r>
            <w:r>
              <w:rPr>
                <w:sz w:val="28"/>
                <w:szCs w:val="28"/>
              </w:rPr>
              <w:lastRenderedPageBreak/>
              <w:t>досліджень і науково-технічних (експериментальних) розробок на замовлення бізнесу, що підвищить якість і ефективність наукової та інноваційної діяльності, дозволить створити партнерські зв'язки між наукою, бізнесом та державою, сприятиме інтеграції нових технологій у виробничі процеси підприємств, що підвищить їх конкурентоспроможність на внутрішньому та міжнародному ринках.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afffffffd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2268"/>
        <w:gridCol w:w="2310"/>
        <w:gridCol w:w="3077"/>
      </w:tblGrid>
      <w:tr w:rsidR="0085790B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Рейтинг результативності</w:t>
            </w: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 (підсумок)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 (підсумок)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Обґрунтування відповідного місця альтернативи у рейтингу</w:t>
            </w:r>
          </w:p>
        </w:tc>
      </w:tr>
      <w:tr w:rsidR="0085790B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держави</w:t>
            </w:r>
            <w:r>
              <w:rPr>
                <w:sz w:val="28"/>
                <w:szCs w:val="28"/>
              </w:rPr>
              <w:t xml:space="preserve"> - 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установ, а також за рахунок </w:t>
            </w:r>
            <w:r>
              <w:rPr>
                <w:sz w:val="28"/>
                <w:szCs w:val="28"/>
              </w:rPr>
              <w:lastRenderedPageBreak/>
              <w:t>податкових надходжень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 xml:space="preserve">Створення нових високооплачуваних робочих місць, нові кар'єрні можливості, а також можливості 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користуватися результатами наукових досліджень та науково-технічних (експериментальних) розробок.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i/>
                <w:iCs/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господарювання:</w:t>
            </w: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 отримають можливість часткового покриття витрат на дослідження та розробки.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держави: </w:t>
            </w:r>
            <w:r>
              <w:rPr>
                <w:sz w:val="28"/>
                <w:szCs w:val="28"/>
              </w:rPr>
              <w:t>Потребує видатків з державного бюджету у розмірі 100 151,4 грн на рік.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CA55F9" w:rsidRDefault="00CA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>не передбачено.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</w:pPr>
            <w:r>
              <w:t xml:space="preserve">     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при підготовці та поданні документів на конкурс, а також інші адміністративні витрати.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 разі прийняття акта задекларовані цілі будуть досягнуті повною мірою, що повністю забезпечує вирішення проблем.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w:rsidR="0085790B" w:rsidTr="00CA55F9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Альтернатива 1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>
              <w:rPr>
                <w:sz w:val="28"/>
                <w:szCs w:val="28"/>
              </w:rPr>
              <w:t>відсутні.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громадян: </w:t>
            </w:r>
            <w:r>
              <w:rPr>
                <w:sz w:val="28"/>
                <w:szCs w:val="28"/>
              </w:rPr>
              <w:t>без змін.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</w:t>
            </w:r>
            <w:r>
              <w:rPr>
                <w:sz w:val="28"/>
                <w:szCs w:val="28"/>
              </w:rPr>
              <w:t>відсутні.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держави: </w:t>
            </w:r>
            <w:r>
              <w:rPr>
                <w:sz w:val="28"/>
                <w:szCs w:val="28"/>
              </w:rPr>
              <w:t>без змін.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громадян: </w:t>
            </w:r>
            <w:r>
              <w:rPr>
                <w:sz w:val="28"/>
                <w:szCs w:val="28"/>
              </w:rPr>
              <w:t>без змін.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 </w:t>
            </w:r>
            <w:r>
              <w:rPr>
                <w:sz w:val="28"/>
                <w:szCs w:val="28"/>
              </w:rPr>
              <w:t>без змін.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 разі залишення наявної ситуації без змін проблеми продовжуватимуть </w:t>
            </w:r>
            <w:r>
              <w:rPr>
                <w:sz w:val="28"/>
                <w:szCs w:val="28"/>
              </w:rPr>
              <w:lastRenderedPageBreak/>
              <w:t>існувати, що не забезпечує досягнення визначених цілей.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afffffffe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3120"/>
        <w:gridCol w:w="3163"/>
      </w:tblGrid>
      <w:tr w:rsidR="0085790B" w:rsidTr="00CA55F9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Рейтинг</w:t>
            </w: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Оцінка ризику зовнішніх чинників на дію запропонованого регуляторного акта</w:t>
            </w:r>
          </w:p>
        </w:tc>
      </w:tr>
      <w:tr w:rsidR="0085790B" w:rsidTr="00CA55F9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85790B" w:rsidRDefault="00857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Альтернатива є прийнятною, оскільки вирішення вказаних проблем дасть можливість досягнути збільшення надходжень до Державного бюджету України за рахунок інвестицій, створення нових робочих місць тощо, винаходу на ринок нових інноваційних продуктів та технологій, участь у глобальних ланцюгах створення доданої вартості, зростання частки високотехнологічної продукції в експорті, зменшення залежності від імпорту технологій і зміцнення технологічного </w:t>
            </w:r>
            <w:r>
              <w:rPr>
                <w:sz w:val="28"/>
                <w:szCs w:val="28"/>
              </w:rPr>
              <w:lastRenderedPageBreak/>
              <w:t>суверенітету інвестування бізнесу  у   R&amp;D-проекти, стартапи, венчурні фонди, підвищення продуктивності праці та енергоефективності виробництв, підвищення конкурентоспроможності підприємств тощо.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Відсутній.</w:t>
            </w:r>
          </w:p>
        </w:tc>
      </w:tr>
      <w:tr w:rsidR="0085790B" w:rsidTr="00CA55F9">
        <w:trPr>
          <w:trHeight w:val="2244"/>
        </w:trPr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Альтернатива 1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є неприйнятною, оскільки залишається значна кількість проблем, які не вирішуються,   Україна залишається країною у якої показник інноваційної діяльності  нижче середнього серед європейських країн.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Стагнація наукової та інноваційної діяльності.</w:t>
            </w:r>
          </w:p>
        </w:tc>
      </w:tr>
    </w:tbl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чином, оптимальним варіантом є Альтернатива 2 — ухвалення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кту регуляторного акта у запропонованій редакції, яка забезпечує правову визначеність, ефективність та відповідність чинному законодавству.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85790B" w:rsidRDefault="005352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Механізми та заходи, які забезпечать розв’язання визначеної проблеми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Механізми, які забезпечать розв’язання проблеми:</w:t>
      </w: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Механізмом, який забезпечує розв’язання визначеної проблеми, є прийняття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бізнесу», що забезпечить проведення експериментального проекту щодо конкурсного відбору спільних прикладних наукових досліджень і науково-технічних (експериментальних) розробок закладів вищої освіти, наукових установ та підприємств, організацій реального сектору </w:t>
      </w:r>
      <w:r>
        <w:rPr>
          <w:sz w:val="28"/>
          <w:szCs w:val="28"/>
        </w:rPr>
        <w:lastRenderedPageBreak/>
        <w:t>економіки (далі - конкурс), які отримують фінансову підтримку на умовах співфінансування, для створення партнерських зв'язків між наукою, бізнесом та державою, інтеграції нових технологій у виробничі процеси підприємств, що підвищить їх конкурентоспроможність на внутрішньому та міжнародному ринках.</w:t>
      </w: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Механізми реалізації передбачають:</w:t>
      </w:r>
    </w:p>
    <w:p w:rsidR="0085790B" w:rsidRDefault="005352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реалізацію експериментального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Default="005352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визначення процедури проведення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Default="005352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визначення умов, критеріїв, переліку учасників та основних етапів проведення конкурсного відбору спільних прикладних наукових досліджень і науково-технічних (експериментальних) розробок на замовлення бізнесу;</w:t>
      </w:r>
    </w:p>
    <w:p w:rsidR="0085790B" w:rsidRDefault="005352D3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створення нового механізму співфінансування спільних прикладних наукових досліджень і науково-технічних (експериментальних) розробок на замовлення бізнесу.</w:t>
      </w: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Організаційні заходи для впровадження регулювання: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Прийняття та оприлюднення регуляторного акту у встановленому порядку забезпечить доведення їх вимог до відома суб’єктів господарювання, органів виконавчої влади та органів місцевого самоврядування.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Прийняття проекту акту забезпечує досягнення визначених цілей та сприятиме поліпшенню регуляторного середовища та інвестиційного клімату в Україні. 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Заходи, які необхідно здійснити суб’єктам господарювання: </w:t>
      </w:r>
      <w:r>
        <w:rPr>
          <w:sz w:val="28"/>
          <w:szCs w:val="28"/>
        </w:rPr>
        <w:t>ознайомитися з порядком проведення конкурсного відбору спільних прикладних наукових досліджень і науково-технічних (експериментальних) розробок закладів вищої освіти, наукових установ та підприємств, організацій реального сектору економіки, та у випадку зацікавленості заповнити та подати заявку на участь у конкурсному відборі.</w:t>
      </w:r>
    </w:p>
    <w:p w:rsidR="0085790B" w:rsidRDefault="005352D3" w:rsidP="00113A8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70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Оцінка виконання вимог регуляторного акта залежно від ресурсів, якими розпоряджаються органи виконавчої влади чи органи місцевого самоврядування, фізичні та юридичні особи, які повинні впроваджувати або виконувати ці вимоги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Реалізація регуляторного акта потребуватиме додаткових бюджетних витрат і ресурсів.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Державне регулювання не передбачає утворення нового державного органу (або нового структурного підрозділу діючого органу).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bookmarkStart w:id="3" w:name="_heading=h.4d34og8" w:colFirst="0" w:colLast="0"/>
      <w:bookmarkEnd w:id="3"/>
      <w:r>
        <w:rPr>
          <w:sz w:val="28"/>
          <w:szCs w:val="28"/>
        </w:rPr>
        <w:t>Проведено розрахунок витрат суб’єктів малого підприємництва на виконання вимог регулювання (Тест малого підприємництва) (Додаток 1 до Аналізу регуляторного впливу).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bookmarkStart w:id="4" w:name="_heading=h.t681byupr9bs" w:colFirst="0" w:colLast="0"/>
      <w:bookmarkEnd w:id="4"/>
      <w:r>
        <w:rPr>
          <w:sz w:val="28"/>
          <w:szCs w:val="28"/>
        </w:rPr>
        <w:t>Розрахунок витрат на одного суб’єкта господарювання середнього підприємництва, проведено в рамках даного аналізу (Додаток 2 до Методики проведення аналізу впливу регуляторного акта).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Можлива шкода у разі очікуваних наслідків дії акта не прогнозується.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VII. Обґрунтування запропонованого строку дії регуляторного акта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 дії регуляторного акта визначається на два роки, з огляду на тривалість реалізації експериментального проекту. 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Після завершення реалізації експериментального проекту визначено необхідність протягом двох місяців подати Кабінету Міністрів України звіт про його реалізацію, а також пропозиції щодо внесення змін у законодавчі акти за результатами його реалізації.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Враховуючи його актуальність, регуляторний акт набирає чинності з дня, наступного за днем його опублікування.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VIII. Визначення показників результативності дії регуляторного акта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bookmarkStart w:id="5" w:name="_heading=h.2s8eyo1" w:colFirst="0" w:colLast="0"/>
      <w:bookmarkEnd w:id="5"/>
      <w:r>
        <w:rPr>
          <w:sz w:val="28"/>
          <w:szCs w:val="28"/>
          <w:u w:val="single"/>
        </w:rPr>
        <w:t>Прогнозованими показниками  результативності регуляторного акта є: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розмір надходжень до державного та місцевих бюджетів і державних  цільових фондів, пов’язаних з дією акта – не прогнозується;</w:t>
      </w:r>
    </w:p>
    <w:p w:rsidR="0085790B" w:rsidRDefault="005352D3">
      <w:pPr>
        <w:spacing w:line="276" w:lineRule="auto"/>
        <w:ind w:left="1" w:right="158"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розмір коштів і час, що витрачатимуться суб’єктами господарювання, пов’язані з виконанням вимог акта – відсутні обов’язкові витрати, реалізація положень здійснюється в межах існуючих процесів, ознайомлення з відповідними нормативно-правовими актами та інформування співробітників (1 особа х 1 година робочого часу х 4796 суб’єктів господарювання = 1 х 48* х 4796 = 230 208,00 грн), процедури організації виконання вимог регулювання (1 особа х 1 година робочого часу х 4796 суб’єктів господарювання = 1 х 48* х 4796 = 230 208,00 грн), а також  підготовкою та поданням звітності (1 особа х 2 години робочого часу х 4796 суб’єктів господарювання = 1 х 2 х 48* х 4796 = 460 416,00 грн);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кількість суб’єктів господарювання та/або фізичних осіб, на яких поширюватиметься дія акта – 4796;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рівень поінформованості суб’єктів господарювання з основних положень акта –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>кт акта, аналіз регуляторного впливу та супровідні матеріали оприлюднено на офіційному вебсайті Міністерства освіти і науки України (</w:t>
      </w:r>
      <w:hyperlink r:id="rId8">
        <w:r>
          <w:rPr>
            <w:sz w:val="28"/>
            <w:szCs w:val="28"/>
          </w:rPr>
          <w:t>www.mon.gov.ua</w:t>
        </w:r>
      </w:hyperlink>
      <w:r>
        <w:rPr>
          <w:sz w:val="28"/>
          <w:szCs w:val="28"/>
        </w:rPr>
        <w:t>), про</w:t>
      </w:r>
      <w:r w:rsidR="00D0106D"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кт акта було обговорено з представниками наукової та бізнес-спільноти, а також іншими заінтересованими сторонами. 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Додатковими показниками результативності будуть: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частка інноваційно активних підприємств у загальній кількості підприємств;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частка реалізованої інноваційної продукції в загальному обсязі реалізованої промислової продукції;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частка підприємств, що впроваджують нову або значно вдосконалену продукцію;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частка витрат на дослідження та розробки як відсоток до ВВП;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місце України у світових рейтингах, пов’язаних з інноваціями, зокрема показників «Інновації» та «Технологічна готовність» Індексу глобальної конкурентоспроможності Всесвітнього економічного форуму, Глобального інноваційного індексу, в  Європейському інноваційному табло, Індексі людського розвитку та у рейтингах </w:t>
      </w:r>
      <w:proofErr w:type="spellStart"/>
      <w:r>
        <w:rPr>
          <w:sz w:val="28"/>
          <w:szCs w:val="28"/>
        </w:rPr>
        <w:t>Doing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Business</w:t>
      </w:r>
      <w:proofErr w:type="spellEnd"/>
      <w:r>
        <w:rPr>
          <w:sz w:val="28"/>
          <w:szCs w:val="28"/>
        </w:rPr>
        <w:t xml:space="preserve">, ICT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Index</w:t>
      </w:r>
      <w:proofErr w:type="spellEnd"/>
      <w:r>
        <w:rPr>
          <w:sz w:val="28"/>
          <w:szCs w:val="28"/>
        </w:rPr>
        <w:t>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Після прийняття регуляторного акта його буде розміщено на офіційному вебсайті Міністерства освіти і науки України.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IX. Визначення заходів, за допомогою яких здійснюватиметься відстеження результативності дії регуляторного акта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Відстеження результативності дії регуляторного акта буде проводитися Міністерством освіти і науки України за допомогою заходів, спрямованих на оцінку стану впровадження регуляторного акта, шляхом аналізу статистичних даних.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Базове відстеження результативності буде проведено до дня набрання чинності цим регуляторним актом.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Повторне відстеження планується здійснити через рік з дня набрання чинності регуляторним актом, в результаті якого відбудеться порівняння показників базового та повторного відстеження.</w:t>
      </w:r>
    </w:p>
    <w:p w:rsidR="0085790B" w:rsidRDefault="005352D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Метод проведення відстеження результативності – статистичний.</w:t>
      </w:r>
    </w:p>
    <w:p w:rsidR="0085790B" w:rsidRDefault="008579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sz w:val="28"/>
          <w:szCs w:val="28"/>
        </w:rPr>
      </w:pPr>
    </w:p>
    <w:p w:rsidR="0085790B" w:rsidRDefault="005352D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Міністр освіти і науки  України                                                  Оксен ЛІСОВИЙ </w:t>
      </w:r>
    </w:p>
    <w:p w:rsidR="0085790B" w:rsidRDefault="008579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both"/>
        <w:rPr>
          <w:b/>
          <w:bCs/>
          <w:sz w:val="28"/>
          <w:szCs w:val="28"/>
        </w:rPr>
        <w:sectPr w:rsidR="0085790B">
          <w:headerReference w:type="even" r:id="rId9"/>
          <w:headerReference w:type="default" r:id="rId10"/>
          <w:footerReference w:type="even" r:id="rId11"/>
          <w:footerReference w:type="default" r:id="rId12"/>
          <w:pgSz w:w="11907" w:h="16840"/>
          <w:pgMar w:top="1134" w:right="567" w:bottom="1701" w:left="1276" w:header="454" w:footer="788" w:gutter="0"/>
          <w:pgNumType w:start="1"/>
          <w:cols w:space="720"/>
          <w:titlePg/>
        </w:sectPr>
      </w:pPr>
    </w:p>
    <w:p w:rsidR="0085790B" w:rsidRDefault="005352D3" w:rsidP="005352D3">
      <w:pPr>
        <w:spacing w:line="276" w:lineRule="auto"/>
        <w:ind w:left="432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Додаток 1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про</w:t>
      </w:r>
      <w:r w:rsidR="00D0106D">
        <w:rPr>
          <w:sz w:val="24"/>
          <w:szCs w:val="24"/>
          <w:lang w:val="uk-UA"/>
        </w:rPr>
        <w:t>е</w:t>
      </w:r>
      <w:r>
        <w:rPr>
          <w:sz w:val="24"/>
          <w:szCs w:val="24"/>
        </w:rPr>
        <w:t xml:space="preserve"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</w:t>
      </w:r>
    </w:p>
    <w:p w:rsidR="0085790B" w:rsidRDefault="005352D3">
      <w:pPr>
        <w:spacing w:line="276" w:lineRule="auto"/>
        <w:ind w:left="5040" w:firstLine="0"/>
        <w:rPr>
          <w:sz w:val="28"/>
          <w:szCs w:val="28"/>
        </w:rPr>
      </w:pPr>
      <w:r>
        <w:rPr>
          <w:sz w:val="24"/>
          <w:szCs w:val="24"/>
        </w:rPr>
        <w:t>(експериментальних) розробок на замовлення бізнесу»</w:t>
      </w:r>
      <w:r>
        <w:rPr>
          <w:sz w:val="28"/>
          <w:szCs w:val="28"/>
        </w:rPr>
        <w:br/>
      </w: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 1</w:t>
      </w: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малого підприємництва (М-Тест)</w:t>
      </w:r>
    </w:p>
    <w:p w:rsidR="0085790B" w:rsidRDefault="0085790B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</w:p>
    <w:p w:rsidR="0085790B" w:rsidRDefault="005352D3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Консультації з представниками мікро– та малого підприємництва щодо </w:t>
      </w:r>
      <w:r>
        <w:t xml:space="preserve">     </w:t>
      </w:r>
      <w:r>
        <w:rPr>
          <w:sz w:val="28"/>
          <w:szCs w:val="28"/>
        </w:rPr>
        <w:t>оцінки впливу регулювання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Консультації щодо визначення впливу запропонованого регулювання для суб’єктів малого підприємництва та визначення переліку процедур, виконання яких необхідно для здійснення регулювання, проведено розробником 12.11.2025 року.</w:t>
      </w:r>
    </w:p>
    <w:p w:rsidR="0085790B" w:rsidRDefault="0085790B">
      <w:pPr>
        <w:spacing w:line="276" w:lineRule="auto"/>
        <w:ind w:firstLine="720"/>
        <w:jc w:val="both"/>
        <w:rPr>
          <w:sz w:val="28"/>
          <w:szCs w:val="28"/>
        </w:rPr>
      </w:pPr>
    </w:p>
    <w:tbl>
      <w:tblPr>
        <w:tblStyle w:val="affffffff"/>
        <w:tblW w:w="9923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82"/>
        <w:gridCol w:w="3480"/>
        <w:gridCol w:w="1935"/>
        <w:gridCol w:w="3126"/>
      </w:tblGrid>
      <w:tr w:rsidR="0085790B" w:rsidTr="00CA55F9">
        <w:trPr>
          <w:trHeight w:val="973"/>
        </w:trPr>
        <w:tc>
          <w:tcPr>
            <w:tcW w:w="13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hanging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учасників консультацій, осіб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Основні результати консультацій (опис)</w:t>
            </w:r>
          </w:p>
        </w:tc>
      </w:tr>
      <w:tr w:rsidR="0085790B" w:rsidTr="00CA55F9">
        <w:trPr>
          <w:trHeight w:val="1477"/>
        </w:trPr>
        <w:tc>
          <w:tcPr>
            <w:tcW w:w="13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Круглий стіл «</w:t>
            </w:r>
            <w:proofErr w:type="spellStart"/>
            <w:r>
              <w:rPr>
                <w:sz w:val="28"/>
                <w:szCs w:val="28"/>
              </w:rPr>
              <w:t>Science.City</w:t>
            </w:r>
            <w:proofErr w:type="spellEnd"/>
            <w:r>
              <w:rPr>
                <w:sz w:val="28"/>
                <w:szCs w:val="28"/>
              </w:rPr>
              <w:t xml:space="preserve"> та Бізнес-замовлення — нові моделі науково-бізнесової співпраці» та стратегічна сесія «Партнерство науки, бізнесу та держави у сфері R&amp;D».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3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Регулювання підтримується та вважається доцільним. Напрацьовано ефективну модель співфінансування R&amp;D про</w:t>
            </w:r>
            <w:r w:rsidR="00D0106D">
              <w:rPr>
                <w:sz w:val="28"/>
                <w:szCs w:val="28"/>
                <w:lang w:val="uk-UA"/>
              </w:rPr>
              <w:t>е</w:t>
            </w:r>
            <w:proofErr w:type="spellStart"/>
            <w:r>
              <w:rPr>
                <w:sz w:val="28"/>
                <w:szCs w:val="28"/>
              </w:rPr>
              <w:t>ктів</w:t>
            </w:r>
            <w:proofErr w:type="spellEnd"/>
            <w:r>
              <w:rPr>
                <w:sz w:val="28"/>
                <w:szCs w:val="28"/>
              </w:rPr>
              <w:t xml:space="preserve"> науки та бізнесу, обговорено </w:t>
            </w:r>
            <w:r>
              <w:rPr>
                <w:sz w:val="28"/>
                <w:szCs w:val="28"/>
              </w:rPr>
              <w:lastRenderedPageBreak/>
              <w:t>процедуру проведення конкурсу.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Отримано інформацію щодо переліку процедур, які необхідно виконати у зв’язку із запровадженням нового регулювання: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ознайомитися з новим регулюванням - 1 год; забезпечити процедуру організації виконання вимог регулювання - 1 год; 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забезпечити процедуру офіційного звітування - 2 год.</w:t>
            </w:r>
          </w:p>
        </w:tc>
      </w:tr>
    </w:tbl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 w:rsidP="00CA55F9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2. Вимірювання впливу регулювання на суб’єктів малого підприємництва (мікро- та малі):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Кількість суб'єктів малого (мікро) підприємництва, на яких поширюється регулювання – 2821, у тому числі 2777 суб'єктів малого підприємництва та 44 суб'єктів мікропідприємництва.</w:t>
      </w:r>
    </w:p>
    <w:p w:rsidR="0085790B" w:rsidRDefault="005352D3">
      <w:pPr>
        <w:spacing w:line="276" w:lineRule="auto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Питома вага суб'єктів малого підприємництва у загальній кількості суб'єктів господарювання, на яких проблема справляє вплив - 58, 82 % (57, 9 % - суб'єкти малого підприємництва та 0,92 % - суб'єкти мікропідприємництва).</w:t>
      </w:r>
    </w:p>
    <w:p w:rsidR="0085790B" w:rsidRDefault="0085790B">
      <w:pPr>
        <w:spacing w:line="276" w:lineRule="auto"/>
        <w:ind w:firstLine="0"/>
        <w:jc w:val="both"/>
        <w:rPr>
          <w:sz w:val="28"/>
          <w:szCs w:val="28"/>
        </w:rPr>
      </w:pPr>
    </w:p>
    <w:p w:rsidR="0085790B" w:rsidRDefault="005352D3" w:rsidP="00CA55F9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3. Розрахунок витрат суб’єкта малого підприємництва</w:t>
      </w:r>
      <w:r w:rsidR="00CA55F9">
        <w:rPr>
          <w:sz w:val="28"/>
          <w:szCs w:val="28"/>
        </w:rPr>
        <w:t xml:space="preserve"> на виконання вимог регулювання</w:t>
      </w:r>
    </w:p>
    <w:p w:rsidR="0085790B" w:rsidRDefault="005352D3">
      <w:pPr>
        <w:spacing w:line="276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розрахунку вартості 1 години роботи використано вартість 1 години роботи, яка відповідно до Закону України «Про Державний бюджет України на 2025 рік», з 1 січня 2025 року становить – 48 грн.</w:t>
      </w:r>
      <w:r>
        <w:rPr>
          <w:sz w:val="28"/>
          <w:szCs w:val="28"/>
          <w:vertAlign w:val="superscript"/>
        </w:rPr>
        <w:footnoteReference w:id="1"/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Ознайомлення з відповідними нормативно-правовими актами та інформування співробітників (1 особа х 1 година робочого часу х 2821 суб’єктів </w:t>
      </w:r>
      <w:r>
        <w:rPr>
          <w:sz w:val="28"/>
          <w:szCs w:val="28"/>
        </w:rPr>
        <w:lastRenderedPageBreak/>
        <w:t>малого та мікропідприємництва = 1 х 48* х 2821 = 135 408,00 грн), процедури організації виконання вимог регулювання (1 особа х 1 година робочого часу х 2821 суб’єктів малого та мікропідприємництва = 1 х 48* х 2821 = 135 408,00 грн), а також  підготовкою та поданням звітності (1 особа х 2 години робочого часу х 2821 суб’єктів малого та мікропідприємництва = 1 х 2 х 48* х 2821 = 270 816,00 грн).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Первинна інформація про вимоги регулювання може бути отримана за результатами пошуку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(експериментальних) розробок на замовлення бізнесу» на офіційному вебсайті Міністерства освіти та науки України.</w:t>
      </w: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Інформація про обсяг часу, який витрачається суб’єктами на отримання зазначеної інформації є оціночною.</w:t>
      </w: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5790B" w:rsidRDefault="005352D3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Розрахунок витрат суб’єктів малого підприємництва на виконання вимог регулювання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tbl>
      <w:tblPr>
        <w:tblStyle w:val="affffffff0"/>
        <w:tblW w:w="9923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69"/>
        <w:gridCol w:w="2428"/>
        <w:gridCol w:w="2295"/>
        <w:gridCol w:w="105"/>
        <w:gridCol w:w="1740"/>
        <w:gridCol w:w="105"/>
        <w:gridCol w:w="2081"/>
      </w:tblGrid>
      <w:tr w:rsidR="0085790B" w:rsidTr="00CA55F9">
        <w:trPr>
          <w:trHeight w:val="134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Найменування оцінки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перший рік (стартовий рік впровадження регулювання)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</w:t>
            </w:r>
          </w:p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п’ять років</w:t>
            </w:r>
          </w:p>
        </w:tc>
      </w:tr>
      <w:tr w:rsidR="0085790B" w:rsidTr="00CA55F9">
        <w:trPr>
          <w:trHeight w:val="770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85790B" w:rsidTr="00CA55F9">
        <w:trPr>
          <w:trHeight w:val="75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Придбання необхідного обладнання (пристроїв, машин, механізмів)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881"/>
        </w:trPr>
        <w:tc>
          <w:tcPr>
            <w:tcW w:w="11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Процедури повірки та/або постановки на відповідний облік у визначеному органі державної влади чи </w:t>
            </w:r>
            <w:r>
              <w:rPr>
                <w:sz w:val="28"/>
                <w:szCs w:val="28"/>
              </w:rPr>
              <w:lastRenderedPageBreak/>
              <w:t>місцевого самоврядування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5790B" w:rsidTr="00CA55F9">
        <w:trPr>
          <w:trHeight w:val="105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експлуатації обладнання (експлуатаційні витрати - витратні матеріали)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105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обслуговування обладнання (технічне обслуговування)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50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процедури: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123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Разом, гривень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(сума рядків 1 + 2 + 3 + 4 + 5)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134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суб’єктів господарювання, що повинні виконати вимоги регулювання, одиниць.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85790B" w:rsidTr="00CA55F9">
        <w:trPr>
          <w:trHeight w:val="2660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Сумарно, гривень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відповідний стовпчик «разом» Х  кількість суб’єктів малого підприємництва, що повинні виконати вимоги </w:t>
            </w:r>
            <w:r>
              <w:rPr>
                <w:sz w:val="28"/>
                <w:szCs w:val="28"/>
              </w:rPr>
              <w:lastRenderedPageBreak/>
              <w:t>регулювання (рядок 6 Х рядок 7)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</w:tbl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 w:rsidP="00CA55F9">
      <w:pPr>
        <w:spacing w:line="276" w:lineRule="auto"/>
        <w:ind w:hanging="2"/>
        <w:jc w:val="center"/>
        <w:rPr>
          <w:sz w:val="28"/>
          <w:szCs w:val="28"/>
        </w:rPr>
      </w:pPr>
      <w:r>
        <w:rPr>
          <w:sz w:val="28"/>
          <w:szCs w:val="28"/>
        </w:rPr>
        <w:t>Оцінка вартості адміністративних процедур суб’єктів малого підприємництва щодо виконання регулювання та звітування</w:t>
      </w:r>
    </w:p>
    <w:p w:rsidR="0085790B" w:rsidRDefault="0085790B">
      <w:pPr>
        <w:spacing w:line="276" w:lineRule="auto"/>
        <w:ind w:hanging="2"/>
        <w:jc w:val="center"/>
        <w:rPr>
          <w:b/>
          <w:bCs/>
          <w:sz w:val="28"/>
          <w:szCs w:val="28"/>
        </w:rPr>
      </w:pPr>
    </w:p>
    <w:tbl>
      <w:tblPr>
        <w:tblStyle w:val="affffffff1"/>
        <w:tblW w:w="9928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135"/>
        <w:gridCol w:w="2010"/>
        <w:gridCol w:w="1770"/>
        <w:gridCol w:w="1693"/>
      </w:tblGrid>
      <w:tr w:rsidR="0085790B" w:rsidTr="00CA55F9">
        <w:trPr>
          <w:trHeight w:val="352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отримання первинної інформації про вимоги регулювання</w:t>
            </w:r>
          </w:p>
          <w:p w:rsidR="0085790B" w:rsidRDefault="005352D3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85790B" w:rsidRDefault="005352D3">
            <w:pPr>
              <w:spacing w:line="276" w:lineRule="auto"/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часу на отримання інформації про регулювання Х вартість часу суб’єкта малого підприємництва (заробітна плата) Х оціночна кількість форм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 (час, який витрачається с/г на пошук нормативно-правового акту в мережі Інтернет та ознайомлення з ним; за результатами консультацій) Х 48 грн = 48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консультацій)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 w:rsidP="00CA55F9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грн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85790B" w:rsidTr="00CA55F9">
        <w:trPr>
          <w:trHeight w:val="4260"/>
        </w:trPr>
        <w:tc>
          <w:tcPr>
            <w:tcW w:w="13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організації виконання вимог регулювання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 часу на розроблення та впровадження внутрішніх для суб’єкта малого підприємництва процедур на впровадження вимог регулювання Х вартість </w:t>
            </w:r>
            <w:r>
              <w:rPr>
                <w:sz w:val="28"/>
                <w:szCs w:val="28"/>
              </w:rPr>
              <w:lastRenderedPageBreak/>
              <w:t>часу суб’єкта малого підприємництва (заробітна плата) Х оціночна кількість внутрішніх процедур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 год (час, який витрачається с/г на подання декларації; за результатами консультацій) Х 48 грн = 48 грн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(припущено, що суб’єкт повинен виконувати вимоги регулювання лише в перший рік; за результатами </w:t>
            </w:r>
            <w:r>
              <w:rPr>
                <w:sz w:val="28"/>
                <w:szCs w:val="28"/>
              </w:rPr>
              <w:lastRenderedPageBreak/>
              <w:t>консультацій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48 грн</w:t>
            </w:r>
          </w:p>
        </w:tc>
      </w:tr>
      <w:tr w:rsidR="0085790B" w:rsidTr="00CA55F9">
        <w:trPr>
          <w:trHeight w:val="77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офіційного звітування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 (час, який витрачається с/г на подання декларації; за результатами консультацій) Х 48 грн=96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 грн</w:t>
            </w:r>
          </w:p>
        </w:tc>
      </w:tr>
      <w:tr w:rsidR="0085790B" w:rsidTr="00CA55F9">
        <w:trPr>
          <w:trHeight w:val="105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щодо забезпечення процесу перевірок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5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процедури: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CA55F9">
        <w:trPr>
          <w:trHeight w:val="42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Разом, гривень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85790B" w:rsidTr="00CA55F9">
        <w:trPr>
          <w:trHeight w:val="134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суб’єктів малого підприємництва, що повинні виконати вимоги регулювання, одиниць.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85790B" w:rsidTr="00CA55F9">
        <w:trPr>
          <w:trHeight w:val="48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16.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Сумарно, гривень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85790B" w:rsidRDefault="0085790B">
      <w:pP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p w:rsidR="0085790B" w:rsidRDefault="005352D3" w:rsidP="00CA55F9">
      <w:pPr>
        <w:spacing w:line="276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Бюджетні витрати на адміністрування регулювання суб’єктів малого підприємництва</w:t>
      </w:r>
    </w:p>
    <w:p w:rsidR="0085790B" w:rsidRDefault="005352D3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Міністерство освіти і науки України</w:t>
      </w:r>
    </w:p>
    <w:p w:rsidR="0085790B" w:rsidRDefault="0085790B">
      <w:pPr>
        <w:spacing w:line="276" w:lineRule="auto"/>
        <w:ind w:left="-1" w:firstLine="0"/>
        <w:jc w:val="both"/>
        <w:rPr>
          <w:sz w:val="28"/>
          <w:szCs w:val="28"/>
        </w:rPr>
      </w:pPr>
    </w:p>
    <w:tbl>
      <w:tblPr>
        <w:tblStyle w:val="affffffff2"/>
        <w:tblW w:w="9780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30"/>
        <w:gridCol w:w="1630"/>
        <w:gridCol w:w="1630"/>
        <w:gridCol w:w="1630"/>
        <w:gridCol w:w="1630"/>
        <w:gridCol w:w="1630"/>
      </w:tblGrid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Процедура регулювання суб’єктів малого підприємництва (розрахунок на одного типового суб’єкта господарювання малого підприємництва - за потреби окремо для суб’єктів малого та мікро-</w:t>
            </w:r>
            <w:proofErr w:type="spellStart"/>
            <w:r>
              <w:rPr>
                <w:sz w:val="28"/>
                <w:szCs w:val="28"/>
              </w:rPr>
              <w:t>підприємництв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часу співробітника органу державної влади відповідної категорії (заробітна плата)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 суб’єктів, що підпадають під дію процедури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Поточний контроль за суб’єктом господарювання, що перебуває у сфері регулювання, у тому </w:t>
            </w:r>
            <w:r>
              <w:rPr>
                <w:sz w:val="28"/>
                <w:szCs w:val="28"/>
              </w:rPr>
              <w:lastRenderedPageBreak/>
              <w:t>числі:</w:t>
            </w:r>
          </w:p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камеральні</w:t>
            </w:r>
          </w:p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виїзні</w:t>
            </w:r>
          </w:p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 Підготовка, затвердження та опрацювання одного окремого акта про порушення вимог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Підготовка звітності за результатами регулювання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 Інші адміністративні процедури (уточнити):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85790B" w:rsidTr="00113A85"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 за п’ять років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</w:tbl>
    <w:p w:rsidR="0085790B" w:rsidRDefault="0085790B" w:rsidP="00113A85">
      <w:pPr>
        <w:spacing w:line="276" w:lineRule="auto"/>
        <w:ind w:firstLine="0"/>
        <w:jc w:val="both"/>
        <w:rPr>
          <w:b/>
          <w:bCs/>
          <w:sz w:val="28"/>
          <w:szCs w:val="28"/>
        </w:rPr>
      </w:pPr>
    </w:p>
    <w:p w:rsidR="0085790B" w:rsidRDefault="005352D3" w:rsidP="00113A85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:rsidR="0085790B" w:rsidRDefault="0085790B">
      <w:pPr>
        <w:spacing w:line="276" w:lineRule="auto"/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affffffff3"/>
        <w:tblW w:w="981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3456"/>
        <w:gridCol w:w="2145"/>
        <w:gridCol w:w="2314"/>
      </w:tblGrid>
      <w:tr w:rsidR="0085790B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Перший рік регулювання (стартовий)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п’ять років</w:t>
            </w:r>
          </w:p>
        </w:tc>
      </w:tr>
      <w:tr w:rsidR="0085790B" w:rsidTr="00113A85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</w:tr>
      <w:tr w:rsidR="0085790B" w:rsidTr="00113A85">
        <w:trPr>
          <w:trHeight w:val="189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85790B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85790B" w:rsidTr="00113A85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Бюджетні витрати  на адміністрування регулювання суб’єктів малого підприємництва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</w:tr>
      <w:tr w:rsidR="0085790B" w:rsidTr="00113A85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Сумарні витрати на виконання запланованого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85790B" w:rsidRDefault="0085790B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</w:p>
    <w:p w:rsidR="0085790B" w:rsidRDefault="005352D3" w:rsidP="00113A85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5. Розроблення коригуючих (пом’якшувальних) заходів для малого підприємництва щодо запропонованого регулювання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передбачається розроблення коригуючих заходів, оскільки нове регулювання спрямоване виключно на створення сприятливих умов державного регулювання та відповідно зменшення фінансового навантаження на бізнес.</w:t>
      </w:r>
    </w:p>
    <w:p w:rsidR="0085790B" w:rsidRDefault="0085790B">
      <w:pPr>
        <w:spacing w:line="276" w:lineRule="auto"/>
        <w:ind w:firstLine="720"/>
        <w:jc w:val="both"/>
        <w:rPr>
          <w:sz w:val="28"/>
          <w:szCs w:val="28"/>
        </w:rPr>
      </w:pPr>
    </w:p>
    <w:tbl>
      <w:tblPr>
        <w:tblStyle w:val="affffffff4"/>
        <w:tblW w:w="991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392"/>
      </w:tblGrid>
      <w:tr w:rsidR="0085790B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 за перший рік, гривень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п’ять років, гривень</w:t>
            </w:r>
          </w:p>
        </w:tc>
      </w:tr>
      <w:tr w:rsidR="0085790B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Заплановане регулювання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умов застосування компенсаторних механізмів для малого підприємництва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69709A"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Сумарно: зміна вартості регулювання малого підприємництва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3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85790B" w:rsidRDefault="0085790B">
      <w:pPr>
        <w:spacing w:line="276" w:lineRule="auto"/>
        <w:ind w:firstLine="720"/>
        <w:jc w:val="both"/>
        <w:rPr>
          <w:sz w:val="28"/>
          <w:szCs w:val="28"/>
        </w:rPr>
      </w:pPr>
    </w:p>
    <w:p w:rsidR="0085790B" w:rsidRDefault="0085790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jc w:val="both"/>
        <w:rPr>
          <w:b/>
          <w:bCs/>
          <w:sz w:val="28"/>
          <w:szCs w:val="28"/>
        </w:rPr>
      </w:pPr>
    </w:p>
    <w:p w:rsidR="0085790B" w:rsidRDefault="0085790B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5352D3" w:rsidRDefault="005352D3">
      <w:pPr>
        <w:spacing w:line="276" w:lineRule="auto"/>
        <w:ind w:firstLine="0"/>
        <w:rPr>
          <w:sz w:val="24"/>
          <w:szCs w:val="24"/>
        </w:rPr>
      </w:pPr>
    </w:p>
    <w:p w:rsidR="0085790B" w:rsidRDefault="005352D3">
      <w:pPr>
        <w:spacing w:line="276" w:lineRule="auto"/>
        <w:ind w:left="72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Додаток 2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про</w:t>
      </w:r>
      <w:r w:rsidR="00D0106D">
        <w:rPr>
          <w:sz w:val="24"/>
          <w:szCs w:val="24"/>
          <w:lang w:val="uk-UA"/>
        </w:rPr>
        <w:t>е</w:t>
      </w:r>
      <w:r>
        <w:rPr>
          <w:sz w:val="24"/>
          <w:szCs w:val="24"/>
        </w:rPr>
        <w:t xml:space="preserve"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(експериментальних) розробок на замовлення бізнесу»</w:t>
      </w:r>
    </w:p>
    <w:p w:rsidR="0085790B" w:rsidRDefault="0085790B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5790B" w:rsidRDefault="005352D3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ВИТРАТИ </w:t>
      </w:r>
    </w:p>
    <w:p w:rsidR="0085790B" w:rsidRDefault="005352D3">
      <w:pPr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одного суб’єкта господарювання великого і середнього підприємництва, які виникають внаслідок дії регуляторного акта</w:t>
      </w:r>
    </w:p>
    <w:p w:rsidR="0085790B" w:rsidRDefault="0085790B">
      <w:pPr>
        <w:spacing w:before="240" w:line="276" w:lineRule="auto"/>
        <w:ind w:left="-1" w:firstLine="0"/>
        <w:jc w:val="both"/>
        <w:rPr>
          <w:sz w:val="28"/>
          <w:szCs w:val="28"/>
        </w:rPr>
      </w:pPr>
    </w:p>
    <w:tbl>
      <w:tblPr>
        <w:tblStyle w:val="affffffff5"/>
        <w:tblW w:w="9912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3787"/>
        <w:gridCol w:w="2410"/>
        <w:gridCol w:w="2410"/>
      </w:tblGrid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Витрати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перший рік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 п’ять років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 підвищення кваліфікації персоналу тощо,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органам, гривень (2 год × 1 працівник × 48 грн/год = 96,00 грн)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з адмініструванням заходів державного нагляду (контролю) (перевірок, штрафних санкцій, виконання рішень/ приписів </w:t>
            </w:r>
            <w:r>
              <w:rPr>
                <w:sz w:val="28"/>
                <w:szCs w:val="28"/>
              </w:rPr>
              <w:lastRenderedPageBreak/>
              <w:t>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отримання адміністративних послуг (дозволів, ліцензій, сертифікатів, атестатів, погоджень, висновків, проведення незалежних/обов’язкових експертиз, сертифікації, атестації тощо) та інших послуг (проведення наукових, інших експертиз, страхування 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Витрати на оборотні активи (матеріали, канцелярські товари тощо),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із </w:t>
            </w:r>
            <w:proofErr w:type="spellStart"/>
            <w:r>
              <w:rPr>
                <w:sz w:val="28"/>
                <w:szCs w:val="28"/>
              </w:rPr>
              <w:t>наймом</w:t>
            </w:r>
            <w:proofErr w:type="spellEnd"/>
            <w:r>
              <w:rPr>
                <w:sz w:val="28"/>
                <w:szCs w:val="28"/>
              </w:rPr>
              <w:t xml:space="preserve"> додаткового персоналу,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Інше (уточнити),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процедури отримання первинної інформації про вимоги регулювання – 1 год × 1 працівник × 48 грн/год = 48,00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процедури організації виконання вимог регулювання – 1 год × 1 працівник × 48 грн/год = 48,00 грн</w:t>
            </w:r>
          </w:p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(сума рядків: 1 + 2 + 3 + 4 + 5 + 6 + 7 + 8),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суб’єктів господарювання великого та середнього підприємництва, на яких буде поширено регулювання, одиниць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1975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7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суб’єктів господарювання великого та середнього підприємництва, на виконання регулювання (вартість регулювання) (рядок 9 х рядок 10), гривень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379 200,00 грн</w:t>
            </w:r>
          </w:p>
        </w:tc>
        <w:tc>
          <w:tcPr>
            <w:tcW w:w="2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85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</w:tr>
    </w:tbl>
    <w:p w:rsidR="0085790B" w:rsidRDefault="005352D3">
      <w:pPr>
        <w:spacing w:before="240" w:line="276" w:lineRule="auto"/>
        <w:ind w:left="1" w:hanging="3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Розрахунок відповідних витрат на одного суб’єкта господарювання</w:t>
      </w:r>
    </w:p>
    <w:tbl>
      <w:tblPr>
        <w:tblStyle w:val="affffffff6"/>
        <w:tblW w:w="9917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71"/>
        <w:gridCol w:w="2126"/>
        <w:gridCol w:w="2238"/>
        <w:gridCol w:w="2582"/>
      </w:tblGrid>
      <w:tr w:rsidR="0085790B" w:rsidTr="00113A85">
        <w:tc>
          <w:tcPr>
            <w:tcW w:w="29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26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перший рік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рік)</w:t>
            </w:r>
          </w:p>
        </w:tc>
        <w:tc>
          <w:tcPr>
            <w:tcW w:w="2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Витрати за п’ять років</w:t>
            </w:r>
          </w:p>
        </w:tc>
      </w:tr>
      <w:tr w:rsidR="0085790B" w:rsidTr="00113A85">
        <w:tc>
          <w:tcPr>
            <w:tcW w:w="29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навчання/підвищення кваліфікації персоналу тощо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2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5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before="240" w:line="276" w:lineRule="auto"/>
        <w:ind w:left="1" w:hanging="3"/>
        <w:jc w:val="center"/>
        <w:rPr>
          <w:sz w:val="28"/>
          <w:szCs w:val="28"/>
        </w:rPr>
      </w:pPr>
    </w:p>
    <w:tbl>
      <w:tblPr>
        <w:tblStyle w:val="affffffff7"/>
        <w:tblW w:w="978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7"/>
        <w:gridCol w:w="3260"/>
        <w:gridCol w:w="3260"/>
      </w:tblGrid>
      <w:tr w:rsidR="0085790B" w:rsidTr="00113A85">
        <w:trPr>
          <w:jc w:val="center"/>
        </w:trPr>
        <w:tc>
          <w:tcPr>
            <w:tcW w:w="32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26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right="46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сплату податків та зборів (змінених/ нововведених)  (за рік)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Tr="00113A85">
        <w:trPr>
          <w:jc w:val="center"/>
        </w:trPr>
        <w:tc>
          <w:tcPr>
            <w:tcW w:w="32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before="240" w:line="276" w:lineRule="auto"/>
        <w:ind w:left="1" w:hanging="3"/>
        <w:jc w:val="center"/>
        <w:rPr>
          <w:i/>
          <w:iCs/>
          <w:sz w:val="28"/>
          <w:szCs w:val="28"/>
        </w:rPr>
      </w:pPr>
    </w:p>
    <w:tbl>
      <w:tblPr>
        <w:tblStyle w:val="affffffff8"/>
        <w:tblW w:w="977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1800"/>
        <w:gridCol w:w="1800"/>
        <w:gridCol w:w="1800"/>
        <w:gridCol w:w="1870"/>
      </w:tblGrid>
      <w:tr w:rsidR="0085790B" w:rsidTr="00113A85">
        <w:trPr>
          <w:jc w:val="center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4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ведення обліку, підготовку та подання звітності (за рік)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штрафних санкцій за рік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18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Tr="00113A85">
        <w:trPr>
          <w:jc w:val="center"/>
        </w:trPr>
        <w:tc>
          <w:tcPr>
            <w:tcW w:w="25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із веденням обліку, підготовкою та </w:t>
            </w:r>
            <w:r>
              <w:rPr>
                <w:sz w:val="28"/>
                <w:szCs w:val="28"/>
              </w:rPr>
              <w:lastRenderedPageBreak/>
              <w:t>поданням звітності державним органам (витрати часу персоналу)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96,00 грн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96,00 грн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85790B" w:rsidRDefault="005352D3">
      <w:pPr>
        <w:spacing w:before="240" w:line="276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tbl>
      <w:tblPr>
        <w:tblStyle w:val="affffffff9"/>
        <w:tblW w:w="977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1956"/>
        <w:gridCol w:w="1956"/>
        <w:gridCol w:w="1956"/>
        <w:gridCol w:w="1951"/>
      </w:tblGrid>
      <w:tr w:rsidR="0085790B" w:rsidTr="00113A85">
        <w:tc>
          <w:tcPr>
            <w:tcW w:w="1956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адміністрування заходів державного нагляду (контролю) (за рік)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штрафних санкцій та усунення виявлених порушень (за рік)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Разом за рік </w:t>
            </w:r>
          </w:p>
        </w:tc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Tr="00113A85"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before="240" w:line="276" w:lineRule="auto"/>
        <w:ind w:left="-1" w:firstLine="0"/>
        <w:jc w:val="both"/>
        <w:rPr>
          <w:sz w:val="28"/>
          <w:szCs w:val="28"/>
        </w:rPr>
      </w:pPr>
    </w:p>
    <w:tbl>
      <w:tblPr>
        <w:tblStyle w:val="affffffffa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010"/>
        <w:gridCol w:w="1740"/>
        <w:gridCol w:w="1500"/>
        <w:gridCol w:w="1770"/>
      </w:tblGrid>
      <w:tr w:rsidR="0085790B">
        <w:trPr>
          <w:trHeight w:val="838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2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проходження відповідних процедур (витрати часу, витрати на експертизи, тощо)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безпосередньо на дозволи, ліцензії, сертифікати, страхові поліси (за рік - стартовий)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наступні роки)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>
        <w:trPr>
          <w:trHeight w:val="6810"/>
        </w:trPr>
        <w:tc>
          <w:tcPr>
            <w:tcW w:w="27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Витрати на отримання адміністративних послуг (дозволів, ліцензій, сертифікатів, атестатів, погоджень, висновків, проведення незалежних/ обов’язкових експертиз, сертифікації, атестації тощо) та інших послуг (проведення наукових, інших експертиз, страхування тощо)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 w:rsidP="0069709A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 w:rsidP="0069709A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 w:rsidP="0069709A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before="240" w:line="276" w:lineRule="auto"/>
        <w:ind w:firstLine="0"/>
        <w:jc w:val="both"/>
        <w:rPr>
          <w:sz w:val="28"/>
          <w:szCs w:val="28"/>
        </w:rPr>
      </w:pPr>
    </w:p>
    <w:tbl>
      <w:tblPr>
        <w:tblStyle w:val="affffffffb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890"/>
        <w:gridCol w:w="2445"/>
        <w:gridCol w:w="2445"/>
      </w:tblGrid>
      <w:tr w:rsidR="0085790B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before="240" w:line="276" w:lineRule="auto"/>
              <w:ind w:hanging="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рік (стартовий)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before="240"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>
        <w:tc>
          <w:tcPr>
            <w:tcW w:w="30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оборотні активи (матеріали, канцелярські товари тощо)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5790B" w:rsidRDefault="005352D3">
            <w:pPr>
              <w:spacing w:line="276" w:lineRule="auto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line="276" w:lineRule="auto"/>
        <w:ind w:left="-1" w:firstLine="0"/>
        <w:rPr>
          <w:b/>
          <w:bCs/>
          <w:sz w:val="28"/>
          <w:szCs w:val="28"/>
        </w:rPr>
      </w:pPr>
    </w:p>
    <w:tbl>
      <w:tblPr>
        <w:tblStyle w:val="affffffffc"/>
        <w:tblW w:w="977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4065"/>
        <w:gridCol w:w="2680"/>
      </w:tblGrid>
      <w:tr w:rsidR="0085790B" w:rsidTr="00113A85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before="240" w:line="276" w:lineRule="auto"/>
              <w:ind w:hanging="2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праці додатково найманого персоналу (за рік)</w:t>
            </w:r>
          </w:p>
        </w:tc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85790B" w:rsidTr="00113A85"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із </w:t>
            </w:r>
            <w:proofErr w:type="spellStart"/>
            <w:r>
              <w:rPr>
                <w:sz w:val="28"/>
                <w:szCs w:val="28"/>
              </w:rPr>
              <w:t>наймом</w:t>
            </w:r>
            <w:proofErr w:type="spellEnd"/>
            <w:r>
              <w:rPr>
                <w:sz w:val="28"/>
                <w:szCs w:val="28"/>
              </w:rPr>
              <w:t xml:space="preserve"> додаткового персоналу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5790B" w:rsidRDefault="0085790B">
      <w:pPr>
        <w:spacing w:line="276" w:lineRule="auto"/>
        <w:ind w:left="-1" w:firstLine="0"/>
        <w:rPr>
          <w:b/>
          <w:bCs/>
          <w:sz w:val="28"/>
          <w:szCs w:val="28"/>
        </w:rPr>
      </w:pPr>
    </w:p>
    <w:p w:rsidR="0085790B" w:rsidRDefault="0085790B" w:rsidP="00113A85">
      <w:pPr>
        <w:spacing w:line="276" w:lineRule="auto"/>
        <w:ind w:firstLine="0"/>
        <w:rPr>
          <w:sz w:val="28"/>
          <w:szCs w:val="28"/>
        </w:rPr>
      </w:pPr>
    </w:p>
    <w:p w:rsidR="0085790B" w:rsidRDefault="0085790B">
      <w:pPr>
        <w:spacing w:line="276" w:lineRule="auto"/>
        <w:ind w:left="-1" w:firstLine="0"/>
        <w:rPr>
          <w:sz w:val="28"/>
          <w:szCs w:val="28"/>
        </w:rPr>
      </w:pP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Додаток 3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85790B" w:rsidRDefault="005352D3">
      <w:pPr>
        <w:spacing w:line="276" w:lineRule="auto"/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про</w:t>
      </w:r>
      <w:r w:rsidR="00D0106D">
        <w:rPr>
          <w:sz w:val="24"/>
          <w:szCs w:val="24"/>
          <w:lang w:val="uk-UA"/>
        </w:rPr>
        <w:t>е</w:t>
      </w:r>
      <w:bookmarkStart w:id="6" w:name="_GoBack"/>
      <w:bookmarkEnd w:id="6"/>
      <w:r>
        <w:rPr>
          <w:sz w:val="24"/>
          <w:szCs w:val="24"/>
        </w:rPr>
        <w:t xml:space="preserve">кту постанови Кабінету Міністрів України «Про реалізацію експериментального проекту щодо організації та проведення конкурсного відбору спільних прикладних наукових досліджень і науково-технічних </w:t>
      </w:r>
    </w:p>
    <w:p w:rsidR="0085790B" w:rsidRDefault="005352D3">
      <w:pPr>
        <w:spacing w:line="276" w:lineRule="auto"/>
        <w:ind w:left="5040" w:firstLine="0"/>
        <w:rPr>
          <w:sz w:val="28"/>
          <w:szCs w:val="28"/>
        </w:rPr>
      </w:pPr>
      <w:r>
        <w:rPr>
          <w:sz w:val="24"/>
          <w:szCs w:val="24"/>
        </w:rPr>
        <w:t>(експериментальних) розробок на замовлення бізнесу»</w:t>
      </w:r>
      <w:r>
        <w:rPr>
          <w:sz w:val="28"/>
          <w:szCs w:val="28"/>
        </w:rPr>
        <w:br/>
      </w:r>
    </w:p>
    <w:p w:rsidR="0085790B" w:rsidRDefault="0085790B">
      <w:pPr>
        <w:spacing w:line="276" w:lineRule="auto"/>
        <w:ind w:left="1" w:hanging="3"/>
        <w:jc w:val="right"/>
        <w:rPr>
          <w:sz w:val="28"/>
          <w:szCs w:val="28"/>
        </w:rPr>
      </w:pPr>
    </w:p>
    <w:p w:rsidR="0085790B" w:rsidRDefault="005352D3">
      <w:pPr>
        <w:spacing w:line="276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БЮДЖЕТНІ ВИТРАТИ</w:t>
      </w:r>
    </w:p>
    <w:p w:rsidR="0085790B" w:rsidRDefault="005352D3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адміністрування регулювання для суб’єктів великого і середнього підприємництва</w:t>
      </w:r>
    </w:p>
    <w:p w:rsidR="0085790B" w:rsidRDefault="0085790B">
      <w:pPr>
        <w:spacing w:line="276" w:lineRule="auto"/>
        <w:ind w:left="1" w:hanging="3"/>
        <w:jc w:val="both"/>
        <w:rPr>
          <w:sz w:val="28"/>
          <w:szCs w:val="28"/>
        </w:rPr>
      </w:pPr>
    </w:p>
    <w:p w:rsidR="0085790B" w:rsidRDefault="005352D3">
      <w:pPr>
        <w:spacing w:line="276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Міністерство освіти і науки України</w:t>
      </w:r>
    </w:p>
    <w:p w:rsidR="0085790B" w:rsidRDefault="005352D3">
      <w:pPr>
        <w:spacing w:before="120" w:after="120" w:line="276" w:lineRule="auto"/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tbl>
      <w:tblPr>
        <w:tblStyle w:val="affffffffd"/>
        <w:tblW w:w="978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311"/>
        <w:gridCol w:w="1640"/>
        <w:gridCol w:w="1306"/>
        <w:gridCol w:w="1464"/>
        <w:gridCol w:w="2080"/>
      </w:tblGrid>
      <w:tr w:rsidR="0085790B" w:rsidTr="00113A85">
        <w:trPr>
          <w:trHeight w:val="3215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Процедура регулювання суб’єктів великого і середнього підприємництва (розрахунок на одного типового суб’єкта господарювання)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часу співробітника органу державної влади відповідної категорії* (заробітна плата)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85790B" w:rsidTr="00113A85">
        <w:trPr>
          <w:trHeight w:val="1091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257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Поточний контроль за суб’єктом господарювання, що перебуває у сфері регулювання, у тому числі: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Камеральні</w:t>
            </w:r>
          </w:p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Виїзні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239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Підготовка, затвердження та опрацювання одного окремого акту про порушення вимог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117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1506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1219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Підготовка звітності за результатами регулювання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121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адміністративні процедури (уточнити):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498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5790B" w:rsidTr="00113A85">
        <w:trPr>
          <w:trHeight w:val="1000"/>
        </w:trPr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 за п’ять років</w:t>
            </w:r>
          </w:p>
          <w:p w:rsidR="0085790B" w:rsidRDefault="0085790B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6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3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69709A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5790B" w:rsidRDefault="005352D3">
            <w:pPr>
              <w:spacing w:line="276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85790B" w:rsidRDefault="0085790B">
      <w:pPr>
        <w:spacing w:line="276" w:lineRule="auto"/>
        <w:ind w:hanging="2"/>
        <w:jc w:val="both"/>
      </w:pPr>
    </w:p>
    <w:p w:rsidR="0085790B" w:rsidRDefault="0085790B">
      <w:pPr>
        <w:spacing w:line="276" w:lineRule="auto"/>
        <w:ind w:hanging="2"/>
        <w:jc w:val="both"/>
      </w:pPr>
    </w:p>
    <w:p w:rsidR="0085790B" w:rsidRDefault="005352D3">
      <w:pPr>
        <w:spacing w:line="276" w:lineRule="auto"/>
        <w:ind w:hanging="2"/>
        <w:jc w:val="center"/>
      </w:pPr>
      <w:r>
        <w:t>_______________________________________________________________________</w:t>
      </w:r>
    </w:p>
    <w:sectPr w:rsidR="0085790B" w:rsidSect="005352D3">
      <w:pgSz w:w="11907" w:h="16840"/>
      <w:pgMar w:top="1134" w:right="851" w:bottom="1134" w:left="1134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C9B" w:rsidRDefault="008D2C9B">
      <w:r>
        <w:separator/>
      </w:r>
    </w:p>
  </w:endnote>
  <w:endnote w:type="continuationSeparator" w:id="0">
    <w:p w:rsidR="008D2C9B" w:rsidRDefault="008D2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9E1382-A484-4388-853F-0D3A3647F58B}"/>
    <w:embedBold r:id="rId2" w:fontKey="{7877F37C-BB0C-480C-9077-54BB8348E3B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88AE467-66E0-402C-A991-0D84171D58A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A67359A4-F85B-4E26-A55C-97C450AB04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DE2B6134-CD7A-449E-9CC6-6188810D8D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4AC4B3B-A063-41D1-BEE6-CF285C3AF1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13A85">
      <w:rPr>
        <w:noProof/>
        <w:color w:val="000000"/>
      </w:rPr>
      <w:t>25</w:t>
    </w:r>
    <w:r>
      <w:rPr>
        <w:color w:val="000000"/>
      </w:rPr>
      <w:fldChar w:fldCharType="end"/>
    </w:r>
  </w:p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color w:val="000000"/>
      </w:rPr>
    </w:pPr>
  </w:p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C9B" w:rsidRDefault="008D2C9B">
      <w:r>
        <w:separator/>
      </w:r>
    </w:p>
  </w:footnote>
  <w:footnote w:type="continuationSeparator" w:id="0">
    <w:p w:rsidR="008D2C9B" w:rsidRDefault="008D2C9B">
      <w:r>
        <w:continuationSeparator/>
      </w:r>
    </w:p>
  </w:footnote>
  <w:footnote w:id="1">
    <w:p w:rsidR="005352D3" w:rsidRDefault="005352D3">
      <w:pPr>
        <w:ind w:hanging="2"/>
        <w:rPr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6"/>
          <w:szCs w:val="16"/>
        </w:rPr>
        <w:t>https://zakon.rada.gov.ua/laws/show/4059-20#Text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jc w:val="center"/>
      <w:rPr>
        <w:color w:val="000000"/>
      </w:rPr>
    </w:pPr>
  </w:p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2D3" w:rsidRPr="00576D61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8"/>
        <w:szCs w:val="28"/>
      </w:rPr>
    </w:pPr>
    <w:r w:rsidRPr="00576D61">
      <w:rPr>
        <w:color w:val="000000"/>
        <w:sz w:val="28"/>
        <w:szCs w:val="28"/>
      </w:rPr>
      <w:fldChar w:fldCharType="begin"/>
    </w:r>
    <w:r w:rsidRPr="00576D61">
      <w:rPr>
        <w:color w:val="000000"/>
        <w:sz w:val="28"/>
        <w:szCs w:val="28"/>
      </w:rPr>
      <w:instrText>PAGE</w:instrText>
    </w:r>
    <w:r w:rsidRPr="00576D61">
      <w:rPr>
        <w:color w:val="000000"/>
        <w:sz w:val="28"/>
        <w:szCs w:val="28"/>
      </w:rPr>
      <w:fldChar w:fldCharType="separate"/>
    </w:r>
    <w:r w:rsidR="00D0106D">
      <w:rPr>
        <w:noProof/>
        <w:color w:val="000000"/>
        <w:sz w:val="28"/>
        <w:szCs w:val="28"/>
      </w:rPr>
      <w:t>34</w:t>
    </w:r>
    <w:r w:rsidRPr="00576D61">
      <w:rPr>
        <w:color w:val="000000"/>
        <w:sz w:val="28"/>
        <w:szCs w:val="28"/>
      </w:rPr>
      <w:fldChar w:fldCharType="end"/>
    </w:r>
  </w:p>
  <w:p w:rsidR="005352D3" w:rsidRDefault="005352D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F5A89"/>
    <w:multiLevelType w:val="multilevel"/>
    <w:tmpl w:val="F2F4FEE8"/>
    <w:lvl w:ilvl="0">
      <w:start w:val="1"/>
      <w:numFmt w:val="upperRoman"/>
      <w:lvlText w:val="%1."/>
      <w:lvlJc w:val="right"/>
      <w:pPr>
        <w:ind w:left="3196" w:hanging="360"/>
      </w:pPr>
      <w:rPr>
        <w:rFonts w:ascii="Times New Roman" w:eastAsia="Times New Roman" w:hAnsi="Times New Roman" w:cs="Times New Roman"/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AF01052"/>
    <w:multiLevelType w:val="multilevel"/>
    <w:tmpl w:val="7F62512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06649C7"/>
    <w:multiLevelType w:val="multilevel"/>
    <w:tmpl w:val="177A1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DC3521"/>
    <w:multiLevelType w:val="multilevel"/>
    <w:tmpl w:val="CC1E3C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0B"/>
    <w:rsid w:val="00113A85"/>
    <w:rsid w:val="005352D3"/>
    <w:rsid w:val="00576D61"/>
    <w:rsid w:val="0069709A"/>
    <w:rsid w:val="007B2A73"/>
    <w:rsid w:val="0085790B"/>
    <w:rsid w:val="008B75EC"/>
    <w:rsid w:val="008D2C9B"/>
    <w:rsid w:val="00CA55F9"/>
    <w:rsid w:val="00D0106D"/>
    <w:rsid w:val="00F5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E3645B"/>
  <w15:docId w15:val="{3CDD1815-2178-4486-A299-613B8C8B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jc w:val="both"/>
      <w:outlineLvl w:val="0"/>
    </w:pPr>
    <w:rPr>
      <w:sz w:val="26"/>
      <w:szCs w:val="26"/>
    </w:rPr>
  </w:style>
  <w:style w:type="paragraph" w:styleId="2">
    <w:name w:val="heading 2"/>
    <w:basedOn w:val="a0"/>
    <w:next w:val="a0"/>
    <w:pPr>
      <w:keepNext/>
      <w:ind w:firstLine="567"/>
      <w:jc w:val="both"/>
      <w:outlineLvl w:val="1"/>
    </w:pPr>
    <w:rPr>
      <w:sz w:val="28"/>
      <w:szCs w:val="28"/>
    </w:rPr>
  </w:style>
  <w:style w:type="paragraph" w:styleId="3">
    <w:name w:val="heading 3"/>
    <w:basedOn w:val="a0"/>
    <w:next w:val="a0"/>
    <w:pPr>
      <w:keepNext/>
      <w:tabs>
        <w:tab w:val="left" w:pos="-2410"/>
        <w:tab w:val="right" w:pos="9923"/>
      </w:tabs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pPr>
      <w:keepNext/>
      <w:outlineLvl w:val="3"/>
    </w:pPr>
    <w:rPr>
      <w:sz w:val="28"/>
      <w:szCs w:val="28"/>
    </w:rPr>
  </w:style>
  <w:style w:type="paragraph" w:styleId="5">
    <w:name w:val="heading 5"/>
    <w:basedOn w:val="a0"/>
    <w:next w:val="a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jc w:val="center"/>
    </w:pPr>
    <w:rPr>
      <w:b/>
      <w:bCs/>
      <w:i/>
      <w:i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1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</w:style>
  <w:style w:type="paragraph" w:styleId="a9">
    <w:name w:val="Body Text Indent"/>
    <w:pPr>
      <w:ind w:firstLine="567"/>
      <w:jc w:val="both"/>
    </w:pPr>
    <w:rPr>
      <w:sz w:val="26"/>
      <w:lang w:val="uk-UA"/>
    </w:rPr>
  </w:style>
  <w:style w:type="paragraph" w:styleId="aa">
    <w:name w:val="Plain Text"/>
    <w:rPr>
      <w:rFonts w:ascii="Courier New" w:hAnsi="Courier New"/>
      <w:lang w:val="uk-UA"/>
    </w:rPr>
  </w:style>
  <w:style w:type="paragraph" w:styleId="20">
    <w:name w:val="Body Text Indent 2"/>
    <w:pPr>
      <w:ind w:firstLine="567"/>
      <w:jc w:val="both"/>
    </w:pPr>
    <w:rPr>
      <w:sz w:val="28"/>
      <w:lang w:val="uk-UA"/>
    </w:rPr>
  </w:style>
  <w:style w:type="paragraph" w:styleId="30">
    <w:name w:val="Body Text Indent 3"/>
    <w:pPr>
      <w:ind w:firstLine="567"/>
      <w:jc w:val="both"/>
    </w:pPr>
    <w:rPr>
      <w:sz w:val="28"/>
      <w:lang w:val="uk-UA"/>
    </w:rPr>
  </w:style>
  <w:style w:type="paragraph" w:styleId="ab">
    <w:name w:val="Balloon Text"/>
    <w:rPr>
      <w:rFonts w:ascii="Tahoma" w:hAnsi="Tahoma" w:cs="Tahoma"/>
      <w:sz w:val="16"/>
      <w:szCs w:val="16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customStyle="1" w:styleId="Preformatted">
    <w:name w:val="Preformatte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10">
    <w:name w:val="Знак Знак1 Знак Знак Знак Знак Знак Знак Знак Знак Знак Знак Знак Знак Знак Знак Знак Знак"/>
    <w:rPr>
      <w:rFonts w:ascii="Verdana" w:hAnsi="Verdana" w:cs="Verdana"/>
      <w:lang w:val="en-US" w:eastAsia="en-US"/>
    </w:rPr>
  </w:style>
  <w:style w:type="paragraph" w:styleId="ac">
    <w:name w:val="Body Text"/>
    <w:pPr>
      <w:spacing w:after="120"/>
    </w:pPr>
  </w:style>
  <w:style w:type="paragraph" w:customStyle="1" w:styleId="BodyText21">
    <w:name w:val="Body Text 21"/>
    <w:pPr>
      <w:ind w:firstLine="709"/>
      <w:jc w:val="both"/>
    </w:pPr>
    <w:rPr>
      <w:sz w:val="28"/>
      <w:lang w:val="uk-UA"/>
    </w:rPr>
  </w:style>
  <w:style w:type="table" w:styleId="ad">
    <w:name w:val="Table Grid"/>
    <w:basedOn w:val="a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">
    <w:name w:val="Char Char Char Char Char Char Char Char Char Char Char Char"/>
    <w:pPr>
      <w:spacing w:after="160" w:line="240" w:lineRule="atLeast"/>
    </w:pPr>
    <w:rPr>
      <w:lang w:val="de-CH" w:eastAsia="de-CH"/>
    </w:rPr>
  </w:style>
  <w:style w:type="paragraph" w:customStyle="1" w:styleId="ae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af">
    <w:name w:val="Знак"/>
    <w:pPr>
      <w:spacing w:after="160" w:line="240" w:lineRule="atLeast"/>
    </w:pPr>
    <w:rPr>
      <w:lang w:val="de-CH" w:eastAsia="de-CH"/>
    </w:rPr>
  </w:style>
  <w:style w:type="paragraph" w:customStyle="1" w:styleId="11">
    <w:name w:val="Обычный (веб)1"/>
    <w:pPr>
      <w:spacing w:before="100" w:beforeAutospacing="1" w:after="100" w:afterAutospacing="1"/>
      <w:ind w:firstLine="567"/>
    </w:pPr>
    <w:rPr>
      <w:sz w:val="24"/>
      <w:szCs w:val="24"/>
    </w:rPr>
  </w:style>
  <w:style w:type="paragraph" w:customStyle="1" w:styleId="af0">
    <w:name w:val="Знак Знак Знак Знак Знак Знак Знак"/>
    <w:rPr>
      <w:rFonts w:ascii="Verdana" w:hAnsi="Verdana" w:cs="Verdana"/>
      <w:lang w:val="en-US" w:eastAsia="en-US"/>
    </w:rPr>
  </w:style>
  <w:style w:type="paragraph" w:styleId="31">
    <w:name w:val="Body Text 3"/>
    <w:pPr>
      <w:spacing w:after="120"/>
    </w:pPr>
    <w:rPr>
      <w:sz w:val="16"/>
      <w:szCs w:val="16"/>
    </w:rPr>
  </w:style>
  <w:style w:type="paragraph" w:styleId="21">
    <w:name w:val="Body Text 2"/>
    <w:pPr>
      <w:spacing w:after="120" w:line="480" w:lineRule="auto"/>
    </w:pPr>
    <w:rPr>
      <w:sz w:val="28"/>
      <w:szCs w:val="28"/>
      <w:lang w:val="uk-UA"/>
    </w:rPr>
  </w:style>
  <w:style w:type="character" w:customStyle="1" w:styleId="22">
    <w:name w:val="Основной текст 2 Знак"/>
    <w:rPr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/>
    </w:rPr>
  </w:style>
  <w:style w:type="character" w:customStyle="1" w:styleId="HTML0">
    <w:name w:val="Стандартный HTML Знак"/>
    <w:rPr>
      <w:rFonts w:ascii="Courier New" w:hAnsi="Courier New" w:cs="Courier New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paragraph" w:customStyle="1" w:styleId="12">
    <w:name w:val="Основной текст с отступом1"/>
    <w:pPr>
      <w:ind w:firstLine="851"/>
      <w:jc w:val="both"/>
    </w:pPr>
    <w:rPr>
      <w:sz w:val="28"/>
      <w:szCs w:val="28"/>
      <w:lang w:val="uk-UA"/>
    </w:rPr>
  </w:style>
  <w:style w:type="character" w:styleId="af1">
    <w:name w:val="Hyperlink"/>
    <w:qFormat/>
    <w:rPr>
      <w:color w:val="027AC6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32">
    <w:name w:val="Знак Знак3"/>
    <w:rPr>
      <w:rFonts w:ascii="Times New Roman" w:hAnsi="Times New Roman" w:cs="Times New Roman"/>
      <w:b/>
      <w:bCs/>
      <w:w w:val="105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33">
    <w:name w:val="Знак3"/>
    <w:rPr>
      <w:rFonts w:ascii="Verdana" w:hAnsi="Verdana" w:cs="Verdana"/>
      <w:lang w:val="en-US" w:eastAsia="en-US"/>
    </w:rPr>
  </w:style>
  <w:style w:type="paragraph" w:customStyle="1" w:styleId="rvps2">
    <w:name w:val="rvps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4">
    <w:name w:val="annotation text"/>
  </w:style>
  <w:style w:type="character" w:customStyle="1" w:styleId="af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6">
    <w:name w:val="annotation subject"/>
    <w:basedOn w:val="af4"/>
    <w:next w:val="af4"/>
    <w:rPr>
      <w:b/>
      <w:bCs/>
    </w:rPr>
  </w:style>
  <w:style w:type="character" w:customStyle="1" w:styleId="af7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8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/>
    </w:rPr>
  </w:style>
  <w:style w:type="paragraph" w:customStyle="1" w:styleId="rvps12">
    <w:name w:val="rvps1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rvps14">
    <w:name w:val="rvps1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15">
    <w:name w:val="rvts15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58">
    <w:name w:val="rvts58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8">
    <w:name w:val="rvps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82">
    <w:name w:val="rvts82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7">
    <w:name w:val="Style1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List Paragraph"/>
    <w:pPr>
      <w:ind w:left="720"/>
    </w:pPr>
  </w:style>
  <w:style w:type="numbering" w:customStyle="1" w:styleId="13">
    <w:name w:val="Стиль1"/>
  </w:style>
  <w:style w:type="paragraph" w:styleId="afa">
    <w:name w:val="footnote text"/>
  </w:style>
  <w:style w:type="character" w:customStyle="1" w:styleId="afb">
    <w:name w:val="Текст сноски Знак"/>
    <w:basedOn w:val="a1"/>
    <w:rPr>
      <w:w w:val="100"/>
      <w:position w:val="-1"/>
      <w:effect w:val="none"/>
      <w:vertAlign w:val="baseline"/>
      <w:cs w:val="0"/>
      <w:em w:val="none"/>
    </w:rPr>
  </w:style>
  <w:style w:type="character" w:styleId="afc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40">
    <w:name w:val="Заголовок 4 Знак"/>
    <w:rPr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a">
    <w:name w:val="АРВ"/>
    <w:pPr>
      <w:numPr>
        <w:numId w:val="4"/>
      </w:numPr>
      <w:ind w:left="-1" w:hanging="1"/>
    </w:pPr>
    <w:rPr>
      <w:b/>
      <w:sz w:val="28"/>
      <w:szCs w:val="28"/>
      <w:lang w:val="uk-UA"/>
    </w:rPr>
  </w:style>
  <w:style w:type="numbering" w:customStyle="1" w:styleId="23">
    <w:name w:val="Стиль2"/>
  </w:style>
  <w:style w:type="character" w:styleId="afd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e">
    <w:basedOn w:val="TableNormal4"/>
    <w:tblPr>
      <w:tblStyleRowBandSize w:val="1"/>
      <w:tblStyleColBandSize w:val="1"/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</w:tblPr>
  </w:style>
  <w:style w:type="table" w:customStyle="1" w:styleId="aff6">
    <w:basedOn w:val="TableNormal4"/>
    <w:tblPr>
      <w:tblStyleRowBandSize w:val="1"/>
      <w:tblStyleColBandSize w:val="1"/>
    </w:tblPr>
  </w:style>
  <w:style w:type="table" w:customStyle="1" w:styleId="aff7">
    <w:basedOn w:val="TableNormal4"/>
    <w:tblPr>
      <w:tblStyleRowBandSize w:val="1"/>
      <w:tblStyleColBandSize w:val="1"/>
    </w:tblPr>
  </w:style>
  <w:style w:type="table" w:customStyle="1" w:styleId="aff8">
    <w:basedOn w:val="TableNormal4"/>
    <w:tblPr>
      <w:tblStyleRowBandSize w:val="1"/>
      <w:tblStyleColBandSize w:val="1"/>
    </w:tblPr>
  </w:style>
  <w:style w:type="table" w:customStyle="1" w:styleId="aff9">
    <w:basedOn w:val="TableNormal4"/>
    <w:tblPr>
      <w:tblStyleRowBandSize w:val="1"/>
      <w:tblStyleColBandSize w:val="1"/>
    </w:tblPr>
  </w:style>
  <w:style w:type="table" w:customStyle="1" w:styleId="affa">
    <w:basedOn w:val="TableNormal4"/>
    <w:tblPr>
      <w:tblStyleRowBandSize w:val="1"/>
      <w:tblStyleColBandSize w:val="1"/>
    </w:tblPr>
  </w:style>
  <w:style w:type="table" w:customStyle="1" w:styleId="affb">
    <w:basedOn w:val="TableNormal4"/>
    <w:tblPr>
      <w:tblStyleRowBandSize w:val="1"/>
      <w:tblStyleColBandSize w:val="1"/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</w:tblPr>
  </w:style>
  <w:style w:type="table" w:customStyle="1" w:styleId="afff2">
    <w:basedOn w:val="TableNormal4"/>
    <w:tblPr>
      <w:tblStyleRowBandSize w:val="1"/>
      <w:tblStyleColBandSize w:val="1"/>
    </w:tblPr>
  </w:style>
  <w:style w:type="table" w:customStyle="1" w:styleId="afff3">
    <w:basedOn w:val="TableNormal4"/>
    <w:tblPr>
      <w:tblStyleRowBandSize w:val="1"/>
      <w:tblStyleColBandSize w:val="1"/>
    </w:tblPr>
  </w:style>
  <w:style w:type="table" w:customStyle="1" w:styleId="afff4">
    <w:basedOn w:val="TableNormal4"/>
    <w:tblPr>
      <w:tblStyleRowBandSize w:val="1"/>
      <w:tblStyleColBandSize w:val="1"/>
    </w:tblPr>
  </w:style>
  <w:style w:type="table" w:customStyle="1" w:styleId="af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4"/>
    <w:tblPr>
      <w:tblStyleRowBandSize w:val="1"/>
      <w:tblStyleColBandSize w:val="1"/>
    </w:tblPr>
  </w:style>
  <w:style w:type="table" w:customStyle="1" w:styleId="afffb">
    <w:basedOn w:val="TableNormal4"/>
    <w:tblPr>
      <w:tblStyleRowBandSize w:val="1"/>
      <w:tblStyleColBandSize w:val="1"/>
    </w:tblPr>
  </w:style>
  <w:style w:type="table" w:customStyle="1" w:styleId="afffc">
    <w:basedOn w:val="TableNormal4"/>
    <w:tblPr>
      <w:tblStyleRowBandSize w:val="1"/>
      <w:tblStyleColBandSize w:val="1"/>
    </w:tblPr>
  </w:style>
  <w:style w:type="table" w:customStyle="1" w:styleId="afffd">
    <w:basedOn w:val="TableNormal4"/>
    <w:tblPr>
      <w:tblStyleRowBandSize w:val="1"/>
      <w:tblStyleColBandSize w:val="1"/>
    </w:tblPr>
  </w:style>
  <w:style w:type="table" w:customStyle="1" w:styleId="afffe">
    <w:basedOn w:val="TableNormal4"/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tblPr>
      <w:tblStyleRowBandSize w:val="1"/>
      <w:tblStyleColBandSize w:val="1"/>
    </w:tblPr>
  </w:style>
  <w:style w:type="table" w:customStyle="1" w:styleId="af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6">
    <w:name w:val="Верхний колонтитул Знак"/>
    <w:basedOn w:val="a1"/>
    <w:link w:val="a5"/>
    <w:uiPriority w:val="99"/>
    <w:rsid w:val="007B3549"/>
  </w:style>
  <w:style w:type="paragraph" w:styleId="afffffff4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tblPr>
      <w:tblStyleRowBandSize w:val="1"/>
      <w:tblStyleColBandSize w:val="1"/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0"/>
    <w:tblPr>
      <w:tblStyleRowBandSize w:val="1"/>
      <w:tblStyleColBandSize w:val="1"/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u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CXT6AV810LJ7W19vwQZm1nYkA==">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27461</Words>
  <Characters>15653</Characters>
  <Application>Microsoft Office Word</Application>
  <DocSecurity>0</DocSecurity>
  <Lines>130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Andriy Petrovskyi</cp:lastModifiedBy>
  <cp:revision>5</cp:revision>
  <dcterms:created xsi:type="dcterms:W3CDTF">2025-11-21T09:23:00Z</dcterms:created>
  <dcterms:modified xsi:type="dcterms:W3CDTF">2025-11-21T13:24:00Z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906ef728-f1ad-4172-9127-450e4cd409aa</vt:lpwstr>
  </property>
</Properties>
</file>