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D5CB" w14:textId="77777777" w:rsidR="00484ACA" w:rsidRPr="00CC1E9A" w:rsidRDefault="00484ACA" w:rsidP="00CC1E9A">
      <w:pPr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E9A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2C7408ED" w14:textId="36DE6386" w:rsidR="00484ACA" w:rsidRPr="00CC1E9A" w:rsidRDefault="00275D95" w:rsidP="00275D95">
      <w:pPr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D95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275D95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275D95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Закону України «</w:t>
      </w:r>
      <w:r w:rsidR="004216E4" w:rsidRPr="004216E4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деяких</w:t>
      </w:r>
      <w:r w:rsidR="004216E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76811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4216E4" w:rsidRPr="004216E4">
        <w:rPr>
          <w:rFonts w:ascii="Times New Roman" w:eastAsia="Times New Roman" w:hAnsi="Times New Roman" w:cs="Times New Roman"/>
          <w:b/>
          <w:sz w:val="28"/>
          <w:szCs w:val="28"/>
        </w:rPr>
        <w:t>аконів України щодо реалізації принципів відкритої науки</w:t>
      </w:r>
      <w:r w:rsidRPr="00275D9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A872F3B" w14:textId="77777777" w:rsidR="00484ACA" w:rsidRPr="00CC1E9A" w:rsidRDefault="00484ACA" w:rsidP="00CC1E9A">
      <w:pPr>
        <w:shd w:val="clear" w:color="auto" w:fill="FFFFFF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F2BE10C" w14:textId="3CB2CB05" w:rsidR="00484ACA" w:rsidRPr="00CC1E9A" w:rsidRDefault="00CC1E9A" w:rsidP="00CC1E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1. </w:t>
      </w:r>
      <w:r w:rsidR="004C7294" w:rsidRPr="00CC1E9A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</w:p>
    <w:p w14:paraId="06C35513" w14:textId="0AB73502" w:rsidR="00A913EE" w:rsidRPr="00A913EE" w:rsidRDefault="00C7378A" w:rsidP="00A913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C1E9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CC1E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D95" w:rsidRPr="00275D95">
        <w:rPr>
          <w:rFonts w:ascii="Times New Roman" w:eastAsia="Times New Roman" w:hAnsi="Times New Roman" w:cs="Times New Roman"/>
          <w:sz w:val="28"/>
          <w:szCs w:val="28"/>
        </w:rPr>
        <w:t>Закону України «</w:t>
      </w:r>
      <w:r w:rsidR="004216E4" w:rsidRPr="004216E4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деяких </w:t>
      </w:r>
      <w:r w:rsidR="00DF2E6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216E4" w:rsidRPr="004216E4">
        <w:rPr>
          <w:rFonts w:ascii="Times New Roman" w:eastAsia="Times New Roman" w:hAnsi="Times New Roman" w:cs="Times New Roman"/>
          <w:sz w:val="28"/>
          <w:szCs w:val="28"/>
        </w:rPr>
        <w:t>аконів України щодо реалізації принципів відкритої науки</w:t>
      </w:r>
      <w:r w:rsidR="00275D95" w:rsidRPr="00275D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C1E9A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proofErr w:type="spellStart"/>
      <w:r w:rsidRPr="00CC1E9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CC1E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D95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CC1E9A">
        <w:rPr>
          <w:rFonts w:ascii="Times New Roman" w:eastAsia="Times New Roman" w:hAnsi="Times New Roman" w:cs="Times New Roman"/>
          <w:sz w:val="28"/>
          <w:szCs w:val="28"/>
        </w:rPr>
        <w:t>) розроблено з метою</w:t>
      </w:r>
      <w:r w:rsidR="00484ACA" w:rsidRPr="00CC1E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216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визначення основних засад державної політики щодо відкритої науки</w:t>
      </w:r>
      <w:r w:rsidR="00471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r w:rsidR="00471479" w:rsidRPr="00471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гармонізаці</w:t>
      </w:r>
      <w:r w:rsidR="00BC4F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ї</w:t>
      </w:r>
      <w:r w:rsidR="00471479" w:rsidRPr="00471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українського законодавства з європейськими нормами та практиками у сфері відкритого доступу до науково</w:t>
      </w:r>
      <w:r w:rsidR="00471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-технічної</w:t>
      </w:r>
      <w:r w:rsidR="00471479" w:rsidRPr="00471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інформації</w:t>
      </w:r>
      <w:r w:rsidR="007254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A9D4540" w14:textId="77777777" w:rsidR="00484ACA" w:rsidRPr="00CC1E9A" w:rsidRDefault="00484ACA" w:rsidP="00CC1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6915F" w14:textId="652A9BE5" w:rsidR="00484ACA" w:rsidRPr="00CC1E9A" w:rsidRDefault="00CC1E9A" w:rsidP="00CC1E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E9A">
        <w:rPr>
          <w:rFonts w:ascii="Times New Roman" w:eastAsia="Times New Roman" w:hAnsi="Times New Roman" w:cs="Times New Roman"/>
          <w:b/>
          <w:sz w:val="28"/>
          <w:szCs w:val="28"/>
        </w:rPr>
        <w:t>2. </w:t>
      </w:r>
      <w:r w:rsidR="004C7294" w:rsidRPr="00CC1E9A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необхідності прийняття </w:t>
      </w:r>
      <w:proofErr w:type="spellStart"/>
      <w:r w:rsidR="004C7294" w:rsidRPr="00CC1E9A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332CFFA5" w14:textId="3DDC3925" w:rsidR="00053C69" w:rsidRDefault="00053C69" w:rsidP="00217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>Питання відкритого доступу до науково-технічної інформації є однією із основ концепції відкритої науки. Саме це питання визначено як основне в низці міжнародних та регіональних нормативних та рекомендаційних документів щодо відкритої науки.</w:t>
      </w:r>
    </w:p>
    <w:p w14:paraId="448912DD" w14:textId="2E430C2B" w:rsidR="00053C69" w:rsidRDefault="00053C69" w:rsidP="00217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Фактично питання відкритості науково-технічної інформації є одним із ключових у політиці ЄС. Так, згідно з Директивою 2019/1024 Європейського </w:t>
      </w:r>
      <w:r w:rsidRPr="00A11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Парламенту і Ради від 20 </w:t>
      </w:r>
      <w:r w:rsidR="00470428" w:rsidRPr="00A11C44">
        <w:rPr>
          <w:rFonts w:ascii="Times New Roman" w:eastAsia="Calibri" w:hAnsi="Times New Roman" w:cs="Times New Roman"/>
          <w:color w:val="000000"/>
          <w:sz w:val="28"/>
          <w:szCs w:val="28"/>
        </w:rPr>
        <w:t>червня</w:t>
      </w:r>
      <w:r w:rsidRPr="00A11C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2019 року про відкриті дані і повторне</w:t>
      </w: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використання інформації публічного сектору держави-члени ЄС зобов’язані забезпечити доступність даних, отриманих у результаті наукових досліджень, шляхом розробки національних політик, спрямованих на забезпечення відкритого доступу до таких даних, що фінансуються державою (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>політика відкритого доступу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>), а також можливості повторного використання таких даних, у тому числі, в комерційних цілях (стаття 10). Забезпечення відкритого доступу до дослідницьких даних та наукових результатів є одним із ключових обов’язків у рамках програми Горизонт Європа – ключової грантової програми, покликаної підтримувати дослідження й інновації в ЄС. Україна бере участь як асоційована країна у всіх частинах Рамкової програми «Горизонт Європа» в найсучасніших версіях та завдяки фінансовому внеску до Європейського інституту інновацій та технологій згідно з Угодою між Україною і Європейським Союзом та Європейським співтовариством з атомної енергії про участь України у Рамковій програмі з досліджень та інновацій «Горизонт Європа» та Програмі з досліджень та навчання Європейського співтовариства з атомної енергії (2021-2025), комплементарній до Рамкової програми з досліджень та інновацій «Горизонт Європа».</w:t>
      </w:r>
    </w:p>
    <w:p w14:paraId="10860A60" w14:textId="7F1FBF85" w:rsidR="00471479" w:rsidRDefault="00471479" w:rsidP="00217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чинному законодавстві відсутні норми, які безпосередньо визначають: поняття відкритого доступу до науково-технічної інформації; види й обсяг науково-технічної інформації, до якої має забезпечуватися відкритий доступ; умови, за яких до науково-технічної інформації має надаватися відкритий доступ</w:t>
      </w:r>
      <w:r w:rsidR="006E30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</w:t>
      </w:r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випадки, в яких до науково-технічної інформації відкритий доступ може не надаватися попри те, що така інформація й результати отримані внаслідок реалізації наукових </w:t>
      </w:r>
      <w:proofErr w:type="spellStart"/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є</w:t>
      </w:r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>ктів</w:t>
      </w:r>
      <w:proofErr w:type="spellEnd"/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>, профінансованих за рахунок</w:t>
      </w:r>
      <w:r w:rsidR="000A59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коштів державного та місцевого</w:t>
      </w:r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</w:t>
      </w:r>
      <w:r w:rsidR="000A594E">
        <w:rPr>
          <w:rFonts w:ascii="Times New Roman" w:eastAsia="Calibri" w:hAnsi="Times New Roman" w:cs="Times New Roman"/>
          <w:color w:val="000000"/>
          <w:sz w:val="28"/>
          <w:szCs w:val="28"/>
        </w:rPr>
        <w:t>ів</w:t>
      </w:r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вимоги до змісту й форми розміщення </w:t>
      </w:r>
      <w:r w:rsidRPr="0047147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науково-технічної інформації, а також метаданих, що їх супроводжують; вимоги щодо розміщення науково-технічної інформації у державних базах даних з метою забезпечення їх довговічного й безпечного зберігання.</w:t>
      </w:r>
    </w:p>
    <w:p w14:paraId="51447E33" w14:textId="0190C13B" w:rsidR="00053C69" w:rsidRDefault="00053C69" w:rsidP="00217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Отже</w:t>
      </w: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для забезпечення відкритого доступу до науково-технічної інформації необхідним є доповнення низки законів, які регулюють питання наукової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 науково-технічної </w:t>
      </w:r>
      <w:r w:rsidRPr="00053C69">
        <w:rPr>
          <w:rFonts w:ascii="Times New Roman" w:eastAsia="Calibri" w:hAnsi="Times New Roman" w:cs="Times New Roman"/>
          <w:color w:val="000000"/>
          <w:sz w:val="28"/>
          <w:szCs w:val="28"/>
        </w:rPr>
        <w:t>діяльності, новими положеннями, а також внесення точкових змін до чинних їх норм.</w:t>
      </w:r>
    </w:p>
    <w:p w14:paraId="684A9C4C" w14:textId="6E053BA6" w:rsidR="008875D4" w:rsidRDefault="000A594E" w:rsidP="00217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апропоновані </w:t>
      </w:r>
      <w:proofErr w:type="spellStart"/>
      <w:r w:rsidR="00810780">
        <w:rPr>
          <w:rFonts w:ascii="Times New Roman" w:eastAsia="Calibri" w:hAnsi="Times New Roman" w:cs="Times New Roman"/>
          <w:color w:val="000000"/>
          <w:sz w:val="28"/>
          <w:szCs w:val="28"/>
        </w:rPr>
        <w:t>проєктом</w:t>
      </w:r>
      <w:proofErr w:type="spellEnd"/>
      <w:r w:rsidR="008107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Закону </w:t>
      </w:r>
      <w:r w:rsidR="00810780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зміни </w:t>
      </w:r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>мають потенціал суттєво трансформувати ландшаф</w:t>
      </w:r>
      <w:bookmarkStart w:id="0" w:name="_GoBack"/>
      <w:bookmarkEnd w:id="0"/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наукової комунікації в Україні, сприяючи більшій відкритості, ефективності та </w:t>
      </w:r>
      <w:proofErr w:type="spellStart"/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>інноваційності</w:t>
      </w:r>
      <w:proofErr w:type="spellEnd"/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наукових </w:t>
      </w:r>
      <w:r w:rsidR="008875D4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результатів</w:t>
      </w:r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>. Це, в свою чергу, мати</w:t>
      </w:r>
      <w:r w:rsidR="001A4AD6">
        <w:rPr>
          <w:rFonts w:ascii="Times New Roman" w:eastAsia="Calibri" w:hAnsi="Times New Roman" w:cs="Times New Roman"/>
          <w:color w:val="000000"/>
          <w:sz w:val="28"/>
          <w:szCs w:val="28"/>
        </w:rPr>
        <w:t>ме</w:t>
      </w:r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позитивний вплив на якість наукових </w:t>
      </w:r>
      <w:r w:rsidR="008875D4">
        <w:rPr>
          <w:rFonts w:ascii="Times New Roman" w:eastAsia="Calibri" w:hAnsi="Times New Roman" w:cs="Times New Roman"/>
          <w:color w:val="000000"/>
          <w:sz w:val="28"/>
          <w:szCs w:val="28"/>
        </w:rPr>
        <w:t>(науково-технічних) робіт</w:t>
      </w:r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міжнародну співпрацю, та в кінцевому рахунку </w:t>
      </w:r>
      <w:r w:rsidR="008875D4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875D4" w:rsidRPr="00887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соціально-економічний розвиток країни через більш ефективне впровадження наукових результатів.</w:t>
      </w:r>
    </w:p>
    <w:p w14:paraId="3D8A1DD8" w14:textId="77777777" w:rsidR="00C2758D" w:rsidRPr="0077654F" w:rsidRDefault="00C2758D" w:rsidP="00776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7CC3F" w14:textId="636BA1FD" w:rsidR="00484ACA" w:rsidRPr="00CD4BCE" w:rsidRDefault="00CC1E9A" w:rsidP="00CC1E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BCE">
        <w:rPr>
          <w:rFonts w:ascii="Times New Roman" w:eastAsia="Times New Roman" w:hAnsi="Times New Roman" w:cs="Times New Roman"/>
          <w:b/>
          <w:sz w:val="28"/>
          <w:szCs w:val="28"/>
        </w:rPr>
        <w:t xml:space="preserve">3. Основні положення </w:t>
      </w:r>
      <w:proofErr w:type="spellStart"/>
      <w:r w:rsidRPr="00CD4BCE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CD4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BCE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6C5AAD27" w14:textId="4150DE5D" w:rsidR="00F30EAD" w:rsidRPr="00F30EAD" w:rsidRDefault="00F30EAD" w:rsidP="00F30EA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30E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Проєктом</w:t>
      </w:r>
      <w:proofErr w:type="spellEnd"/>
      <w:r w:rsidRPr="00F30E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F30E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вносяться зміни до:</w:t>
      </w:r>
    </w:p>
    <w:p w14:paraId="507EEE44" w14:textId="77777777" w:rsidR="00F30EAD" w:rsidRPr="00F30EAD" w:rsidRDefault="00F30EAD" w:rsidP="00F30EA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30E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Закону України «Про інформацію»;</w:t>
      </w:r>
    </w:p>
    <w:p w14:paraId="5BC80A3B" w14:textId="77777777" w:rsidR="00F30EAD" w:rsidRPr="00F30EAD" w:rsidRDefault="00F30EAD" w:rsidP="00F30EA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30E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Закону України «Про науково-технічну інформацію»;</w:t>
      </w:r>
    </w:p>
    <w:p w14:paraId="797C8D4E" w14:textId="6434021C" w:rsidR="00F30EAD" w:rsidRDefault="00F30EAD" w:rsidP="00F30EA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30E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Закону України «Про наукову і науково-технічну діяльність».</w:t>
      </w:r>
    </w:p>
    <w:p w14:paraId="34943E34" w14:textId="1A88499B" w:rsidR="005F0D11" w:rsidRDefault="00C7378A" w:rsidP="00CC1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D4B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Проєктом</w:t>
      </w:r>
      <w:proofErr w:type="spellEnd"/>
      <w:r w:rsidRPr="00CD4B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D4B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CD4B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F0D11" w:rsidRPr="00CD4B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пропонується:</w:t>
      </w:r>
      <w:r w:rsidRPr="00CD4B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903A2F5" w14:textId="16A1D538" w:rsidR="00FD5556" w:rsidRDefault="00FD5556" w:rsidP="00FD5556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ввести </w:t>
      </w: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поняття відкритого доступу до науково-технічної інформації</w:t>
      </w:r>
      <w:r w:rsidR="008875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75D4" w:rsidRPr="008875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75D4" w:rsidRPr="0061539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публічного фінансування, </w:t>
      </w:r>
      <w:proofErr w:type="spellStart"/>
      <w:r w:rsidR="006457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репозитарію</w:t>
      </w:r>
      <w:proofErr w:type="spellEnd"/>
      <w:r w:rsidR="000A59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у тому числі довіреного, дослідницьких даних та метаданих</w:t>
      </w: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1EC67E00" w14:textId="77777777" w:rsidR="00FD5556" w:rsidRDefault="00FD5556" w:rsidP="00FD5556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визначити</w:t>
      </w: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види й обсяг науково-технічної інформації, до якої має забезпечуватися відкритий доступ; </w:t>
      </w:r>
    </w:p>
    <w:p w14:paraId="197142E3" w14:textId="17B5BE03" w:rsidR="00FD5556" w:rsidRDefault="00FD5556" w:rsidP="0091007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визначити умови, за яких до науково-технічної інформації має надаватися відкритий доступ і випадки, в яких до науково-технічної інформації відкритий доступ може не надаватися попри те, що така інформація й результати отримані внаслідок реалізації наукових </w:t>
      </w:r>
      <w:proofErr w:type="spellStart"/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профінансованих за рахунок </w:t>
      </w:r>
      <w:r w:rsidR="008875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публічних коштів</w:t>
      </w: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14:paraId="66A76485" w14:textId="77777777" w:rsidR="00FD5556" w:rsidRDefault="00FD5556" w:rsidP="0091007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визначити </w:t>
      </w: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вимоги до змісту й форми розміщення науково-технічної інформації, а також метаданих, що їх супроводжують; </w:t>
      </w:r>
    </w:p>
    <w:p w14:paraId="7D8B177E" w14:textId="5F48C872" w:rsidR="00FD5556" w:rsidRDefault="00FD5556" w:rsidP="0091007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визначити </w:t>
      </w:r>
      <w:r w:rsidRPr="00FD55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вимоги щодо розміщення науково-технічної інформації у державних базах даних з метою забезпечення їх довговічного й безпечного зберігання</w:t>
      </w:r>
      <w:r w:rsidR="00BC4F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25F0181" w14:textId="3D3B91CA" w:rsidR="00615393" w:rsidRDefault="00615393" w:rsidP="0061539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>встановити</w:t>
      </w:r>
      <w:r w:rsidR="00BC4FE1"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="00BC4FE1"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>іткий перелік видів наукових результатів, що підлягають обов'язковій п</w:t>
      </w:r>
      <w:r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ублікації у відкритому доступі 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онкретні строки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їх </w:t>
      </w:r>
      <w:r w:rsidRPr="00615393">
        <w:rPr>
          <w:rFonts w:ascii="Times New Roman" w:eastAsia="Calibri" w:hAnsi="Times New Roman" w:cs="Times New Roman"/>
          <w:color w:val="000000"/>
          <w:sz w:val="28"/>
          <w:szCs w:val="28"/>
        </w:rPr>
        <w:t>розміщення у відкритому доступі</w:t>
      </w:r>
      <w:r w:rsidR="000A594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89FFE88" w14:textId="77777777" w:rsidR="008875D4" w:rsidRPr="008875D4" w:rsidRDefault="008875D4" w:rsidP="008875D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FFD3AF6" w14:textId="77777777" w:rsidR="00CC1E9A" w:rsidRPr="00CC1E9A" w:rsidRDefault="00CC1E9A" w:rsidP="00CC1E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E9A">
        <w:rPr>
          <w:rFonts w:ascii="Times New Roman" w:eastAsia="Times New Roman" w:hAnsi="Times New Roman" w:cs="Times New Roman"/>
          <w:b/>
          <w:sz w:val="28"/>
          <w:szCs w:val="28"/>
        </w:rPr>
        <w:t>4. Правові аспекти</w:t>
      </w:r>
    </w:p>
    <w:p w14:paraId="23E4EF90" w14:textId="40280453" w:rsidR="008C4517" w:rsidRDefault="005F0D11" w:rsidP="008C45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F0D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5F0D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F0D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F0D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розроблено на виконання кроку </w:t>
      </w:r>
      <w:r w:rsidR="005A5D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322</w:t>
      </w:r>
      <w:r w:rsidRPr="005F0D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Плану пріоритетних дій Уряду на 202</w:t>
      </w:r>
      <w:r w:rsidR="005A5D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5F0D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рік, затвердженого розпорядженням Кабінету Міністрів України від </w:t>
      </w:r>
      <w:r w:rsidR="005A5DC7" w:rsidRPr="005A5D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18 лютого 2025 р. №</w:t>
      </w:r>
      <w:r w:rsidR="005A5D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A5DC7" w:rsidRPr="005A5D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131-р</w:t>
      </w:r>
      <w:r w:rsidR="00C176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17694" w:rsidRPr="00C176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та завдання 3 Національного плану </w:t>
      </w:r>
      <w:r w:rsidR="00C17694" w:rsidRPr="00C176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щодо відкритої науки, затвердженого розпорядженням Кабінету Міністрів України від 08 жовтня 2022 року №</w:t>
      </w:r>
      <w:r w:rsidR="000A59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17694" w:rsidRPr="00C176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892-р</w:t>
      </w:r>
      <w:r w:rsidR="00AF2D3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8C4517" w:rsidRPr="008C45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1EBE8D5" w14:textId="77777777" w:rsidR="005A5DC7" w:rsidRDefault="008C4517" w:rsidP="008C45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імплементує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положення</w:t>
      </w:r>
      <w:r w:rsidRPr="00C40B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913EE">
        <w:rPr>
          <w:rFonts w:ascii="Times New Roman" w:eastAsia="Calibri" w:hAnsi="Times New Roman" w:cs="Times New Roman"/>
          <w:color w:val="000000"/>
          <w:sz w:val="28"/>
          <w:szCs w:val="28"/>
        </w:rPr>
        <w:t>актів законодавства Європейського Союзу в частині відкритої науки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913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0B76">
        <w:rPr>
          <w:rFonts w:ascii="Times New Roman" w:eastAsia="Calibri" w:hAnsi="Times New Roman" w:cs="Times New Roman"/>
          <w:color w:val="000000"/>
          <w:sz w:val="28"/>
          <w:szCs w:val="28"/>
        </w:rPr>
        <w:t>а саме</w:t>
      </w:r>
      <w:r w:rsidR="005A5DC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955B205" w14:textId="2F2469D6" w:rsidR="005A5DC7" w:rsidRPr="005A5DC7" w:rsidRDefault="008C4517" w:rsidP="00FD5556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DC7">
        <w:rPr>
          <w:rFonts w:ascii="Times New Roman" w:eastAsia="Calibri" w:hAnsi="Times New Roman" w:cs="Times New Roman"/>
          <w:color w:val="000000"/>
          <w:sz w:val="28"/>
          <w:szCs w:val="28"/>
        </w:rPr>
        <w:t>Директиви (ЄС) 2019/1024 Європейського Парламенту і Ради від 20</w:t>
      </w:r>
      <w:r w:rsidR="0064572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A5DC7">
        <w:rPr>
          <w:rFonts w:ascii="Times New Roman" w:eastAsia="Calibri" w:hAnsi="Times New Roman" w:cs="Times New Roman"/>
          <w:color w:val="000000"/>
          <w:sz w:val="28"/>
          <w:szCs w:val="28"/>
        </w:rPr>
        <w:t>червня 2019 року про відкриті дані та повторне використання інформації державного сектору (переглянута)</w:t>
      </w:r>
      <w:r w:rsidR="0064572A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E3D0E74" w14:textId="66173FDF" w:rsidR="0064572A" w:rsidRPr="005A5DC7" w:rsidRDefault="0064572A" w:rsidP="0064572A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DC7"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Регламенту (ЄС) 2021/695 Європейського Парламенту і Ради від 28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A5DC7">
        <w:rPr>
          <w:rFonts w:ascii="Times New Roman" w:eastAsia="Calibri" w:hAnsi="Times New Roman" w:cs="Times New Roman"/>
          <w:color w:val="000000"/>
          <w:sz w:val="28"/>
          <w:szCs w:val="28"/>
        </w:rPr>
        <w:t>квітня 2021 року про заснування Горизонт Європа – Рамкової програми з досліджень та інновацій, що встановлює її правила для участі та поширення і скасовує Регламенти (ЄС) № 1290/2013 та (ЄС) № 1291/2013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CB85BD7" w14:textId="5B31E725" w:rsidR="005A5DC7" w:rsidRDefault="005A5DC7" w:rsidP="005A5D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Закону </w:t>
      </w:r>
      <w:r w:rsidR="00FD5556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направлений на виконання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0B76">
        <w:rPr>
          <w:rFonts w:ascii="Times New Roman" w:eastAsia="Calibri" w:hAnsi="Times New Roman" w:cs="Times New Roman"/>
          <w:color w:val="000000"/>
          <w:sz w:val="28"/>
          <w:szCs w:val="28"/>
        </w:rPr>
        <w:t>рекомендацій Європейського Союзу в частині відкритої науки, визначених Рекомендацією Комісії (ЄС) 2018/790 від 25 квітня 2018 року щодо доступу та збереження наукової інформації</w:t>
      </w:r>
      <w:r w:rsidR="00040DBB">
        <w:rPr>
          <w:rFonts w:ascii="Times New Roman" w:eastAsia="Calibri" w:hAnsi="Times New Roman" w:cs="Times New Roman"/>
          <w:color w:val="000000"/>
          <w:sz w:val="28"/>
          <w:szCs w:val="28"/>
        </w:rPr>
        <w:t>, а також Рекомендацій Ради</w:t>
      </w:r>
      <w:r w:rsidR="00BF1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(ЄС) 2021/212 від </w:t>
      </w:r>
      <w:r w:rsidR="00BF1FDF" w:rsidRPr="00040DBB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BF1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листопада </w:t>
      </w:r>
      <w:r w:rsidR="00BF1FDF" w:rsidRPr="00040DBB">
        <w:rPr>
          <w:rFonts w:ascii="Times New Roman" w:eastAsia="Calibri" w:hAnsi="Times New Roman" w:cs="Times New Roman"/>
          <w:color w:val="000000"/>
          <w:sz w:val="28"/>
          <w:szCs w:val="28"/>
        </w:rPr>
        <w:t>2021</w:t>
      </w:r>
      <w:r w:rsidR="00BF1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року </w:t>
      </w:r>
      <w:r w:rsidR="00040D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щодо </w:t>
      </w:r>
      <w:r w:rsidR="00040DBB" w:rsidRPr="00040DBB">
        <w:rPr>
          <w:rFonts w:ascii="Times New Roman" w:eastAsia="Calibri" w:hAnsi="Times New Roman" w:cs="Times New Roman"/>
          <w:color w:val="000000"/>
          <w:sz w:val="28"/>
          <w:szCs w:val="28"/>
        </w:rPr>
        <w:t>Пакт</w:t>
      </w:r>
      <w:r w:rsidR="00040DBB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040DBB" w:rsidRPr="00040D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дослідження та інновації в Європі</w:t>
      </w:r>
      <w:r w:rsidR="00BF1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частині відкритої науки</w:t>
      </w:r>
      <w:r w:rsidRPr="0072549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CDE8482" w14:textId="0E3E14F1" w:rsidR="00F30EAD" w:rsidRDefault="00F30EAD" w:rsidP="005A5D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F30EAD">
        <w:rPr>
          <w:rFonts w:ascii="Times New Roman" w:eastAsia="Calibri" w:hAnsi="Times New Roman" w:cs="Times New Roman"/>
          <w:color w:val="000000"/>
          <w:sz w:val="28"/>
          <w:szCs w:val="28"/>
        </w:rPr>
        <w:t>Законопроєкт</w:t>
      </w:r>
      <w:proofErr w:type="spellEnd"/>
      <w:r w:rsidRPr="00F30E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також враховує 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F30EAD">
        <w:rPr>
          <w:rFonts w:ascii="Times New Roman" w:eastAsia="Calibri" w:hAnsi="Times New Roman" w:cs="Times New Roman"/>
          <w:color w:val="000000"/>
          <w:sz w:val="28"/>
          <w:szCs w:val="28"/>
        </w:rPr>
        <w:t>екомендаці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F30E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ЮНЕСКО щодо політики відкритої науки та відкритого доступу до результатів наукових досліджень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 2021 року та </w:t>
      </w:r>
      <w:r w:rsidR="00D15BFE" w:rsidRPr="00D15BFE">
        <w:rPr>
          <w:rFonts w:ascii="Times New Roman" w:eastAsia="Calibri" w:hAnsi="Times New Roman" w:cs="Times New Roman"/>
          <w:color w:val="000000"/>
          <w:sz w:val="28"/>
          <w:szCs w:val="28"/>
        </w:rPr>
        <w:t>Рекомендаці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D15BFE" w:rsidRPr="00D15B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ОЕСР </w:t>
      </w:r>
      <w:r w:rsidR="00D15BFE" w:rsidRPr="00D15B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щодо доступу до дослідницьких даних, що фінансуються за 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рахунок публічних коштів (</w:t>
      </w:r>
      <w:r w:rsidR="00D15BFE" w:rsidRPr="00D15BFE">
        <w:rPr>
          <w:rFonts w:ascii="Times New Roman" w:eastAsia="Calibri" w:hAnsi="Times New Roman" w:cs="Times New Roman"/>
          <w:color w:val="000000"/>
          <w:sz w:val="28"/>
          <w:szCs w:val="28"/>
        </w:rPr>
        <w:t>OECD/LEGAL/0347</w:t>
      </w:r>
      <w:r w:rsidR="00D15BFE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14:paraId="46F2BAC0" w14:textId="5FD156F5" w:rsidR="00CC1E9A" w:rsidRDefault="00CC1E9A" w:rsidP="00CC1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F05F82F" w14:textId="77777777" w:rsidR="00BE128D" w:rsidRPr="00BE128D" w:rsidRDefault="00BE128D" w:rsidP="00BE12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28D">
        <w:rPr>
          <w:rFonts w:ascii="Times New Roman" w:eastAsia="Times New Roman" w:hAnsi="Times New Roman" w:cs="Times New Roman"/>
          <w:b/>
          <w:sz w:val="28"/>
          <w:szCs w:val="28"/>
        </w:rPr>
        <w:t>5. Фінансово-економічне обґрунтування</w:t>
      </w:r>
    </w:p>
    <w:p w14:paraId="530F0561" w14:textId="434AEA9E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Реалізація </w:t>
      </w:r>
      <w:proofErr w:type="spellStart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потребуватиме додаткового фінансування з </w:t>
      </w:r>
      <w:r w:rsidR="00081BFA"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ержавного бюджету України.</w:t>
      </w:r>
    </w:p>
    <w:p w14:paraId="7D01ED43" w14:textId="4DF811A2" w:rsidR="00CC1E9A" w:rsidRDefault="00CC1E9A" w:rsidP="00CC1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1286264" w14:textId="77777777" w:rsidR="00BE128D" w:rsidRPr="00BE128D" w:rsidRDefault="00BE128D" w:rsidP="00BE12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28D">
        <w:rPr>
          <w:rFonts w:ascii="Times New Roman" w:eastAsia="Times New Roman" w:hAnsi="Times New Roman" w:cs="Times New Roman"/>
          <w:b/>
          <w:sz w:val="28"/>
          <w:szCs w:val="28"/>
        </w:rPr>
        <w:t>6. Позиція заінтересованих сторін</w:t>
      </w:r>
    </w:p>
    <w:p w14:paraId="301D588C" w14:textId="25661CE0" w:rsidR="00557178" w:rsidRPr="00557178" w:rsidRDefault="00557178" w:rsidP="005571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Громадське обговорення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відбулося у формі електронних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консультацій, які були проведені відповідно до Порядку проведення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консультацій з громадськістю з питань формування та реалізації державної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політики, затвердженого постановою Кабінету Міністрів України від 03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листопада 2010 року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996 «Про забезпечення участі громадськості 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формуванні та реалізації державної політики».</w:t>
      </w:r>
    </w:p>
    <w:p w14:paraId="129E7B37" w14:textId="268B76B1" w:rsidR="00557178" w:rsidRPr="002E1618" w:rsidRDefault="00557178" w:rsidP="005571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Звіт про результати громадського обговорення розміщено на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16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МОН за посиланням: </w:t>
      </w:r>
      <w:hyperlink r:id="rId7" w:history="1">
        <w:r w:rsidR="002E1618" w:rsidRPr="002E1618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lang w:eastAsia="ru-RU"/>
          </w:rPr>
          <w:t>https://surl.lu/alhdmj</w:t>
        </w:r>
      </w:hyperlink>
      <w:r w:rsidRPr="002E16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1CEB966" w14:textId="03C3C345" w:rsidR="00557178" w:rsidRPr="00557178" w:rsidRDefault="00557178" w:rsidP="005571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стосується питань функціонування місцевого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самоврядування.</w:t>
      </w:r>
    </w:p>
    <w:p w14:paraId="2451A72E" w14:textId="476706F9" w:rsidR="00557178" w:rsidRPr="00557178" w:rsidRDefault="00557178" w:rsidP="005571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стосується прав та інтересів територіальних громад,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місцевого та регіонального розвитку.</w:t>
      </w:r>
    </w:p>
    <w:p w14:paraId="40AD68A7" w14:textId="700C6A82" w:rsidR="00557178" w:rsidRPr="00557178" w:rsidRDefault="00557178" w:rsidP="005571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стосується соціально-трудової сфери, прав осіб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інвалідністю.</w:t>
      </w:r>
    </w:p>
    <w:p w14:paraId="7A2036C7" w14:textId="68EDBA5C" w:rsidR="00557178" w:rsidRPr="00557178" w:rsidRDefault="00557178" w:rsidP="005571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стосується функціонування і застосування української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мови як державної.</w:t>
      </w:r>
    </w:p>
    <w:p w14:paraId="5ED25012" w14:textId="5E2AD8B1" w:rsidR="00557178" w:rsidRDefault="00557178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Проєкт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стосується сфери наукової та науково-технічної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діяльності, потребує проведення експертизи Науковим комітетом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71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Національної ради України з питань розвитку науки і технологій.</w:t>
      </w:r>
    </w:p>
    <w:p w14:paraId="29C924B7" w14:textId="51647105" w:rsidR="00151AA7" w:rsidRDefault="00151AA7" w:rsidP="00CC1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5A5D9CA" w14:textId="77777777" w:rsidR="00BE128D" w:rsidRPr="00BE128D" w:rsidRDefault="00BE128D" w:rsidP="00BE12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28D">
        <w:rPr>
          <w:rFonts w:ascii="Times New Roman" w:eastAsia="Times New Roman" w:hAnsi="Times New Roman" w:cs="Times New Roman"/>
          <w:b/>
          <w:sz w:val="28"/>
          <w:szCs w:val="28"/>
        </w:rPr>
        <w:t>7. Оцінка відповідності</w:t>
      </w:r>
    </w:p>
    <w:p w14:paraId="26A10E26" w14:textId="77777777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проєкті</w:t>
      </w:r>
      <w:proofErr w:type="spellEnd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відсутні положення, що:</w:t>
      </w:r>
      <w:bookmarkStart w:id="1" w:name="n3502"/>
      <w:bookmarkEnd w:id="1"/>
    </w:p>
    <w:p w14:paraId="5D3480CC" w14:textId="77777777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" w:name="n3503"/>
      <w:bookmarkEnd w:id="2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стосуються прав та свобод, гарантованих Конвенцією про захист прав людини і основоположних свобод;</w:t>
      </w:r>
    </w:p>
    <w:p w14:paraId="423DEEDF" w14:textId="77777777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" w:name="n3504"/>
      <w:bookmarkEnd w:id="3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впливають на забезпечення рівних прав та можливостей жінок і чоловіків;</w:t>
      </w:r>
    </w:p>
    <w:p w14:paraId="5D01B5E7" w14:textId="77777777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" w:name="n3505"/>
      <w:bookmarkEnd w:id="4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містять ризики вчинення корупційних правопорушень та правопорушень, пов’язаних з корупцією;</w:t>
      </w:r>
    </w:p>
    <w:p w14:paraId="25AC5768" w14:textId="77777777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5" w:name="n3506"/>
      <w:bookmarkEnd w:id="5"/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створюють підстави для дискримінації.</w:t>
      </w:r>
    </w:p>
    <w:p w14:paraId="0FBCD64D" w14:textId="6F5DAD03" w:rsidR="0064572A" w:rsidRPr="00BE128D" w:rsidRDefault="001A4AD6" w:rsidP="001A4AD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потребує направлення до Урядового офісу координації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Європейської та Євроатлантичної інтеграції Секретаріату Кабінету Міністрів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України для проведення експертизи на відповідність зобов’язанням України 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сфері Європейської інтеграції, у тому числі, міжнародно-правовим, та праву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Європейського союзу (</w:t>
      </w:r>
      <w:proofErr w:type="spellStart"/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acquis</w:t>
      </w:r>
      <w:proofErr w:type="spellEnd"/>
      <w:r w:rsidRPr="001A4A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ЄС).</w:t>
      </w:r>
    </w:p>
    <w:p w14:paraId="5FA1E741" w14:textId="5B169978" w:rsidR="00BE128D" w:rsidRPr="00BE128D" w:rsidRDefault="00BE128D" w:rsidP="00BE12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</w:t>
      </w:r>
      <w:proofErr w:type="spellEnd"/>
      <w:r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55FDB"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потребує </w:t>
      </w:r>
      <w:r w:rsidR="00226931"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направлення до</w:t>
      </w:r>
      <w:r w:rsidRPr="00A11C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Національного агентства з питань</w:t>
      </w:r>
      <w:r w:rsidRPr="00BE1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запобігання корупції для визначення необхідності проведення антикорупційної експертизи.</w:t>
      </w:r>
    </w:p>
    <w:p w14:paraId="731CA4DA" w14:textId="2CED2EFD" w:rsidR="00CC1E9A" w:rsidRDefault="00CC1E9A" w:rsidP="00CC1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2CC894C" w14:textId="77777777" w:rsidR="00AF1566" w:rsidRPr="00AF1566" w:rsidRDefault="00AF1566" w:rsidP="00AF156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566">
        <w:rPr>
          <w:rFonts w:ascii="Times New Roman" w:eastAsia="Times New Roman" w:hAnsi="Times New Roman" w:cs="Times New Roman"/>
          <w:b/>
          <w:sz w:val="28"/>
          <w:szCs w:val="28"/>
        </w:rPr>
        <w:t>8. Прогноз результатів</w:t>
      </w:r>
    </w:p>
    <w:p w14:paraId="0BBC09A5" w14:textId="77777777" w:rsidR="00AF1566" w:rsidRPr="00AF1566" w:rsidRDefault="00AF1566" w:rsidP="00AF156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15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Реалізація </w:t>
      </w:r>
      <w:proofErr w:type="spellStart"/>
      <w:r w:rsidRPr="00AF15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 w:rsidRPr="00AF15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15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акта</w:t>
      </w:r>
      <w:proofErr w:type="spellEnd"/>
      <w:r w:rsidRPr="00AF15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впливає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47CABB09" w14:textId="263404D0" w:rsidR="00AF1566" w:rsidRDefault="00AF1566" w:rsidP="00AF156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15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Вплив на інтереси заінтересованих сторін:</w:t>
      </w:r>
    </w:p>
    <w:p w14:paraId="34A97701" w14:textId="77777777" w:rsidR="007D7178" w:rsidRPr="00AF1566" w:rsidRDefault="007D7178" w:rsidP="00AF156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7D7178" w:rsidRPr="00B3150B" w14:paraId="7255C06D" w14:textId="77777777" w:rsidTr="002355BA">
        <w:tc>
          <w:tcPr>
            <w:tcW w:w="2263" w:type="dxa"/>
            <w:vAlign w:val="center"/>
          </w:tcPr>
          <w:p w14:paraId="50D56981" w14:textId="77777777" w:rsidR="007D7178" w:rsidRPr="00B3150B" w:rsidRDefault="007D7178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 w:rsidRPr="00B3150B">
              <w:rPr>
                <w:color w:val="000000"/>
                <w:sz w:val="28"/>
              </w:rPr>
              <w:t>Заінтересована сторона</w:t>
            </w:r>
          </w:p>
        </w:tc>
        <w:tc>
          <w:tcPr>
            <w:tcW w:w="3261" w:type="dxa"/>
            <w:vAlign w:val="center"/>
          </w:tcPr>
          <w:p w14:paraId="263D61F1" w14:textId="77777777" w:rsidR="007D7178" w:rsidRPr="00B3150B" w:rsidRDefault="007D7178" w:rsidP="002355BA">
            <w:pPr>
              <w:pStyle w:val="rvps2"/>
              <w:spacing w:before="0" w:beforeAutospacing="0" w:after="150" w:afterAutospacing="0"/>
              <w:ind w:left="-15" w:right="-14"/>
              <w:contextualSpacing/>
              <w:jc w:val="center"/>
              <w:rPr>
                <w:color w:val="000000"/>
                <w:sz w:val="28"/>
              </w:rPr>
            </w:pPr>
            <w:r w:rsidRPr="00B3150B">
              <w:rPr>
                <w:color w:val="000000"/>
                <w:sz w:val="28"/>
              </w:rPr>
              <w:t xml:space="preserve">Вплив реалізації </w:t>
            </w:r>
            <w:proofErr w:type="spellStart"/>
            <w:r w:rsidRPr="00B3150B">
              <w:rPr>
                <w:color w:val="000000"/>
                <w:sz w:val="28"/>
              </w:rPr>
              <w:t>акта</w:t>
            </w:r>
            <w:proofErr w:type="spellEnd"/>
            <w:r w:rsidRPr="00B3150B">
              <w:rPr>
                <w:color w:val="000000"/>
                <w:sz w:val="28"/>
              </w:rPr>
              <w:t xml:space="preserve"> на заінтересовану сторону</w:t>
            </w:r>
          </w:p>
        </w:tc>
        <w:tc>
          <w:tcPr>
            <w:tcW w:w="3827" w:type="dxa"/>
            <w:vAlign w:val="center"/>
          </w:tcPr>
          <w:p w14:paraId="1BE3197E" w14:textId="77777777" w:rsidR="007D7178" w:rsidRPr="00B3150B" w:rsidRDefault="007D7178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 w:rsidRPr="00B3150B">
              <w:rPr>
                <w:color w:val="000000"/>
                <w:sz w:val="28"/>
              </w:rPr>
              <w:t>Пояснення очікуваного впливу</w:t>
            </w:r>
          </w:p>
        </w:tc>
      </w:tr>
      <w:tr w:rsidR="007D7178" w:rsidRPr="00B3150B" w14:paraId="48D86552" w14:textId="77777777" w:rsidTr="002355BA">
        <w:tc>
          <w:tcPr>
            <w:tcW w:w="2263" w:type="dxa"/>
            <w:vAlign w:val="center"/>
          </w:tcPr>
          <w:p w14:paraId="02CDF0FC" w14:textId="7BA37C26" w:rsidR="007D7178" w:rsidRPr="00B3150B" w:rsidRDefault="007C2607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</w:t>
            </w:r>
            <w:r w:rsidR="00272699">
              <w:rPr>
                <w:color w:val="000000"/>
                <w:sz w:val="28"/>
              </w:rPr>
              <w:t>чені</w:t>
            </w:r>
          </w:p>
        </w:tc>
        <w:tc>
          <w:tcPr>
            <w:tcW w:w="3261" w:type="dxa"/>
            <w:vAlign w:val="center"/>
          </w:tcPr>
          <w:p w14:paraId="33FA2ECE" w14:textId="77777777" w:rsidR="007D7178" w:rsidRPr="00B3150B" w:rsidRDefault="007D7178" w:rsidP="007D7178">
            <w:pPr>
              <w:pStyle w:val="rvps2"/>
              <w:spacing w:before="0" w:beforeAutospacing="0" w:after="150" w:afterAutospacing="0"/>
              <w:ind w:right="-142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Позитивний</w:t>
            </w:r>
          </w:p>
          <w:p w14:paraId="31A2A05B" w14:textId="77777777" w:rsidR="007D7178" w:rsidRPr="00B3150B" w:rsidRDefault="007D7178" w:rsidP="002355BA">
            <w:pPr>
              <w:pStyle w:val="rvps2"/>
              <w:spacing w:before="0" w:beforeAutospacing="0" w:after="150" w:afterAutospacing="0"/>
              <w:ind w:left="-15" w:right="-14"/>
              <w:contextualSpacing/>
              <w:jc w:val="center"/>
              <w:rPr>
                <w:color w:val="000000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46EE8E5D" w14:textId="7C6E1DE7" w:rsidR="00F30EAD" w:rsidRPr="00B3150B" w:rsidRDefault="009F4E81" w:rsidP="00A572A3">
            <w:pPr>
              <w:pStyle w:val="rvps2"/>
              <w:spacing w:after="150"/>
              <w:ind w:right="-67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</w:t>
            </w:r>
            <w:r w:rsidR="00F30EAD" w:rsidRPr="00F30EAD">
              <w:rPr>
                <w:color w:val="000000"/>
                <w:sz w:val="28"/>
              </w:rPr>
              <w:t xml:space="preserve">творює умови для відкритого поширення результатів наукових досліджень, що сприяє зростанню </w:t>
            </w:r>
            <w:proofErr w:type="spellStart"/>
            <w:r w:rsidR="00F30EAD" w:rsidRPr="00F30EAD">
              <w:rPr>
                <w:color w:val="000000"/>
                <w:sz w:val="28"/>
              </w:rPr>
              <w:t>цитованості</w:t>
            </w:r>
            <w:proofErr w:type="spellEnd"/>
            <w:r w:rsidR="00F30EAD" w:rsidRPr="00F30EAD">
              <w:rPr>
                <w:color w:val="000000"/>
                <w:sz w:val="28"/>
              </w:rPr>
              <w:t>, академічної видимості та міжнародного наукового співробітництва</w:t>
            </w:r>
            <w:r w:rsidR="00F30EAD">
              <w:rPr>
                <w:color w:val="000000"/>
                <w:sz w:val="28"/>
              </w:rPr>
              <w:t>.</w:t>
            </w:r>
          </w:p>
        </w:tc>
      </w:tr>
      <w:tr w:rsidR="007C2607" w:rsidRPr="00B3150B" w14:paraId="41DB5B7A" w14:textId="77777777" w:rsidTr="002355BA">
        <w:tc>
          <w:tcPr>
            <w:tcW w:w="2263" w:type="dxa"/>
            <w:vAlign w:val="center"/>
          </w:tcPr>
          <w:p w14:paraId="1391DA3B" w14:textId="124C24BD" w:rsidR="007C2607" w:rsidRDefault="007C2607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Наукові установи, заклади вищої освіти</w:t>
            </w:r>
          </w:p>
        </w:tc>
        <w:tc>
          <w:tcPr>
            <w:tcW w:w="3261" w:type="dxa"/>
            <w:vAlign w:val="center"/>
          </w:tcPr>
          <w:p w14:paraId="5D6DC60D" w14:textId="035BCE30" w:rsidR="007C2607" w:rsidRDefault="007C2607" w:rsidP="007D7178">
            <w:pPr>
              <w:pStyle w:val="rvps2"/>
              <w:spacing w:before="0" w:beforeAutospacing="0" w:after="150" w:afterAutospacing="0"/>
              <w:ind w:right="-142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Позитивний</w:t>
            </w:r>
          </w:p>
        </w:tc>
        <w:tc>
          <w:tcPr>
            <w:tcW w:w="3827" w:type="dxa"/>
            <w:vAlign w:val="center"/>
          </w:tcPr>
          <w:p w14:paraId="5753B88A" w14:textId="177279E8" w:rsidR="007C2607" w:rsidRDefault="009F4E81" w:rsidP="009F4E81">
            <w:pPr>
              <w:pStyle w:val="rvps2"/>
              <w:spacing w:after="150"/>
              <w:ind w:right="-67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="00F30EAD" w:rsidRPr="009F5AC0">
              <w:rPr>
                <w:color w:val="000000"/>
                <w:sz w:val="28"/>
              </w:rPr>
              <w:t>абезпеч</w:t>
            </w:r>
            <w:r>
              <w:rPr>
                <w:color w:val="000000"/>
                <w:sz w:val="28"/>
              </w:rPr>
              <w:t>ує</w:t>
            </w:r>
            <w:r w:rsidR="00F30EAD" w:rsidRPr="009F5AC0">
              <w:rPr>
                <w:color w:val="000000"/>
                <w:sz w:val="28"/>
              </w:rPr>
              <w:t xml:space="preserve"> </w:t>
            </w:r>
            <w:r w:rsidR="00F30EAD" w:rsidRPr="00A572A3">
              <w:rPr>
                <w:color w:val="000000"/>
                <w:sz w:val="28"/>
              </w:rPr>
              <w:t>підвищенн</w:t>
            </w:r>
            <w:r w:rsidR="00F30EAD">
              <w:rPr>
                <w:color w:val="000000"/>
                <w:sz w:val="28"/>
              </w:rPr>
              <w:t>я</w:t>
            </w:r>
            <w:r w:rsidR="00F30EAD" w:rsidRPr="00A572A3">
              <w:rPr>
                <w:color w:val="000000"/>
                <w:sz w:val="28"/>
              </w:rPr>
              <w:t xml:space="preserve"> прозорості та якості у підтвердженні достовірності </w:t>
            </w:r>
            <w:r w:rsidR="00F30EAD">
              <w:rPr>
                <w:color w:val="000000"/>
                <w:sz w:val="28"/>
              </w:rPr>
              <w:lastRenderedPageBreak/>
              <w:t xml:space="preserve">результатів досліджень, </w:t>
            </w:r>
            <w:r w:rsidR="00F30EAD" w:rsidRPr="00A572A3">
              <w:rPr>
                <w:color w:val="000000"/>
                <w:sz w:val="28"/>
              </w:rPr>
              <w:t>прискор</w:t>
            </w:r>
            <w:r>
              <w:rPr>
                <w:color w:val="000000"/>
                <w:sz w:val="28"/>
              </w:rPr>
              <w:t>ює</w:t>
            </w:r>
            <w:r w:rsidR="00F30EAD" w:rsidRPr="00A572A3">
              <w:rPr>
                <w:color w:val="000000"/>
                <w:sz w:val="28"/>
              </w:rPr>
              <w:t xml:space="preserve"> переда</w:t>
            </w:r>
            <w:r w:rsidR="00F30EAD">
              <w:rPr>
                <w:color w:val="000000"/>
                <w:sz w:val="28"/>
              </w:rPr>
              <w:t>ння</w:t>
            </w:r>
            <w:r w:rsidR="00F30EAD" w:rsidRPr="00A572A3">
              <w:rPr>
                <w:color w:val="000000"/>
                <w:sz w:val="28"/>
              </w:rPr>
              <w:t xml:space="preserve"> знань, сприя</w:t>
            </w:r>
            <w:r w:rsidR="00F30EAD">
              <w:rPr>
                <w:color w:val="000000"/>
                <w:sz w:val="28"/>
              </w:rPr>
              <w:t>тиме</w:t>
            </w:r>
            <w:r w:rsidR="00F30EAD" w:rsidRPr="00A572A3">
              <w:rPr>
                <w:color w:val="000000"/>
                <w:sz w:val="28"/>
              </w:rPr>
              <w:t xml:space="preserve"> більш швидкому переходу від досліджень до інновацій</w:t>
            </w:r>
            <w:r w:rsidR="00F30EAD" w:rsidRPr="009F5AC0">
              <w:rPr>
                <w:color w:val="000000"/>
                <w:sz w:val="28"/>
              </w:rPr>
              <w:t>.</w:t>
            </w:r>
          </w:p>
        </w:tc>
      </w:tr>
      <w:tr w:rsidR="00F30EAD" w:rsidRPr="00B3150B" w14:paraId="2E1BB81C" w14:textId="77777777" w:rsidTr="002355BA">
        <w:tc>
          <w:tcPr>
            <w:tcW w:w="2263" w:type="dxa"/>
            <w:vAlign w:val="center"/>
          </w:tcPr>
          <w:p w14:paraId="616A521E" w14:textId="15F46E94" w:rsidR="00F30EAD" w:rsidRDefault="00F30EAD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 w:rsidRPr="00F30EAD">
              <w:rPr>
                <w:color w:val="000000"/>
                <w:sz w:val="28"/>
              </w:rPr>
              <w:lastRenderedPageBreak/>
              <w:t>Громадянське суспільство, ЗМІ</w:t>
            </w:r>
          </w:p>
        </w:tc>
        <w:tc>
          <w:tcPr>
            <w:tcW w:w="3261" w:type="dxa"/>
            <w:vAlign w:val="center"/>
          </w:tcPr>
          <w:p w14:paraId="46DD3CE3" w14:textId="31268CCE" w:rsidR="00F30EAD" w:rsidRDefault="00F30EAD" w:rsidP="007D7178">
            <w:pPr>
              <w:pStyle w:val="rvps2"/>
              <w:spacing w:before="0" w:beforeAutospacing="0" w:after="150" w:afterAutospacing="0"/>
              <w:ind w:right="-142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Позитивний</w:t>
            </w:r>
          </w:p>
        </w:tc>
        <w:tc>
          <w:tcPr>
            <w:tcW w:w="3827" w:type="dxa"/>
            <w:vAlign w:val="center"/>
          </w:tcPr>
          <w:p w14:paraId="3075B133" w14:textId="69E8E797" w:rsidR="00F30EAD" w:rsidRPr="009F5AC0" w:rsidRDefault="00F30EAD" w:rsidP="00F30EAD">
            <w:pPr>
              <w:pStyle w:val="rvps2"/>
              <w:spacing w:after="150"/>
              <w:ind w:right="-67"/>
              <w:contextualSpacing/>
              <w:jc w:val="both"/>
              <w:rPr>
                <w:color w:val="000000"/>
                <w:sz w:val="28"/>
              </w:rPr>
            </w:pPr>
            <w:r w:rsidRPr="00F30EAD">
              <w:rPr>
                <w:color w:val="000000"/>
                <w:sz w:val="28"/>
              </w:rPr>
              <w:t>Розширюється можливість доступу до достовірної, сучасної наукової інформації, що сприяє розвитку наукової грамотності, демократизації знань та посиленню участі громадськості в обговоренні наукових політик</w:t>
            </w:r>
            <w:r>
              <w:rPr>
                <w:color w:val="000000"/>
                <w:sz w:val="28"/>
              </w:rPr>
              <w:t>.</w:t>
            </w:r>
          </w:p>
        </w:tc>
      </w:tr>
      <w:tr w:rsidR="00F30EAD" w:rsidRPr="00B3150B" w14:paraId="4CB08782" w14:textId="77777777" w:rsidTr="002355BA">
        <w:tc>
          <w:tcPr>
            <w:tcW w:w="2263" w:type="dxa"/>
            <w:vAlign w:val="center"/>
          </w:tcPr>
          <w:p w14:paraId="0A8DE327" w14:textId="21EB2AD9" w:rsidR="00F30EAD" w:rsidRPr="00F30EAD" w:rsidRDefault="00F30EAD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 w:rsidRPr="00F30EAD">
              <w:rPr>
                <w:color w:val="000000"/>
                <w:sz w:val="28"/>
              </w:rPr>
              <w:t>Бібліотеки, наукові видавництва та редакції журналів</w:t>
            </w:r>
          </w:p>
        </w:tc>
        <w:tc>
          <w:tcPr>
            <w:tcW w:w="3261" w:type="dxa"/>
            <w:vAlign w:val="center"/>
          </w:tcPr>
          <w:p w14:paraId="00500AD1" w14:textId="27654CF8" w:rsidR="00F30EAD" w:rsidRDefault="00F30EAD" w:rsidP="007D7178">
            <w:pPr>
              <w:pStyle w:val="rvps2"/>
              <w:spacing w:before="0" w:beforeAutospacing="0" w:after="150" w:afterAutospacing="0"/>
              <w:ind w:right="-142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Позитивний</w:t>
            </w:r>
          </w:p>
        </w:tc>
        <w:tc>
          <w:tcPr>
            <w:tcW w:w="3827" w:type="dxa"/>
            <w:vAlign w:val="center"/>
          </w:tcPr>
          <w:p w14:paraId="19BB9785" w14:textId="31192C67" w:rsidR="00F30EAD" w:rsidRPr="00F30EAD" w:rsidRDefault="00F30EAD" w:rsidP="00F30EAD">
            <w:pPr>
              <w:pStyle w:val="rvps2"/>
              <w:spacing w:after="150"/>
              <w:ind w:right="-67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F30EAD">
              <w:rPr>
                <w:color w:val="000000"/>
                <w:sz w:val="28"/>
              </w:rPr>
              <w:t>’являються нові можливості для підтримки та розвитку відкритого доступу, зокрема через державну підтримку українських наукових журналів, які відповідають міжнародним стандартам</w:t>
            </w:r>
          </w:p>
        </w:tc>
      </w:tr>
      <w:tr w:rsidR="00F30EAD" w:rsidRPr="00B3150B" w14:paraId="774138F9" w14:textId="77777777" w:rsidTr="002355BA">
        <w:tc>
          <w:tcPr>
            <w:tcW w:w="2263" w:type="dxa"/>
            <w:vAlign w:val="center"/>
          </w:tcPr>
          <w:p w14:paraId="44A4FA73" w14:textId="7EF29592" w:rsidR="00F30EAD" w:rsidRPr="00F30EAD" w:rsidRDefault="00F30EAD" w:rsidP="002355BA">
            <w:pPr>
              <w:pStyle w:val="rvps2"/>
              <w:spacing w:before="0" w:beforeAutospacing="0" w:after="150" w:afterAutospacing="0"/>
              <w:ind w:left="-120" w:right="-67"/>
              <w:contextualSpacing/>
              <w:jc w:val="center"/>
              <w:rPr>
                <w:color w:val="000000"/>
                <w:sz w:val="28"/>
              </w:rPr>
            </w:pPr>
            <w:r w:rsidRPr="00F30EAD">
              <w:rPr>
                <w:color w:val="000000"/>
                <w:sz w:val="28"/>
              </w:rPr>
              <w:t>Органи держа</w:t>
            </w:r>
            <w:r>
              <w:rPr>
                <w:color w:val="000000"/>
                <w:sz w:val="28"/>
              </w:rPr>
              <w:t>вної влади, які фінансують наукові дослідження</w:t>
            </w:r>
          </w:p>
        </w:tc>
        <w:tc>
          <w:tcPr>
            <w:tcW w:w="3261" w:type="dxa"/>
            <w:vAlign w:val="center"/>
          </w:tcPr>
          <w:p w14:paraId="0828E9A5" w14:textId="18214F95" w:rsidR="00F30EAD" w:rsidRDefault="00F30EAD" w:rsidP="007D7178">
            <w:pPr>
              <w:pStyle w:val="rvps2"/>
              <w:spacing w:before="0" w:beforeAutospacing="0" w:after="150" w:afterAutospacing="0"/>
              <w:ind w:right="-142"/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Позитивний</w:t>
            </w:r>
          </w:p>
        </w:tc>
        <w:tc>
          <w:tcPr>
            <w:tcW w:w="3827" w:type="dxa"/>
            <w:vAlign w:val="center"/>
          </w:tcPr>
          <w:p w14:paraId="24980695" w14:textId="4CC86C7B" w:rsidR="00F30EAD" w:rsidRDefault="00F30EAD" w:rsidP="00F30EAD">
            <w:pPr>
              <w:pStyle w:val="rvps2"/>
              <w:spacing w:after="150"/>
              <w:ind w:right="-67"/>
              <w:contextualSpacing/>
              <w:jc w:val="both"/>
              <w:rPr>
                <w:color w:val="000000"/>
                <w:sz w:val="28"/>
              </w:rPr>
            </w:pPr>
            <w:r w:rsidRPr="00F30EAD">
              <w:rPr>
                <w:color w:val="000000"/>
                <w:sz w:val="28"/>
              </w:rPr>
              <w:t xml:space="preserve">Отримують інструменти для моніторингу ефективності використання бюджетних коштів у сфері науки, підвищується прозорість фінансованих </w:t>
            </w:r>
            <w:r>
              <w:rPr>
                <w:color w:val="000000"/>
                <w:sz w:val="28"/>
              </w:rPr>
              <w:t xml:space="preserve">за рахунок публічних коштів </w:t>
            </w:r>
            <w:r w:rsidRPr="00F30EAD">
              <w:rPr>
                <w:color w:val="000000"/>
                <w:sz w:val="28"/>
              </w:rPr>
              <w:t>досліджень</w:t>
            </w:r>
            <w:r>
              <w:rPr>
                <w:color w:val="000000"/>
                <w:sz w:val="28"/>
              </w:rPr>
              <w:t>.</w:t>
            </w:r>
          </w:p>
        </w:tc>
      </w:tr>
    </w:tbl>
    <w:p w14:paraId="22307A0D" w14:textId="5AC62FF2" w:rsidR="00CC1E9A" w:rsidRDefault="00CC1E9A" w:rsidP="00CC1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029B2D0" w14:textId="395AF72F" w:rsidR="00484ACA" w:rsidRDefault="00E33E8E" w:rsidP="00272699">
      <w:pPr>
        <w:pStyle w:val="rvps2"/>
        <w:spacing w:before="0" w:beforeAutospacing="0" w:after="0" w:afterAutospacing="0"/>
        <w:ind w:right="-142" w:firstLine="567"/>
        <w:contextualSpacing/>
        <w:jc w:val="both"/>
        <w:rPr>
          <w:color w:val="000000"/>
          <w:sz w:val="28"/>
          <w:szCs w:val="28"/>
        </w:rPr>
      </w:pPr>
      <w:r w:rsidRPr="0097384D">
        <w:rPr>
          <w:color w:val="000000"/>
          <w:sz w:val="28"/>
          <w:szCs w:val="28"/>
        </w:rPr>
        <w:t xml:space="preserve">Прийняття </w:t>
      </w:r>
      <w:proofErr w:type="spellStart"/>
      <w:r w:rsidRPr="0097384D">
        <w:rPr>
          <w:color w:val="000000"/>
          <w:sz w:val="28"/>
          <w:szCs w:val="28"/>
        </w:rPr>
        <w:t>проєкту</w:t>
      </w:r>
      <w:proofErr w:type="spellEnd"/>
      <w:r w:rsidRPr="0097384D">
        <w:rPr>
          <w:color w:val="000000"/>
          <w:sz w:val="28"/>
          <w:szCs w:val="28"/>
        </w:rPr>
        <w:t xml:space="preserve"> </w:t>
      </w:r>
      <w:proofErr w:type="spellStart"/>
      <w:r w:rsidRPr="0097384D">
        <w:rPr>
          <w:color w:val="000000"/>
          <w:sz w:val="28"/>
          <w:szCs w:val="28"/>
        </w:rPr>
        <w:t>акта</w:t>
      </w:r>
      <w:proofErr w:type="spellEnd"/>
      <w:r w:rsidRPr="0097384D">
        <w:rPr>
          <w:color w:val="000000"/>
          <w:sz w:val="28"/>
          <w:szCs w:val="28"/>
        </w:rPr>
        <w:t xml:space="preserve"> </w:t>
      </w:r>
      <w:r w:rsidR="001A4AD6" w:rsidRPr="001A4AD6">
        <w:rPr>
          <w:color w:val="000000"/>
          <w:sz w:val="28"/>
          <w:szCs w:val="28"/>
        </w:rPr>
        <w:t>матиме позитивний вплив на якість наукових (науково-технічних) робіт, міжнародну співпрацю, та на соціально-економічний розвиток країни через більш ефективне впровадження наукових результатів.</w:t>
      </w:r>
    </w:p>
    <w:p w14:paraId="7B0D07EE" w14:textId="66F8BA8A" w:rsidR="00484ACA" w:rsidRDefault="00F30EAD" w:rsidP="00F30EAD">
      <w:pPr>
        <w:pStyle w:val="rvps2"/>
        <w:spacing w:after="0"/>
        <w:ind w:right="-142" w:firstLine="567"/>
        <w:contextualSpacing/>
        <w:jc w:val="both"/>
        <w:rPr>
          <w:bCs/>
          <w:sz w:val="28"/>
          <w:szCs w:val="28"/>
        </w:rPr>
      </w:pPr>
      <w:r w:rsidRPr="00F30EAD">
        <w:rPr>
          <w:bCs/>
          <w:sz w:val="28"/>
          <w:szCs w:val="28"/>
        </w:rPr>
        <w:t>Реалі</w:t>
      </w:r>
      <w:r>
        <w:rPr>
          <w:bCs/>
          <w:sz w:val="28"/>
          <w:szCs w:val="28"/>
        </w:rPr>
        <w:t xml:space="preserve">зація </w:t>
      </w:r>
      <w:proofErr w:type="spellStart"/>
      <w:r>
        <w:rPr>
          <w:bCs/>
          <w:sz w:val="28"/>
          <w:szCs w:val="28"/>
        </w:rPr>
        <w:t>законопроєкту</w:t>
      </w:r>
      <w:proofErr w:type="spellEnd"/>
      <w:r>
        <w:rPr>
          <w:bCs/>
          <w:sz w:val="28"/>
          <w:szCs w:val="28"/>
        </w:rPr>
        <w:t xml:space="preserve"> забезпечить </w:t>
      </w:r>
      <w:r w:rsidRPr="00F30EAD">
        <w:rPr>
          <w:bCs/>
          <w:sz w:val="28"/>
          <w:szCs w:val="28"/>
        </w:rPr>
        <w:t xml:space="preserve">відкритість та прозорість використання публічних коштів у </w:t>
      </w:r>
      <w:r>
        <w:rPr>
          <w:bCs/>
          <w:sz w:val="28"/>
          <w:szCs w:val="28"/>
        </w:rPr>
        <w:t xml:space="preserve">сфері науки, </w:t>
      </w:r>
      <w:r w:rsidRPr="00F30EAD">
        <w:rPr>
          <w:bCs/>
          <w:sz w:val="28"/>
          <w:szCs w:val="28"/>
        </w:rPr>
        <w:t>доступність результатів досліджень для вчених, студентів, бізнесу і суспільства</w:t>
      </w:r>
      <w:r>
        <w:rPr>
          <w:bCs/>
          <w:sz w:val="28"/>
          <w:szCs w:val="28"/>
        </w:rPr>
        <w:t xml:space="preserve">, </w:t>
      </w:r>
      <w:r w:rsidRPr="00F30EAD">
        <w:rPr>
          <w:bCs/>
          <w:sz w:val="28"/>
          <w:szCs w:val="28"/>
        </w:rPr>
        <w:t>розвиток цифрової інфраструктури відкритої науки</w:t>
      </w:r>
      <w:r>
        <w:rPr>
          <w:bCs/>
          <w:sz w:val="28"/>
          <w:szCs w:val="28"/>
        </w:rPr>
        <w:t xml:space="preserve">, </w:t>
      </w:r>
      <w:r w:rsidRPr="00F30EAD">
        <w:rPr>
          <w:bCs/>
          <w:sz w:val="28"/>
          <w:szCs w:val="28"/>
        </w:rPr>
        <w:t>інтеграцію наукових установ до європейських та міжнародних наукових платформ</w:t>
      </w:r>
      <w:r>
        <w:rPr>
          <w:bCs/>
          <w:sz w:val="28"/>
          <w:szCs w:val="28"/>
        </w:rPr>
        <w:t xml:space="preserve">, а також сприятиме </w:t>
      </w:r>
      <w:r w:rsidRPr="00F30EAD">
        <w:rPr>
          <w:bCs/>
          <w:sz w:val="28"/>
          <w:szCs w:val="28"/>
        </w:rPr>
        <w:t>посиленн</w:t>
      </w:r>
      <w:r>
        <w:rPr>
          <w:bCs/>
          <w:sz w:val="28"/>
          <w:szCs w:val="28"/>
        </w:rPr>
        <w:t>ю</w:t>
      </w:r>
      <w:r w:rsidRPr="00F30EAD">
        <w:rPr>
          <w:bCs/>
          <w:sz w:val="28"/>
          <w:szCs w:val="28"/>
        </w:rPr>
        <w:t xml:space="preserve"> наукової співпраці та конкурентоспроможності української науки.</w:t>
      </w:r>
    </w:p>
    <w:p w14:paraId="6F192C67" w14:textId="77777777" w:rsidR="00F30EAD" w:rsidRPr="00CC1E9A" w:rsidRDefault="00F30EAD" w:rsidP="00F30EAD">
      <w:pPr>
        <w:pStyle w:val="rvps2"/>
        <w:spacing w:before="0" w:beforeAutospacing="0" w:after="0" w:afterAutospacing="0"/>
        <w:ind w:right="-142" w:firstLine="567"/>
        <w:contextualSpacing/>
        <w:jc w:val="both"/>
        <w:rPr>
          <w:sz w:val="28"/>
          <w:szCs w:val="28"/>
        </w:rPr>
      </w:pPr>
    </w:p>
    <w:p w14:paraId="28D493C0" w14:textId="5D8ED23B" w:rsidR="00484ACA" w:rsidRPr="00CC1E9A" w:rsidRDefault="00484ACA" w:rsidP="00F30EA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E9A">
        <w:rPr>
          <w:rFonts w:ascii="Times New Roman" w:eastAsia="Times New Roman" w:hAnsi="Times New Roman" w:cs="Times New Roman"/>
          <w:b/>
          <w:sz w:val="28"/>
          <w:szCs w:val="28"/>
        </w:rPr>
        <w:t>Міністр освіти і науки України</w:t>
      </w:r>
      <w:r w:rsidR="00B00E05" w:rsidRPr="00CC1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F5AC0">
        <w:rPr>
          <w:rFonts w:ascii="Times New Roman" w:eastAsia="Times New Roman" w:hAnsi="Times New Roman" w:cs="Times New Roman"/>
          <w:b/>
          <w:sz w:val="28"/>
          <w:szCs w:val="28"/>
        </w:rPr>
        <w:t>Оксен ЛІСОВИЙ</w:t>
      </w:r>
    </w:p>
    <w:p w14:paraId="4E9BF675" w14:textId="77777777" w:rsidR="00484ACA" w:rsidRPr="00CC1E9A" w:rsidRDefault="00484ACA" w:rsidP="00CC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D09FE" w14:textId="223FF7DE" w:rsidR="000E045D" w:rsidRPr="00CC1E9A" w:rsidRDefault="00484ACA" w:rsidP="009F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E9A">
        <w:rPr>
          <w:rFonts w:ascii="Times New Roman" w:eastAsia="Times New Roman" w:hAnsi="Times New Roman" w:cs="Times New Roman"/>
          <w:sz w:val="28"/>
          <w:szCs w:val="28"/>
        </w:rPr>
        <w:t>« ____ » _____________ 202</w:t>
      </w:r>
      <w:r w:rsidR="001A4A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C1E9A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sectPr w:rsidR="000E045D" w:rsidRPr="00CC1E9A" w:rsidSect="00BE128D">
      <w:headerReference w:type="default" r:id="rId8"/>
      <w:pgSz w:w="11906" w:h="16838" w:code="9"/>
      <w:pgMar w:top="1134" w:right="1133" w:bottom="1276" w:left="1418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1776C" w14:textId="77777777" w:rsidR="0038764D" w:rsidRDefault="0038764D" w:rsidP="00BE128D">
      <w:pPr>
        <w:spacing w:after="0" w:line="240" w:lineRule="auto"/>
      </w:pPr>
      <w:r>
        <w:separator/>
      </w:r>
    </w:p>
  </w:endnote>
  <w:endnote w:type="continuationSeparator" w:id="0">
    <w:p w14:paraId="19587C95" w14:textId="77777777" w:rsidR="0038764D" w:rsidRDefault="0038764D" w:rsidP="00BE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A8675" w14:textId="77777777" w:rsidR="0038764D" w:rsidRDefault="0038764D" w:rsidP="00BE128D">
      <w:pPr>
        <w:spacing w:after="0" w:line="240" w:lineRule="auto"/>
      </w:pPr>
      <w:r>
        <w:separator/>
      </w:r>
    </w:p>
  </w:footnote>
  <w:footnote w:type="continuationSeparator" w:id="0">
    <w:p w14:paraId="50BA5F9B" w14:textId="77777777" w:rsidR="0038764D" w:rsidRDefault="0038764D" w:rsidP="00BE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31238162"/>
      <w:docPartObj>
        <w:docPartGallery w:val="Page Numbers (Top of Page)"/>
        <w:docPartUnique/>
      </w:docPartObj>
    </w:sdtPr>
    <w:sdtEndPr/>
    <w:sdtContent>
      <w:p w14:paraId="366F94CD" w14:textId="37A4BEFE" w:rsidR="00BE128D" w:rsidRPr="00BE128D" w:rsidRDefault="00BE128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2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2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2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3AA7" w:rsidRPr="00783AA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BE12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37A866" w14:textId="77777777" w:rsidR="00BE128D" w:rsidRPr="00BE128D" w:rsidRDefault="00BE128D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A0D"/>
    <w:multiLevelType w:val="hybridMultilevel"/>
    <w:tmpl w:val="9F80694C"/>
    <w:lvl w:ilvl="0" w:tplc="AF1AEE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22E97C49"/>
    <w:multiLevelType w:val="hybridMultilevel"/>
    <w:tmpl w:val="9CA03972"/>
    <w:lvl w:ilvl="0" w:tplc="121E603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BA4232"/>
    <w:multiLevelType w:val="hybridMultilevel"/>
    <w:tmpl w:val="97E000B4"/>
    <w:lvl w:ilvl="0" w:tplc="EA6A9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D9491E"/>
    <w:multiLevelType w:val="hybridMultilevel"/>
    <w:tmpl w:val="A322FB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A"/>
    <w:rsid w:val="00000F95"/>
    <w:rsid w:val="00027F29"/>
    <w:rsid w:val="00040DBB"/>
    <w:rsid w:val="00053C69"/>
    <w:rsid w:val="00070D76"/>
    <w:rsid w:val="00071843"/>
    <w:rsid w:val="00076811"/>
    <w:rsid w:val="00081BFA"/>
    <w:rsid w:val="000A594E"/>
    <w:rsid w:val="000C165E"/>
    <w:rsid w:val="000E045D"/>
    <w:rsid w:val="000F20C9"/>
    <w:rsid w:val="00104DA6"/>
    <w:rsid w:val="00120702"/>
    <w:rsid w:val="00120A72"/>
    <w:rsid w:val="001308A2"/>
    <w:rsid w:val="001309BB"/>
    <w:rsid w:val="00151AA7"/>
    <w:rsid w:val="00154FF9"/>
    <w:rsid w:val="00155FDB"/>
    <w:rsid w:val="001A4AD6"/>
    <w:rsid w:val="001B05C3"/>
    <w:rsid w:val="001D5980"/>
    <w:rsid w:val="001E519B"/>
    <w:rsid w:val="002015E9"/>
    <w:rsid w:val="00217AA6"/>
    <w:rsid w:val="00224BDE"/>
    <w:rsid w:val="00226931"/>
    <w:rsid w:val="00272699"/>
    <w:rsid w:val="00275D95"/>
    <w:rsid w:val="0029768E"/>
    <w:rsid w:val="002A7C93"/>
    <w:rsid w:val="002C6668"/>
    <w:rsid w:val="002E1618"/>
    <w:rsid w:val="003077F6"/>
    <w:rsid w:val="0038764D"/>
    <w:rsid w:val="003B2358"/>
    <w:rsid w:val="003B39E6"/>
    <w:rsid w:val="003B4988"/>
    <w:rsid w:val="00415F63"/>
    <w:rsid w:val="004216E4"/>
    <w:rsid w:val="00470428"/>
    <w:rsid w:val="00471479"/>
    <w:rsid w:val="00472B87"/>
    <w:rsid w:val="00484ACA"/>
    <w:rsid w:val="004C7294"/>
    <w:rsid w:val="004E6B4A"/>
    <w:rsid w:val="00500DB8"/>
    <w:rsid w:val="00557178"/>
    <w:rsid w:val="00571B6D"/>
    <w:rsid w:val="005A5DC7"/>
    <w:rsid w:val="005B52E0"/>
    <w:rsid w:val="005F0D11"/>
    <w:rsid w:val="005F49D4"/>
    <w:rsid w:val="00610F1C"/>
    <w:rsid w:val="00615393"/>
    <w:rsid w:val="00641162"/>
    <w:rsid w:val="0064572A"/>
    <w:rsid w:val="00662731"/>
    <w:rsid w:val="006E3096"/>
    <w:rsid w:val="00702C17"/>
    <w:rsid w:val="00725499"/>
    <w:rsid w:val="0077654F"/>
    <w:rsid w:val="00783AA7"/>
    <w:rsid w:val="00790865"/>
    <w:rsid w:val="007C2607"/>
    <w:rsid w:val="007D7178"/>
    <w:rsid w:val="00810780"/>
    <w:rsid w:val="00811914"/>
    <w:rsid w:val="00865E7A"/>
    <w:rsid w:val="00874035"/>
    <w:rsid w:val="0088539D"/>
    <w:rsid w:val="008875D4"/>
    <w:rsid w:val="008C4517"/>
    <w:rsid w:val="008C5BC1"/>
    <w:rsid w:val="008F54CB"/>
    <w:rsid w:val="00983B16"/>
    <w:rsid w:val="009A7A29"/>
    <w:rsid w:val="009F4E81"/>
    <w:rsid w:val="009F5AC0"/>
    <w:rsid w:val="00A027FC"/>
    <w:rsid w:val="00A07278"/>
    <w:rsid w:val="00A11C44"/>
    <w:rsid w:val="00A13486"/>
    <w:rsid w:val="00A5337A"/>
    <w:rsid w:val="00A54BBC"/>
    <w:rsid w:val="00A572A3"/>
    <w:rsid w:val="00A7675D"/>
    <w:rsid w:val="00A90FE7"/>
    <w:rsid w:val="00A913EE"/>
    <w:rsid w:val="00AD06A8"/>
    <w:rsid w:val="00AE126E"/>
    <w:rsid w:val="00AF1566"/>
    <w:rsid w:val="00AF2D33"/>
    <w:rsid w:val="00B00E05"/>
    <w:rsid w:val="00B1513E"/>
    <w:rsid w:val="00B25F10"/>
    <w:rsid w:val="00B747DB"/>
    <w:rsid w:val="00BB28CA"/>
    <w:rsid w:val="00BC4FE1"/>
    <w:rsid w:val="00BD243F"/>
    <w:rsid w:val="00BD25D5"/>
    <w:rsid w:val="00BE128D"/>
    <w:rsid w:val="00BF1FDF"/>
    <w:rsid w:val="00C17694"/>
    <w:rsid w:val="00C2758D"/>
    <w:rsid w:val="00C35F4F"/>
    <w:rsid w:val="00C40B76"/>
    <w:rsid w:val="00C7378A"/>
    <w:rsid w:val="00C83771"/>
    <w:rsid w:val="00CA423B"/>
    <w:rsid w:val="00CA7E21"/>
    <w:rsid w:val="00CB28DF"/>
    <w:rsid w:val="00CC1E9A"/>
    <w:rsid w:val="00CD4BCE"/>
    <w:rsid w:val="00CE1DFA"/>
    <w:rsid w:val="00CE6D42"/>
    <w:rsid w:val="00D15BFE"/>
    <w:rsid w:val="00D74196"/>
    <w:rsid w:val="00D84D50"/>
    <w:rsid w:val="00DF2E60"/>
    <w:rsid w:val="00E042C6"/>
    <w:rsid w:val="00E33E8E"/>
    <w:rsid w:val="00E91BE6"/>
    <w:rsid w:val="00ED14EF"/>
    <w:rsid w:val="00EE2B11"/>
    <w:rsid w:val="00EE498B"/>
    <w:rsid w:val="00EF7B92"/>
    <w:rsid w:val="00F1195A"/>
    <w:rsid w:val="00F30EAD"/>
    <w:rsid w:val="00F47338"/>
    <w:rsid w:val="00F84E59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33F3"/>
  <w15:chartTrackingRefBased/>
  <w15:docId w15:val="{17EB1A0D-D7E9-46BD-A4FD-22122754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D7419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86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D74196"/>
    <w:rPr>
      <w:rFonts w:ascii="Times New Roman" w:eastAsia="Calibri" w:hAnsi="Times New Roman" w:cs="Times New Roman"/>
      <w:b/>
      <w:bCs/>
      <w:sz w:val="27"/>
      <w:szCs w:val="27"/>
      <w:lang w:eastAsia="uk-UA"/>
    </w:rPr>
  </w:style>
  <w:style w:type="paragraph" w:styleId="a4">
    <w:name w:val="header"/>
    <w:basedOn w:val="a"/>
    <w:link w:val="a5"/>
    <w:uiPriority w:val="99"/>
    <w:unhideWhenUsed/>
    <w:rsid w:val="00BE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28D"/>
  </w:style>
  <w:style w:type="paragraph" w:styleId="a6">
    <w:name w:val="footer"/>
    <w:basedOn w:val="a"/>
    <w:link w:val="a7"/>
    <w:uiPriority w:val="99"/>
    <w:unhideWhenUsed/>
    <w:rsid w:val="00BE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28D"/>
  </w:style>
  <w:style w:type="paragraph" w:customStyle="1" w:styleId="rvps2">
    <w:name w:val="rvps2"/>
    <w:basedOn w:val="a"/>
    <w:qFormat/>
    <w:rsid w:val="00BE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rsid w:val="007D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D4BC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5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l.lu/alhdm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7008</Words>
  <Characters>3995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Dvigun O.V.</dc:creator>
  <cp:keywords/>
  <dc:description/>
  <cp:lastModifiedBy>Prudka O.V.</cp:lastModifiedBy>
  <cp:revision>21</cp:revision>
  <cp:lastPrinted>2025-02-27T14:54:00Z</cp:lastPrinted>
  <dcterms:created xsi:type="dcterms:W3CDTF">2025-06-24T11:58:00Z</dcterms:created>
  <dcterms:modified xsi:type="dcterms:W3CDTF">2025-08-07T13:52:00Z</dcterms:modified>
</cp:coreProperties>
</file>