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149D" w:rsidRPr="00B32392" w:rsidRDefault="00716C69" w:rsidP="00D747E3">
      <w:pPr>
        <w:shd w:val="clear" w:color="auto" w:fill="FFFFFF"/>
        <w:spacing w:after="0" w:line="240" w:lineRule="auto"/>
        <w:jc w:val="center"/>
        <w:rPr>
          <w:rFonts w:ascii="Times New Roman" w:eastAsia="Times New Roman" w:hAnsi="Times New Roman" w:cs="Times New Roman"/>
          <w:b/>
          <w:sz w:val="28"/>
          <w:szCs w:val="28"/>
        </w:rPr>
      </w:pPr>
      <w:r w:rsidRPr="00B32392">
        <w:rPr>
          <w:rFonts w:ascii="Times New Roman" w:eastAsia="Times New Roman" w:hAnsi="Times New Roman" w:cs="Times New Roman"/>
          <w:b/>
          <w:sz w:val="28"/>
          <w:szCs w:val="28"/>
        </w:rPr>
        <w:t>АНАЛІЗ РЕГУЛЯТОРНОГО ВПЛИВУ</w:t>
      </w:r>
    </w:p>
    <w:p w:rsidR="00AF149D" w:rsidRPr="00B32392" w:rsidRDefault="00124845" w:rsidP="00D747E3">
      <w:pPr>
        <w:shd w:val="clear" w:color="auto" w:fill="FFFFFF"/>
        <w:spacing w:after="0" w:line="240" w:lineRule="auto"/>
        <w:jc w:val="center"/>
        <w:rPr>
          <w:rFonts w:ascii="Times New Roman" w:eastAsia="Times New Roman" w:hAnsi="Times New Roman" w:cs="Times New Roman"/>
          <w:b/>
          <w:sz w:val="28"/>
          <w:szCs w:val="28"/>
        </w:rPr>
      </w:pPr>
      <w:r w:rsidRPr="00B32392">
        <w:rPr>
          <w:rFonts w:ascii="Times New Roman" w:eastAsia="Times New Roman" w:hAnsi="Times New Roman" w:cs="Times New Roman"/>
          <w:b/>
          <w:sz w:val="28"/>
          <w:szCs w:val="28"/>
        </w:rPr>
        <w:t xml:space="preserve">до </w:t>
      </w:r>
      <w:proofErr w:type="spellStart"/>
      <w:r w:rsidRPr="00B32392">
        <w:rPr>
          <w:rFonts w:ascii="Times New Roman" w:eastAsia="Times New Roman" w:hAnsi="Times New Roman" w:cs="Times New Roman"/>
          <w:b/>
          <w:sz w:val="28"/>
          <w:szCs w:val="28"/>
        </w:rPr>
        <w:t>проєкту</w:t>
      </w:r>
      <w:proofErr w:type="spellEnd"/>
      <w:r w:rsidRPr="00B32392">
        <w:rPr>
          <w:rFonts w:ascii="Times New Roman" w:eastAsia="Times New Roman" w:hAnsi="Times New Roman" w:cs="Times New Roman"/>
          <w:b/>
          <w:sz w:val="28"/>
          <w:szCs w:val="28"/>
        </w:rPr>
        <w:t xml:space="preserve"> Закону України </w:t>
      </w:r>
      <w:r w:rsidR="00716C69" w:rsidRPr="00B32392">
        <w:rPr>
          <w:rFonts w:ascii="Times New Roman" w:eastAsia="Times New Roman" w:hAnsi="Times New Roman" w:cs="Times New Roman"/>
          <w:b/>
          <w:sz w:val="28"/>
          <w:szCs w:val="28"/>
        </w:rPr>
        <w:t>«</w:t>
      </w:r>
      <w:r w:rsidR="00637203" w:rsidRPr="00637203">
        <w:rPr>
          <w:rFonts w:ascii="Times New Roman" w:eastAsia="Times New Roman" w:hAnsi="Times New Roman" w:cs="Times New Roman"/>
          <w:b/>
          <w:sz w:val="28"/>
          <w:szCs w:val="28"/>
        </w:rPr>
        <w:t>Про внесення змін до деяких законів України щодо реалізації принципів відкритої науки</w:t>
      </w:r>
      <w:r w:rsidR="00716C69" w:rsidRPr="00B32392">
        <w:rPr>
          <w:rFonts w:ascii="Times New Roman" w:eastAsia="Times New Roman" w:hAnsi="Times New Roman" w:cs="Times New Roman"/>
          <w:b/>
          <w:sz w:val="28"/>
          <w:szCs w:val="28"/>
        </w:rPr>
        <w:t>»</w:t>
      </w:r>
    </w:p>
    <w:p w:rsidR="00D747E3" w:rsidRPr="00B32392" w:rsidRDefault="00D747E3" w:rsidP="00D747E3">
      <w:pPr>
        <w:shd w:val="clear" w:color="auto" w:fill="FFFFFF"/>
        <w:spacing w:after="0" w:line="240" w:lineRule="auto"/>
        <w:jc w:val="center"/>
        <w:rPr>
          <w:rFonts w:ascii="Times New Roman" w:eastAsia="Times New Roman" w:hAnsi="Times New Roman" w:cs="Times New Roman"/>
          <w:b/>
          <w:sz w:val="28"/>
          <w:szCs w:val="28"/>
        </w:rPr>
      </w:pPr>
    </w:p>
    <w:p w:rsidR="00AF149D" w:rsidRPr="00B32392" w:rsidRDefault="00716C69" w:rsidP="00D747E3">
      <w:pPr>
        <w:shd w:val="clear" w:color="auto" w:fill="FFFFFF"/>
        <w:spacing w:after="0" w:line="240" w:lineRule="auto"/>
        <w:jc w:val="center"/>
        <w:rPr>
          <w:rFonts w:ascii="Times New Roman" w:eastAsia="Times New Roman" w:hAnsi="Times New Roman" w:cs="Times New Roman"/>
          <w:b/>
          <w:sz w:val="28"/>
          <w:szCs w:val="28"/>
        </w:rPr>
      </w:pPr>
      <w:r w:rsidRPr="00B32392">
        <w:rPr>
          <w:rFonts w:ascii="Times New Roman" w:eastAsia="Times New Roman" w:hAnsi="Times New Roman" w:cs="Times New Roman"/>
          <w:b/>
          <w:sz w:val="28"/>
          <w:szCs w:val="28"/>
        </w:rPr>
        <w:t>I. Визначення проблеми</w:t>
      </w:r>
    </w:p>
    <w:p w:rsidR="00D747E3" w:rsidRPr="00B32392" w:rsidRDefault="00D747E3" w:rsidP="00D747E3">
      <w:pPr>
        <w:shd w:val="clear" w:color="auto" w:fill="FFFFFF"/>
        <w:spacing w:after="0" w:line="240" w:lineRule="auto"/>
        <w:jc w:val="center"/>
        <w:rPr>
          <w:rFonts w:ascii="Times New Roman" w:eastAsia="Times New Roman" w:hAnsi="Times New Roman" w:cs="Times New Roman"/>
          <w:sz w:val="28"/>
          <w:szCs w:val="28"/>
        </w:rPr>
      </w:pPr>
    </w:p>
    <w:p w:rsidR="00637203" w:rsidRPr="00637203" w:rsidRDefault="00637203" w:rsidP="00637203">
      <w:pPr>
        <w:shd w:val="clear" w:color="auto" w:fill="FFFFFF"/>
        <w:spacing w:after="0" w:line="240" w:lineRule="auto"/>
        <w:ind w:firstLine="709"/>
        <w:jc w:val="both"/>
        <w:rPr>
          <w:rFonts w:ascii="Times New Roman" w:eastAsia="Times New Roman" w:hAnsi="Times New Roman" w:cs="Times New Roman"/>
          <w:sz w:val="28"/>
          <w:szCs w:val="28"/>
        </w:rPr>
      </w:pPr>
      <w:r w:rsidRPr="00637203">
        <w:rPr>
          <w:rFonts w:ascii="Times New Roman" w:eastAsia="Times New Roman" w:hAnsi="Times New Roman" w:cs="Times New Roman"/>
          <w:sz w:val="28"/>
          <w:szCs w:val="28"/>
        </w:rPr>
        <w:t>Питання забезпечення відкритого доступу до науково-технічної інформації є однією з базових засад концепції відкритої науки та визначається пріоритетним у низці міжнародних і регіональних нормативно-правових та рекомендаційних актів у сфері відкритої науки.</w:t>
      </w:r>
    </w:p>
    <w:p w:rsidR="00637203" w:rsidRPr="00637203" w:rsidRDefault="00637203" w:rsidP="00637203">
      <w:pPr>
        <w:shd w:val="clear" w:color="auto" w:fill="FFFFFF"/>
        <w:spacing w:after="0" w:line="240" w:lineRule="auto"/>
        <w:ind w:firstLine="709"/>
        <w:jc w:val="both"/>
        <w:rPr>
          <w:rFonts w:ascii="Times New Roman" w:eastAsia="Times New Roman" w:hAnsi="Times New Roman" w:cs="Times New Roman"/>
          <w:sz w:val="28"/>
          <w:szCs w:val="28"/>
        </w:rPr>
      </w:pPr>
      <w:r w:rsidRPr="00637203">
        <w:rPr>
          <w:rFonts w:ascii="Times New Roman" w:eastAsia="Times New Roman" w:hAnsi="Times New Roman" w:cs="Times New Roman"/>
          <w:sz w:val="28"/>
          <w:szCs w:val="28"/>
        </w:rPr>
        <w:t>У правовій політиці Європейського Союзу принцип відкритості науково-технічної інформації належить до ключових. Зокрема, Директива (ЄС) 2019/1024 Європейського Парламенту та Ради від 20 червня 2019 року «Про відкриті дані та повторне використання інформації публічного сектору» встановлює обов’язок держав-членів ЄС забезпечувати доступність результатів наукових досліджень, що фінансуються за рахунок державних коштів, шляхом розроблення та впровадження національних політик відкритого доступу до таких результатів («політика відкритого доступу»). Вказана Директива передбачає забезпечення можливості повторного використання таких даних, у тому числі з комерційною метою (стаття 10).</w:t>
      </w:r>
    </w:p>
    <w:p w:rsidR="00637203" w:rsidRPr="00637203" w:rsidRDefault="00637203" w:rsidP="00637203">
      <w:pPr>
        <w:shd w:val="clear" w:color="auto" w:fill="FFFFFF"/>
        <w:spacing w:after="0" w:line="240" w:lineRule="auto"/>
        <w:ind w:firstLine="709"/>
        <w:jc w:val="both"/>
        <w:rPr>
          <w:rFonts w:ascii="Times New Roman" w:eastAsia="Times New Roman" w:hAnsi="Times New Roman" w:cs="Times New Roman"/>
          <w:sz w:val="28"/>
          <w:szCs w:val="28"/>
        </w:rPr>
      </w:pPr>
      <w:r w:rsidRPr="00637203">
        <w:rPr>
          <w:rFonts w:ascii="Times New Roman" w:eastAsia="Times New Roman" w:hAnsi="Times New Roman" w:cs="Times New Roman"/>
          <w:sz w:val="28"/>
          <w:szCs w:val="28"/>
        </w:rPr>
        <w:t>Відкритий доступ до результатів наукових досліджень та наукових публікацій визначено одним із основоположних зобов’язань у межах Рамкової програми Європейського Союзу з досліджень та інновацій «Горизонт Європа» — основної грантової програми ЄС, спрямованої на підтримку наукових досліджень та інноваційної діяльності. Україна бере участь у зазначеній програмі як асоційована країна відповідно до Угоди між Україною, Європейським Союзом та Європейським співтовариством з атомної енергії про участь України у Рамковій програмі з досліджень та інновацій «Горизонт Європа» та Програмі з досліджень та навчання Європейського співтовариства з атомної енергії (2021–2025), яка є комплементарною до зазначеної Рамкової програми.</w:t>
      </w:r>
    </w:p>
    <w:p w:rsidR="00637203" w:rsidRPr="00637203" w:rsidRDefault="00637203" w:rsidP="00637203">
      <w:pPr>
        <w:shd w:val="clear" w:color="auto" w:fill="FFFFFF"/>
        <w:spacing w:after="0" w:line="240" w:lineRule="auto"/>
        <w:ind w:firstLine="709"/>
        <w:jc w:val="both"/>
        <w:rPr>
          <w:rFonts w:ascii="Times New Roman" w:eastAsia="Times New Roman" w:hAnsi="Times New Roman" w:cs="Times New Roman"/>
          <w:sz w:val="28"/>
          <w:szCs w:val="28"/>
        </w:rPr>
      </w:pPr>
      <w:r w:rsidRPr="00637203">
        <w:rPr>
          <w:rFonts w:ascii="Times New Roman" w:eastAsia="Times New Roman" w:hAnsi="Times New Roman" w:cs="Times New Roman"/>
          <w:sz w:val="28"/>
          <w:szCs w:val="28"/>
        </w:rPr>
        <w:t>Разом з тим, чинне законодавство України не містить правових норм, які б</w:t>
      </w:r>
      <w:r>
        <w:rPr>
          <w:rFonts w:ascii="Times New Roman" w:eastAsia="Times New Roman" w:hAnsi="Times New Roman" w:cs="Times New Roman"/>
          <w:sz w:val="28"/>
          <w:szCs w:val="28"/>
        </w:rPr>
        <w:t xml:space="preserve"> </w:t>
      </w:r>
      <w:r w:rsidRPr="00637203">
        <w:rPr>
          <w:rFonts w:ascii="Times New Roman" w:eastAsia="Times New Roman" w:hAnsi="Times New Roman" w:cs="Times New Roman"/>
          <w:sz w:val="28"/>
          <w:szCs w:val="28"/>
        </w:rPr>
        <w:t>визначали поняття «відкритий доступ до науково-технічної інформації»</w:t>
      </w:r>
      <w:r>
        <w:rPr>
          <w:rFonts w:ascii="Times New Roman" w:eastAsia="Times New Roman" w:hAnsi="Times New Roman" w:cs="Times New Roman"/>
          <w:sz w:val="28"/>
          <w:szCs w:val="28"/>
        </w:rPr>
        <w:t xml:space="preserve">, </w:t>
      </w:r>
      <w:r w:rsidRPr="00637203">
        <w:rPr>
          <w:rFonts w:ascii="Times New Roman" w:eastAsia="Times New Roman" w:hAnsi="Times New Roman" w:cs="Times New Roman"/>
          <w:sz w:val="28"/>
          <w:szCs w:val="28"/>
        </w:rPr>
        <w:t>встановлювали перелік видів та обсяг науково-технічної інформації, щодо якої має забезпечуватися відкритий доступ</w:t>
      </w:r>
      <w:r>
        <w:rPr>
          <w:rFonts w:ascii="Times New Roman" w:eastAsia="Times New Roman" w:hAnsi="Times New Roman" w:cs="Times New Roman"/>
          <w:sz w:val="28"/>
          <w:szCs w:val="28"/>
        </w:rPr>
        <w:t xml:space="preserve">, </w:t>
      </w:r>
      <w:r w:rsidRPr="00637203">
        <w:rPr>
          <w:rFonts w:ascii="Times New Roman" w:eastAsia="Times New Roman" w:hAnsi="Times New Roman" w:cs="Times New Roman"/>
          <w:sz w:val="28"/>
          <w:szCs w:val="28"/>
        </w:rPr>
        <w:t xml:space="preserve">закріплювали умови надання відкритого доступу та підстави для його обмеження, </w:t>
      </w:r>
      <w:r>
        <w:rPr>
          <w:rFonts w:ascii="Times New Roman" w:eastAsia="Times New Roman" w:hAnsi="Times New Roman" w:cs="Times New Roman"/>
          <w:sz w:val="28"/>
          <w:szCs w:val="28"/>
        </w:rPr>
        <w:t>зокрема</w:t>
      </w:r>
      <w:r w:rsidRPr="00637203">
        <w:rPr>
          <w:rFonts w:ascii="Times New Roman" w:eastAsia="Times New Roman" w:hAnsi="Times New Roman" w:cs="Times New Roman"/>
          <w:sz w:val="28"/>
          <w:szCs w:val="28"/>
        </w:rPr>
        <w:t xml:space="preserve"> у випадках, коли науково-технічна інформація та результати досліджень отримані в межах </w:t>
      </w:r>
      <w:proofErr w:type="spellStart"/>
      <w:r w:rsidRPr="00637203">
        <w:rPr>
          <w:rFonts w:ascii="Times New Roman" w:eastAsia="Times New Roman" w:hAnsi="Times New Roman" w:cs="Times New Roman"/>
          <w:sz w:val="28"/>
          <w:szCs w:val="28"/>
        </w:rPr>
        <w:t>проєктів</w:t>
      </w:r>
      <w:proofErr w:type="spellEnd"/>
      <w:r w:rsidRPr="00637203">
        <w:rPr>
          <w:rFonts w:ascii="Times New Roman" w:eastAsia="Times New Roman" w:hAnsi="Times New Roman" w:cs="Times New Roman"/>
          <w:sz w:val="28"/>
          <w:szCs w:val="28"/>
        </w:rPr>
        <w:t>, профінансованих за рахунок коштів державного або місцевих бюджетів</w:t>
      </w:r>
      <w:r>
        <w:rPr>
          <w:rFonts w:ascii="Times New Roman" w:eastAsia="Times New Roman" w:hAnsi="Times New Roman" w:cs="Times New Roman"/>
          <w:sz w:val="28"/>
          <w:szCs w:val="28"/>
        </w:rPr>
        <w:t xml:space="preserve">, </w:t>
      </w:r>
      <w:r w:rsidRPr="00637203">
        <w:rPr>
          <w:rFonts w:ascii="Times New Roman" w:eastAsia="Times New Roman" w:hAnsi="Times New Roman" w:cs="Times New Roman"/>
          <w:sz w:val="28"/>
          <w:szCs w:val="28"/>
        </w:rPr>
        <w:t>визначали вимоги до змісту, форми та структури науково-технічної інформації і супровідних метаданих</w:t>
      </w:r>
      <w:r>
        <w:rPr>
          <w:rFonts w:ascii="Times New Roman" w:eastAsia="Times New Roman" w:hAnsi="Times New Roman" w:cs="Times New Roman"/>
          <w:sz w:val="28"/>
          <w:szCs w:val="28"/>
        </w:rPr>
        <w:t xml:space="preserve">, </w:t>
      </w:r>
      <w:r w:rsidRPr="00637203">
        <w:rPr>
          <w:rFonts w:ascii="Times New Roman" w:eastAsia="Times New Roman" w:hAnsi="Times New Roman" w:cs="Times New Roman"/>
          <w:sz w:val="28"/>
          <w:szCs w:val="28"/>
        </w:rPr>
        <w:t>встановлювали вимоги щодо обов’язкового розміщення такої інформації у державних базах даних з метою її довготривалого та безпечного зберігання.</w:t>
      </w:r>
    </w:p>
    <w:p w:rsidR="00637203" w:rsidRPr="00637203" w:rsidRDefault="00637203" w:rsidP="00637203">
      <w:pPr>
        <w:shd w:val="clear" w:color="auto" w:fill="FFFFFF"/>
        <w:spacing w:after="0" w:line="240" w:lineRule="auto"/>
        <w:ind w:firstLine="709"/>
        <w:jc w:val="both"/>
        <w:rPr>
          <w:rFonts w:ascii="Times New Roman" w:eastAsia="Times New Roman" w:hAnsi="Times New Roman" w:cs="Times New Roman"/>
          <w:sz w:val="28"/>
          <w:szCs w:val="28"/>
        </w:rPr>
      </w:pPr>
      <w:r w:rsidRPr="00637203">
        <w:rPr>
          <w:rFonts w:ascii="Times New Roman" w:eastAsia="Times New Roman" w:hAnsi="Times New Roman" w:cs="Times New Roman"/>
          <w:sz w:val="28"/>
          <w:szCs w:val="28"/>
        </w:rPr>
        <w:t xml:space="preserve">Впровадження положень цього </w:t>
      </w:r>
      <w:proofErr w:type="spellStart"/>
      <w:r w:rsidRPr="00637203">
        <w:rPr>
          <w:rFonts w:ascii="Times New Roman" w:eastAsia="Times New Roman" w:hAnsi="Times New Roman" w:cs="Times New Roman"/>
          <w:sz w:val="28"/>
          <w:szCs w:val="28"/>
        </w:rPr>
        <w:t>акта</w:t>
      </w:r>
      <w:proofErr w:type="spellEnd"/>
      <w:r w:rsidRPr="00637203">
        <w:rPr>
          <w:rFonts w:ascii="Times New Roman" w:eastAsia="Times New Roman" w:hAnsi="Times New Roman" w:cs="Times New Roman"/>
          <w:sz w:val="28"/>
          <w:szCs w:val="28"/>
        </w:rPr>
        <w:t xml:space="preserve"> безпосередньо вплине на значну частину наукової спільноти України. За даними Державної служби статистики України, станом на 202</w:t>
      </w:r>
      <w:r>
        <w:rPr>
          <w:rFonts w:ascii="Times New Roman" w:eastAsia="Times New Roman" w:hAnsi="Times New Roman" w:cs="Times New Roman"/>
          <w:sz w:val="28"/>
          <w:szCs w:val="28"/>
        </w:rPr>
        <w:t>4</w:t>
      </w:r>
      <w:r w:rsidRPr="00637203">
        <w:rPr>
          <w:rFonts w:ascii="Times New Roman" w:eastAsia="Times New Roman" w:hAnsi="Times New Roman" w:cs="Times New Roman"/>
          <w:sz w:val="28"/>
          <w:szCs w:val="28"/>
        </w:rPr>
        <w:t xml:space="preserve"> рік у сфері виконання наукових досліджень та розробок </w:t>
      </w:r>
      <w:r w:rsidRPr="00637203">
        <w:rPr>
          <w:rFonts w:ascii="Times New Roman" w:eastAsia="Times New Roman" w:hAnsi="Times New Roman" w:cs="Times New Roman"/>
          <w:sz w:val="28"/>
          <w:szCs w:val="28"/>
        </w:rPr>
        <w:lastRenderedPageBreak/>
        <w:t>було задіяно близько 42</w:t>
      </w:r>
      <w:r>
        <w:rPr>
          <w:rFonts w:ascii="Times New Roman" w:eastAsia="Times New Roman" w:hAnsi="Times New Roman" w:cs="Times New Roman"/>
          <w:sz w:val="28"/>
          <w:szCs w:val="28"/>
        </w:rPr>
        <w:t> </w:t>
      </w:r>
      <w:r w:rsidRPr="00637203">
        <w:rPr>
          <w:rFonts w:ascii="Times New Roman" w:eastAsia="Times New Roman" w:hAnsi="Times New Roman" w:cs="Times New Roman"/>
          <w:sz w:val="28"/>
          <w:szCs w:val="28"/>
        </w:rPr>
        <w:t xml:space="preserve">670 дослідників, з яких понад </w:t>
      </w:r>
      <w:r>
        <w:rPr>
          <w:rFonts w:ascii="Times New Roman" w:eastAsia="Times New Roman" w:hAnsi="Times New Roman" w:cs="Times New Roman"/>
          <w:sz w:val="28"/>
          <w:szCs w:val="28"/>
        </w:rPr>
        <w:t>22</w:t>
      </w:r>
      <w:r w:rsidRPr="00637203">
        <w:rPr>
          <w:rFonts w:ascii="Times New Roman" w:eastAsia="Times New Roman" w:hAnsi="Times New Roman" w:cs="Times New Roman"/>
          <w:sz w:val="28"/>
          <w:szCs w:val="28"/>
        </w:rPr>
        <w:t xml:space="preserve"> тисяч</w:t>
      </w:r>
      <w:r>
        <w:rPr>
          <w:rFonts w:ascii="Times New Roman" w:eastAsia="Times New Roman" w:hAnsi="Times New Roman" w:cs="Times New Roman"/>
          <w:sz w:val="28"/>
          <w:szCs w:val="28"/>
        </w:rPr>
        <w:t>і</w:t>
      </w:r>
      <w:r w:rsidRPr="00637203">
        <w:rPr>
          <w:rFonts w:ascii="Times New Roman" w:eastAsia="Times New Roman" w:hAnsi="Times New Roman" w:cs="Times New Roman"/>
          <w:sz w:val="28"/>
          <w:szCs w:val="28"/>
        </w:rPr>
        <w:t xml:space="preserve"> — науковці з науковими ступенями. </w:t>
      </w:r>
      <w:r>
        <w:rPr>
          <w:rFonts w:ascii="Times New Roman" w:eastAsia="Times New Roman" w:hAnsi="Times New Roman" w:cs="Times New Roman"/>
          <w:sz w:val="28"/>
          <w:szCs w:val="28"/>
        </w:rPr>
        <w:t>За статистичною інформацією у</w:t>
      </w:r>
      <w:r w:rsidRPr="00637203">
        <w:rPr>
          <w:rFonts w:ascii="Times New Roman" w:eastAsia="Times New Roman" w:hAnsi="Times New Roman" w:cs="Times New Roman"/>
          <w:sz w:val="28"/>
          <w:szCs w:val="28"/>
        </w:rPr>
        <w:t xml:space="preserve"> 2024 ро</w:t>
      </w:r>
      <w:r>
        <w:rPr>
          <w:rFonts w:ascii="Times New Roman" w:eastAsia="Times New Roman" w:hAnsi="Times New Roman" w:cs="Times New Roman"/>
          <w:sz w:val="28"/>
          <w:szCs w:val="28"/>
        </w:rPr>
        <w:t>ці</w:t>
      </w:r>
      <w:r w:rsidRPr="00637203">
        <w:rPr>
          <w:rFonts w:ascii="Times New Roman" w:eastAsia="Times New Roman" w:hAnsi="Times New Roman" w:cs="Times New Roman"/>
          <w:sz w:val="28"/>
          <w:szCs w:val="28"/>
        </w:rPr>
        <w:t xml:space="preserve"> в Україні </w:t>
      </w:r>
      <w:r w:rsidR="00005240">
        <w:rPr>
          <w:rFonts w:ascii="Times New Roman" w:eastAsia="Times New Roman" w:hAnsi="Times New Roman" w:cs="Times New Roman"/>
          <w:sz w:val="28"/>
          <w:szCs w:val="28"/>
        </w:rPr>
        <w:t>виконували наукові дослідження</w:t>
      </w:r>
      <w:r w:rsidRPr="00637203">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616</w:t>
      </w:r>
      <w:r w:rsidRPr="00637203">
        <w:rPr>
          <w:rFonts w:ascii="Times New Roman" w:eastAsia="Times New Roman" w:hAnsi="Times New Roman" w:cs="Times New Roman"/>
          <w:sz w:val="28"/>
          <w:szCs w:val="28"/>
        </w:rPr>
        <w:t xml:space="preserve"> наукових установ і організацій, значна частина яких фінансується з державного та місцевих бюджетів.</w:t>
      </w:r>
    </w:p>
    <w:p w:rsidR="00637203" w:rsidRDefault="00637203" w:rsidP="00637203">
      <w:pPr>
        <w:shd w:val="clear" w:color="auto" w:fill="FFFFFF"/>
        <w:spacing w:after="0" w:line="240" w:lineRule="auto"/>
        <w:ind w:firstLine="709"/>
        <w:jc w:val="both"/>
        <w:rPr>
          <w:rFonts w:ascii="Times New Roman" w:eastAsia="Times New Roman" w:hAnsi="Times New Roman" w:cs="Times New Roman"/>
          <w:sz w:val="28"/>
          <w:szCs w:val="28"/>
        </w:rPr>
      </w:pPr>
      <w:r w:rsidRPr="00637203">
        <w:rPr>
          <w:rFonts w:ascii="Times New Roman" w:eastAsia="Times New Roman" w:hAnsi="Times New Roman" w:cs="Times New Roman"/>
          <w:sz w:val="28"/>
          <w:szCs w:val="28"/>
        </w:rPr>
        <w:t xml:space="preserve">З огляду на зазначене, для належної імплементації принципів відкритої науки та забезпечення відкритого доступу до науково-технічної інформації виникає необхідність внесення змін і доповнень до </w:t>
      </w:r>
      <w:r w:rsidR="006B25BB">
        <w:rPr>
          <w:rFonts w:ascii="Times New Roman" w:eastAsia="Times New Roman" w:hAnsi="Times New Roman" w:cs="Times New Roman"/>
          <w:sz w:val="28"/>
          <w:szCs w:val="28"/>
        </w:rPr>
        <w:t xml:space="preserve">низки </w:t>
      </w:r>
      <w:r w:rsidRPr="00637203">
        <w:rPr>
          <w:rFonts w:ascii="Times New Roman" w:eastAsia="Times New Roman" w:hAnsi="Times New Roman" w:cs="Times New Roman"/>
          <w:sz w:val="28"/>
          <w:szCs w:val="28"/>
        </w:rPr>
        <w:t xml:space="preserve">законів України, що регулюють відносини у сфері </w:t>
      </w:r>
      <w:r w:rsidR="00005240">
        <w:rPr>
          <w:rFonts w:ascii="Times New Roman" w:eastAsia="Times New Roman" w:hAnsi="Times New Roman" w:cs="Times New Roman"/>
          <w:sz w:val="28"/>
          <w:szCs w:val="28"/>
        </w:rPr>
        <w:t>науково-технічної інформації</w:t>
      </w:r>
      <w:r w:rsidR="006B25BB">
        <w:rPr>
          <w:rFonts w:ascii="Times New Roman" w:eastAsia="Times New Roman" w:hAnsi="Times New Roman" w:cs="Times New Roman"/>
          <w:sz w:val="28"/>
          <w:szCs w:val="28"/>
        </w:rPr>
        <w:t xml:space="preserve"> та</w:t>
      </w:r>
      <w:r w:rsidR="00005240">
        <w:rPr>
          <w:rFonts w:ascii="Times New Roman" w:eastAsia="Times New Roman" w:hAnsi="Times New Roman" w:cs="Times New Roman"/>
          <w:sz w:val="28"/>
          <w:szCs w:val="28"/>
        </w:rPr>
        <w:t xml:space="preserve"> </w:t>
      </w:r>
      <w:r w:rsidRPr="00637203">
        <w:rPr>
          <w:rFonts w:ascii="Times New Roman" w:eastAsia="Times New Roman" w:hAnsi="Times New Roman" w:cs="Times New Roman"/>
          <w:sz w:val="28"/>
          <w:szCs w:val="28"/>
        </w:rPr>
        <w:t xml:space="preserve">наукової </w:t>
      </w:r>
      <w:r>
        <w:rPr>
          <w:rFonts w:ascii="Times New Roman" w:eastAsia="Times New Roman" w:hAnsi="Times New Roman" w:cs="Times New Roman"/>
          <w:sz w:val="28"/>
          <w:szCs w:val="28"/>
        </w:rPr>
        <w:t>і</w:t>
      </w:r>
      <w:r w:rsidRPr="00637203">
        <w:rPr>
          <w:rFonts w:ascii="Times New Roman" w:eastAsia="Times New Roman" w:hAnsi="Times New Roman" w:cs="Times New Roman"/>
          <w:sz w:val="28"/>
          <w:szCs w:val="28"/>
        </w:rPr>
        <w:t xml:space="preserve"> науково-технічної діяльності.</w:t>
      </w:r>
    </w:p>
    <w:p w:rsidR="006B25BB" w:rsidRPr="006B25BB" w:rsidRDefault="006B25BB" w:rsidP="006B25BB">
      <w:pPr>
        <w:shd w:val="clear" w:color="auto" w:fill="FFFFFF"/>
        <w:spacing w:after="0" w:line="240" w:lineRule="auto"/>
        <w:ind w:firstLine="709"/>
        <w:jc w:val="both"/>
        <w:rPr>
          <w:rFonts w:ascii="Times New Roman" w:eastAsia="Times New Roman" w:hAnsi="Times New Roman" w:cs="Times New Roman"/>
          <w:sz w:val="28"/>
          <w:szCs w:val="28"/>
        </w:rPr>
      </w:pPr>
      <w:r w:rsidRPr="006B25BB">
        <w:rPr>
          <w:rFonts w:ascii="Times New Roman" w:eastAsia="Times New Roman" w:hAnsi="Times New Roman" w:cs="Times New Roman"/>
          <w:sz w:val="28"/>
          <w:szCs w:val="28"/>
        </w:rPr>
        <w:t xml:space="preserve">Прийняття цього </w:t>
      </w:r>
      <w:proofErr w:type="spellStart"/>
      <w:r w:rsidRPr="006B25BB">
        <w:rPr>
          <w:rFonts w:ascii="Times New Roman" w:eastAsia="Times New Roman" w:hAnsi="Times New Roman" w:cs="Times New Roman"/>
          <w:sz w:val="28"/>
          <w:szCs w:val="28"/>
        </w:rPr>
        <w:t>акта</w:t>
      </w:r>
      <w:proofErr w:type="spellEnd"/>
      <w:r w:rsidRPr="006B25BB">
        <w:rPr>
          <w:rFonts w:ascii="Times New Roman" w:eastAsia="Times New Roman" w:hAnsi="Times New Roman" w:cs="Times New Roman"/>
          <w:sz w:val="28"/>
          <w:szCs w:val="28"/>
        </w:rPr>
        <w:t xml:space="preserve"> є важливим з огляду на</w:t>
      </w:r>
      <w:r>
        <w:rPr>
          <w:rFonts w:ascii="Times New Roman" w:eastAsia="Times New Roman" w:hAnsi="Times New Roman" w:cs="Times New Roman"/>
          <w:sz w:val="28"/>
          <w:szCs w:val="28"/>
        </w:rPr>
        <w:t xml:space="preserve"> </w:t>
      </w:r>
      <w:r w:rsidRPr="006B25BB">
        <w:rPr>
          <w:rFonts w:ascii="Times New Roman" w:eastAsia="Times New Roman" w:hAnsi="Times New Roman" w:cs="Times New Roman"/>
          <w:sz w:val="28"/>
          <w:szCs w:val="28"/>
        </w:rPr>
        <w:t>необхідність гармонізації національного законодавства із правом Європейського Союзу, що є зобов’язанням України в межах Угоди про асоціацію</w:t>
      </w:r>
      <w:r>
        <w:rPr>
          <w:rFonts w:ascii="Times New Roman" w:eastAsia="Times New Roman" w:hAnsi="Times New Roman" w:cs="Times New Roman"/>
          <w:sz w:val="28"/>
          <w:szCs w:val="28"/>
        </w:rPr>
        <w:t xml:space="preserve">, </w:t>
      </w:r>
      <w:r w:rsidRPr="006B25BB">
        <w:rPr>
          <w:rFonts w:ascii="Times New Roman" w:eastAsia="Times New Roman" w:hAnsi="Times New Roman" w:cs="Times New Roman"/>
          <w:sz w:val="28"/>
          <w:szCs w:val="28"/>
        </w:rPr>
        <w:t>потребу підвищення прозорості та підзвітності у використанні коштів державного та місцевих бюджетів</w:t>
      </w:r>
      <w:r>
        <w:rPr>
          <w:rFonts w:ascii="Times New Roman" w:eastAsia="Times New Roman" w:hAnsi="Times New Roman" w:cs="Times New Roman"/>
          <w:sz w:val="28"/>
          <w:szCs w:val="28"/>
        </w:rPr>
        <w:t>, які виділяються</w:t>
      </w:r>
      <w:r w:rsidRPr="006B25BB">
        <w:rPr>
          <w:rFonts w:ascii="Times New Roman" w:eastAsia="Times New Roman" w:hAnsi="Times New Roman" w:cs="Times New Roman"/>
          <w:sz w:val="28"/>
          <w:szCs w:val="28"/>
        </w:rPr>
        <w:t xml:space="preserve"> на </w:t>
      </w:r>
      <w:r>
        <w:rPr>
          <w:rFonts w:ascii="Times New Roman" w:eastAsia="Times New Roman" w:hAnsi="Times New Roman" w:cs="Times New Roman"/>
          <w:sz w:val="28"/>
          <w:szCs w:val="28"/>
        </w:rPr>
        <w:t xml:space="preserve">виконання </w:t>
      </w:r>
      <w:r w:rsidRPr="006B25BB">
        <w:rPr>
          <w:rFonts w:ascii="Times New Roman" w:eastAsia="Times New Roman" w:hAnsi="Times New Roman" w:cs="Times New Roman"/>
          <w:sz w:val="28"/>
          <w:szCs w:val="28"/>
        </w:rPr>
        <w:t>науков</w:t>
      </w:r>
      <w:r>
        <w:rPr>
          <w:rFonts w:ascii="Times New Roman" w:eastAsia="Times New Roman" w:hAnsi="Times New Roman" w:cs="Times New Roman"/>
          <w:sz w:val="28"/>
          <w:szCs w:val="28"/>
        </w:rPr>
        <w:t>их</w:t>
      </w:r>
      <w:r w:rsidRPr="006B25BB">
        <w:rPr>
          <w:rFonts w:ascii="Times New Roman" w:eastAsia="Times New Roman" w:hAnsi="Times New Roman" w:cs="Times New Roman"/>
          <w:sz w:val="28"/>
          <w:szCs w:val="28"/>
        </w:rPr>
        <w:t xml:space="preserve"> досліджен</w:t>
      </w:r>
      <w:r>
        <w:rPr>
          <w:rFonts w:ascii="Times New Roman" w:eastAsia="Times New Roman" w:hAnsi="Times New Roman" w:cs="Times New Roman"/>
          <w:sz w:val="28"/>
          <w:szCs w:val="28"/>
        </w:rPr>
        <w:t xml:space="preserve">ь, </w:t>
      </w:r>
      <w:r w:rsidRPr="006B25BB">
        <w:rPr>
          <w:rFonts w:ascii="Times New Roman" w:eastAsia="Times New Roman" w:hAnsi="Times New Roman" w:cs="Times New Roman"/>
          <w:sz w:val="28"/>
          <w:szCs w:val="28"/>
        </w:rPr>
        <w:t xml:space="preserve">розширення можливостей для залучення міжнародних грантів і </w:t>
      </w:r>
      <w:proofErr w:type="spellStart"/>
      <w:r w:rsidRPr="006B25BB">
        <w:rPr>
          <w:rFonts w:ascii="Times New Roman" w:eastAsia="Times New Roman" w:hAnsi="Times New Roman" w:cs="Times New Roman"/>
          <w:sz w:val="28"/>
          <w:szCs w:val="28"/>
        </w:rPr>
        <w:t>проєктів</w:t>
      </w:r>
      <w:proofErr w:type="spellEnd"/>
      <w:r w:rsidRPr="006B25BB">
        <w:rPr>
          <w:rFonts w:ascii="Times New Roman" w:eastAsia="Times New Roman" w:hAnsi="Times New Roman" w:cs="Times New Roman"/>
          <w:sz w:val="28"/>
          <w:szCs w:val="28"/>
        </w:rPr>
        <w:t xml:space="preserve"> завдяки відповідності стандартам відкритої науки</w:t>
      </w:r>
      <w:r>
        <w:rPr>
          <w:rFonts w:ascii="Times New Roman" w:eastAsia="Times New Roman" w:hAnsi="Times New Roman" w:cs="Times New Roman"/>
          <w:sz w:val="28"/>
          <w:szCs w:val="28"/>
        </w:rPr>
        <w:t>, тощо</w:t>
      </w:r>
    </w:p>
    <w:p w:rsidR="00AF149D" w:rsidRPr="00B32392" w:rsidRDefault="005E75EB" w:rsidP="00637203">
      <w:pPr>
        <w:shd w:val="clear" w:color="auto" w:fill="FFFFFF"/>
        <w:spacing w:after="0" w:line="240" w:lineRule="auto"/>
        <w:ind w:firstLine="709"/>
        <w:jc w:val="both"/>
        <w:rPr>
          <w:rFonts w:ascii="Times New Roman" w:eastAsia="Times New Roman" w:hAnsi="Times New Roman" w:cs="Times New Roman"/>
          <w:sz w:val="28"/>
          <w:szCs w:val="28"/>
        </w:rPr>
      </w:pPr>
      <w:r w:rsidRPr="005E75EB">
        <w:rPr>
          <w:rFonts w:ascii="Times New Roman" w:eastAsia="Times New Roman" w:hAnsi="Times New Roman" w:cs="Times New Roman"/>
          <w:sz w:val="28"/>
          <w:szCs w:val="28"/>
        </w:rPr>
        <w:t xml:space="preserve">Запропоновані </w:t>
      </w:r>
      <w:proofErr w:type="spellStart"/>
      <w:r w:rsidRPr="005E75EB">
        <w:rPr>
          <w:rFonts w:ascii="Times New Roman" w:eastAsia="Times New Roman" w:hAnsi="Times New Roman" w:cs="Times New Roman"/>
          <w:sz w:val="28"/>
          <w:szCs w:val="28"/>
        </w:rPr>
        <w:t>проєктом</w:t>
      </w:r>
      <w:proofErr w:type="spellEnd"/>
      <w:r w:rsidRPr="005E75EB">
        <w:rPr>
          <w:rFonts w:ascii="Times New Roman" w:eastAsia="Times New Roman" w:hAnsi="Times New Roman" w:cs="Times New Roman"/>
          <w:sz w:val="28"/>
          <w:szCs w:val="28"/>
        </w:rPr>
        <w:t xml:space="preserve"> Закону зміни мають потенціал суттєво трансформувати ландшафт наукової комунікації в Україні, сприяючи більшій відкритості, ефективності та </w:t>
      </w:r>
      <w:proofErr w:type="spellStart"/>
      <w:r w:rsidRPr="005E75EB">
        <w:rPr>
          <w:rFonts w:ascii="Times New Roman" w:eastAsia="Times New Roman" w:hAnsi="Times New Roman" w:cs="Times New Roman"/>
          <w:sz w:val="28"/>
          <w:szCs w:val="28"/>
        </w:rPr>
        <w:t>інноваційності</w:t>
      </w:r>
      <w:proofErr w:type="spellEnd"/>
      <w:r w:rsidRPr="005E75EB">
        <w:rPr>
          <w:rFonts w:ascii="Times New Roman" w:eastAsia="Times New Roman" w:hAnsi="Times New Roman" w:cs="Times New Roman"/>
          <w:sz w:val="28"/>
          <w:szCs w:val="28"/>
        </w:rPr>
        <w:t xml:space="preserve"> наукових результатів. Це, в свою чергу, матиме позитивний вплив на якість наукових (науково-технічних) робіт, міжнародну співпрацю, та в кінцевому рахунку – на соціально-економічний розвиток країни через більш ефективне впровадження наукових результатів.</w:t>
      </w:r>
    </w:p>
    <w:p w:rsidR="00D747E3" w:rsidRPr="00B32392" w:rsidRDefault="00D747E3" w:rsidP="00D747E3">
      <w:pPr>
        <w:shd w:val="clear" w:color="auto" w:fill="FFFFFF"/>
        <w:spacing w:after="0" w:line="240" w:lineRule="auto"/>
        <w:ind w:firstLine="709"/>
        <w:jc w:val="both"/>
        <w:rPr>
          <w:rFonts w:ascii="Times New Roman" w:eastAsia="Times New Roman" w:hAnsi="Times New Roman" w:cs="Times New Roman"/>
          <w:sz w:val="28"/>
          <w:szCs w:val="28"/>
        </w:rPr>
      </w:pPr>
    </w:p>
    <w:p w:rsidR="00AF149D" w:rsidRPr="00B32392" w:rsidRDefault="00D747E3" w:rsidP="00D747E3">
      <w:pPr>
        <w:shd w:val="clear" w:color="auto" w:fill="FFFFFF"/>
        <w:spacing w:after="0" w:line="240" w:lineRule="auto"/>
        <w:ind w:firstLine="709"/>
        <w:rPr>
          <w:rFonts w:ascii="Times New Roman" w:eastAsia="Times New Roman" w:hAnsi="Times New Roman" w:cs="Times New Roman"/>
          <w:sz w:val="28"/>
          <w:szCs w:val="28"/>
        </w:rPr>
      </w:pPr>
      <w:r w:rsidRPr="00B32392">
        <w:rPr>
          <w:rFonts w:ascii="Times New Roman" w:eastAsia="Times New Roman" w:hAnsi="Times New Roman" w:cs="Times New Roman"/>
          <w:sz w:val="28"/>
          <w:szCs w:val="28"/>
        </w:rPr>
        <w:t>Основні групи (підгрупи), на які проблема справляє вплив</w:t>
      </w:r>
    </w:p>
    <w:p w:rsidR="00D747E3" w:rsidRPr="00B32392" w:rsidRDefault="00D747E3" w:rsidP="00D747E3">
      <w:pPr>
        <w:shd w:val="clear" w:color="auto" w:fill="FFFFFF"/>
        <w:spacing w:after="0" w:line="240" w:lineRule="auto"/>
        <w:jc w:val="center"/>
        <w:rPr>
          <w:rFonts w:ascii="Times New Roman" w:eastAsia="Times New Roman" w:hAnsi="Times New Roman" w:cs="Times New Roman"/>
          <w:b/>
          <w:sz w:val="28"/>
          <w:szCs w:val="28"/>
        </w:rPr>
      </w:pPr>
    </w:p>
    <w:tbl>
      <w:tblPr>
        <w:tblStyle w:val="a5"/>
        <w:tblW w:w="9639" w:type="dxa"/>
        <w:tblInd w:w="0" w:type="dxa"/>
        <w:tblLayout w:type="fixed"/>
        <w:tblLook w:val="0400" w:firstRow="0" w:lastRow="0" w:firstColumn="0" w:lastColumn="0" w:noHBand="0" w:noVBand="1"/>
      </w:tblPr>
      <w:tblGrid>
        <w:gridCol w:w="4381"/>
        <w:gridCol w:w="2823"/>
        <w:gridCol w:w="2435"/>
      </w:tblGrid>
      <w:tr w:rsidR="00D747E3" w:rsidRPr="00B32392">
        <w:tc>
          <w:tcPr>
            <w:tcW w:w="4381" w:type="dxa"/>
            <w:tcBorders>
              <w:top w:val="single" w:sz="6" w:space="0" w:color="000000"/>
              <w:left w:val="nil"/>
              <w:bottom w:val="single" w:sz="6" w:space="0" w:color="000000"/>
              <w:right w:val="single" w:sz="6" w:space="0" w:color="000000"/>
            </w:tcBorders>
          </w:tcPr>
          <w:p w:rsidR="00AF149D" w:rsidRPr="00B32392" w:rsidRDefault="00716C69" w:rsidP="00D747E3">
            <w:pPr>
              <w:spacing w:after="0" w:line="240" w:lineRule="auto"/>
              <w:ind w:firstLine="709"/>
              <w:jc w:val="center"/>
              <w:rPr>
                <w:rFonts w:ascii="Times New Roman" w:eastAsia="Times New Roman" w:hAnsi="Times New Roman" w:cs="Times New Roman"/>
                <w:sz w:val="28"/>
                <w:szCs w:val="28"/>
              </w:rPr>
            </w:pPr>
            <w:r w:rsidRPr="00B32392">
              <w:rPr>
                <w:rFonts w:ascii="Times New Roman" w:eastAsia="Times New Roman" w:hAnsi="Times New Roman" w:cs="Times New Roman"/>
                <w:sz w:val="28"/>
                <w:szCs w:val="28"/>
              </w:rPr>
              <w:t>Групи (підгрупи)</w:t>
            </w:r>
          </w:p>
        </w:tc>
        <w:tc>
          <w:tcPr>
            <w:tcW w:w="2823" w:type="dxa"/>
            <w:tcBorders>
              <w:top w:val="single" w:sz="6" w:space="0" w:color="000000"/>
              <w:left w:val="single" w:sz="6" w:space="0" w:color="000000"/>
              <w:bottom w:val="single" w:sz="6" w:space="0" w:color="000000"/>
              <w:right w:val="single" w:sz="6" w:space="0" w:color="000000"/>
            </w:tcBorders>
          </w:tcPr>
          <w:p w:rsidR="00AF149D" w:rsidRPr="00B32392" w:rsidRDefault="00716C69" w:rsidP="00D747E3">
            <w:pPr>
              <w:spacing w:after="0" w:line="240" w:lineRule="auto"/>
              <w:ind w:hanging="7"/>
              <w:jc w:val="center"/>
              <w:rPr>
                <w:rFonts w:ascii="Times New Roman" w:eastAsia="Times New Roman" w:hAnsi="Times New Roman" w:cs="Times New Roman"/>
                <w:sz w:val="28"/>
                <w:szCs w:val="28"/>
              </w:rPr>
            </w:pPr>
            <w:r w:rsidRPr="00B32392">
              <w:rPr>
                <w:rFonts w:ascii="Times New Roman" w:eastAsia="Times New Roman" w:hAnsi="Times New Roman" w:cs="Times New Roman"/>
                <w:sz w:val="28"/>
                <w:szCs w:val="28"/>
              </w:rPr>
              <w:t>Так</w:t>
            </w:r>
          </w:p>
        </w:tc>
        <w:tc>
          <w:tcPr>
            <w:tcW w:w="2435" w:type="dxa"/>
            <w:tcBorders>
              <w:top w:val="single" w:sz="6" w:space="0" w:color="000000"/>
              <w:left w:val="single" w:sz="6" w:space="0" w:color="000000"/>
              <w:bottom w:val="single" w:sz="6" w:space="0" w:color="000000"/>
              <w:right w:val="nil"/>
            </w:tcBorders>
          </w:tcPr>
          <w:p w:rsidR="00AF149D" w:rsidRPr="00B32392" w:rsidRDefault="00716C69" w:rsidP="00D747E3">
            <w:pPr>
              <w:spacing w:after="0" w:line="240" w:lineRule="auto"/>
              <w:ind w:hanging="7"/>
              <w:jc w:val="center"/>
              <w:rPr>
                <w:rFonts w:ascii="Times New Roman" w:eastAsia="Times New Roman" w:hAnsi="Times New Roman" w:cs="Times New Roman"/>
                <w:sz w:val="28"/>
                <w:szCs w:val="28"/>
              </w:rPr>
            </w:pPr>
            <w:r w:rsidRPr="00B32392">
              <w:rPr>
                <w:rFonts w:ascii="Times New Roman" w:eastAsia="Times New Roman" w:hAnsi="Times New Roman" w:cs="Times New Roman"/>
                <w:sz w:val="28"/>
                <w:szCs w:val="28"/>
              </w:rPr>
              <w:t>Ні</w:t>
            </w:r>
          </w:p>
        </w:tc>
      </w:tr>
      <w:tr w:rsidR="00D747E3" w:rsidRPr="00B32392">
        <w:tc>
          <w:tcPr>
            <w:tcW w:w="4381" w:type="dxa"/>
            <w:tcBorders>
              <w:top w:val="single" w:sz="6" w:space="0" w:color="000000"/>
              <w:left w:val="single" w:sz="4" w:space="0" w:color="000000"/>
              <w:bottom w:val="single" w:sz="4" w:space="0" w:color="000000"/>
              <w:right w:val="single" w:sz="4" w:space="0" w:color="000000"/>
            </w:tcBorders>
          </w:tcPr>
          <w:p w:rsidR="00AF149D" w:rsidRPr="00B32392" w:rsidRDefault="00716C69" w:rsidP="00D747E3">
            <w:pPr>
              <w:spacing w:after="0" w:line="240" w:lineRule="auto"/>
              <w:ind w:firstLine="709"/>
              <w:rPr>
                <w:rFonts w:ascii="Times New Roman" w:eastAsia="Times New Roman" w:hAnsi="Times New Roman" w:cs="Times New Roman"/>
                <w:sz w:val="28"/>
                <w:szCs w:val="28"/>
              </w:rPr>
            </w:pPr>
            <w:r w:rsidRPr="00B32392">
              <w:rPr>
                <w:rFonts w:ascii="Times New Roman" w:eastAsia="Times New Roman" w:hAnsi="Times New Roman" w:cs="Times New Roman"/>
                <w:sz w:val="28"/>
                <w:szCs w:val="28"/>
              </w:rPr>
              <w:t>Громадяни</w:t>
            </w:r>
          </w:p>
        </w:tc>
        <w:tc>
          <w:tcPr>
            <w:tcW w:w="2823" w:type="dxa"/>
            <w:tcBorders>
              <w:top w:val="single" w:sz="6" w:space="0" w:color="000000"/>
              <w:left w:val="single" w:sz="4" w:space="0" w:color="000000"/>
              <w:bottom w:val="single" w:sz="4" w:space="0" w:color="000000"/>
              <w:right w:val="single" w:sz="4" w:space="0" w:color="000000"/>
            </w:tcBorders>
          </w:tcPr>
          <w:p w:rsidR="00AF149D" w:rsidRPr="00B32392" w:rsidRDefault="00716C69" w:rsidP="00D747E3">
            <w:pPr>
              <w:spacing w:after="0" w:line="240" w:lineRule="auto"/>
              <w:ind w:hanging="7"/>
              <w:jc w:val="center"/>
              <w:rPr>
                <w:rFonts w:ascii="Times New Roman" w:eastAsia="Times New Roman" w:hAnsi="Times New Roman" w:cs="Times New Roman"/>
                <w:sz w:val="28"/>
                <w:szCs w:val="28"/>
              </w:rPr>
            </w:pPr>
            <w:r w:rsidRPr="00B32392">
              <w:rPr>
                <w:rFonts w:ascii="Times New Roman" w:eastAsia="Times New Roman" w:hAnsi="Times New Roman" w:cs="Times New Roman"/>
                <w:sz w:val="28"/>
                <w:szCs w:val="28"/>
              </w:rPr>
              <w:t>+</w:t>
            </w:r>
          </w:p>
        </w:tc>
        <w:tc>
          <w:tcPr>
            <w:tcW w:w="2435" w:type="dxa"/>
            <w:tcBorders>
              <w:top w:val="single" w:sz="6" w:space="0" w:color="000000"/>
              <w:left w:val="single" w:sz="4" w:space="0" w:color="000000"/>
              <w:bottom w:val="single" w:sz="4" w:space="0" w:color="000000"/>
              <w:right w:val="single" w:sz="4" w:space="0" w:color="000000"/>
            </w:tcBorders>
          </w:tcPr>
          <w:p w:rsidR="00AF149D" w:rsidRPr="00B32392" w:rsidRDefault="00716C69" w:rsidP="00D747E3">
            <w:pPr>
              <w:spacing w:after="0" w:line="240" w:lineRule="auto"/>
              <w:ind w:hanging="7"/>
              <w:jc w:val="center"/>
              <w:rPr>
                <w:rFonts w:ascii="Times New Roman" w:eastAsia="Times New Roman" w:hAnsi="Times New Roman" w:cs="Times New Roman"/>
                <w:sz w:val="28"/>
                <w:szCs w:val="28"/>
              </w:rPr>
            </w:pPr>
            <w:r w:rsidRPr="00B32392">
              <w:rPr>
                <w:rFonts w:ascii="Times New Roman" w:eastAsia="Times New Roman" w:hAnsi="Times New Roman" w:cs="Times New Roman"/>
                <w:sz w:val="28"/>
                <w:szCs w:val="28"/>
              </w:rPr>
              <w:t>-</w:t>
            </w:r>
          </w:p>
        </w:tc>
      </w:tr>
      <w:tr w:rsidR="00D747E3" w:rsidRPr="00B32392">
        <w:tc>
          <w:tcPr>
            <w:tcW w:w="4381" w:type="dxa"/>
            <w:tcBorders>
              <w:top w:val="single" w:sz="4" w:space="0" w:color="000000"/>
              <w:left w:val="single" w:sz="4" w:space="0" w:color="000000"/>
              <w:bottom w:val="single" w:sz="4" w:space="0" w:color="000000"/>
              <w:right w:val="single" w:sz="4" w:space="0" w:color="000000"/>
            </w:tcBorders>
          </w:tcPr>
          <w:p w:rsidR="00AF149D" w:rsidRPr="00B32392" w:rsidRDefault="00716C69" w:rsidP="00D747E3">
            <w:pPr>
              <w:spacing w:after="0" w:line="240" w:lineRule="auto"/>
              <w:ind w:firstLine="709"/>
              <w:rPr>
                <w:rFonts w:ascii="Times New Roman" w:eastAsia="Times New Roman" w:hAnsi="Times New Roman" w:cs="Times New Roman"/>
                <w:sz w:val="28"/>
                <w:szCs w:val="28"/>
              </w:rPr>
            </w:pPr>
            <w:r w:rsidRPr="00B32392">
              <w:rPr>
                <w:rFonts w:ascii="Times New Roman" w:eastAsia="Times New Roman" w:hAnsi="Times New Roman" w:cs="Times New Roman"/>
                <w:sz w:val="28"/>
                <w:szCs w:val="28"/>
              </w:rPr>
              <w:t>Держава</w:t>
            </w:r>
          </w:p>
        </w:tc>
        <w:tc>
          <w:tcPr>
            <w:tcW w:w="2823" w:type="dxa"/>
            <w:tcBorders>
              <w:top w:val="single" w:sz="4" w:space="0" w:color="000000"/>
              <w:left w:val="single" w:sz="4" w:space="0" w:color="000000"/>
              <w:bottom w:val="single" w:sz="4" w:space="0" w:color="000000"/>
              <w:right w:val="single" w:sz="4" w:space="0" w:color="000000"/>
            </w:tcBorders>
          </w:tcPr>
          <w:p w:rsidR="00AF149D" w:rsidRPr="00B32392" w:rsidRDefault="00716C69" w:rsidP="00D747E3">
            <w:pPr>
              <w:spacing w:after="0" w:line="240" w:lineRule="auto"/>
              <w:ind w:hanging="7"/>
              <w:jc w:val="center"/>
              <w:rPr>
                <w:rFonts w:ascii="Times New Roman" w:eastAsia="Times New Roman" w:hAnsi="Times New Roman" w:cs="Times New Roman"/>
                <w:sz w:val="28"/>
                <w:szCs w:val="28"/>
              </w:rPr>
            </w:pPr>
            <w:r w:rsidRPr="00B32392">
              <w:rPr>
                <w:rFonts w:ascii="Times New Roman" w:eastAsia="Times New Roman" w:hAnsi="Times New Roman" w:cs="Times New Roman"/>
                <w:sz w:val="28"/>
                <w:szCs w:val="28"/>
              </w:rPr>
              <w:t>+</w:t>
            </w:r>
          </w:p>
        </w:tc>
        <w:tc>
          <w:tcPr>
            <w:tcW w:w="2435" w:type="dxa"/>
            <w:tcBorders>
              <w:top w:val="single" w:sz="4" w:space="0" w:color="000000"/>
              <w:left w:val="single" w:sz="4" w:space="0" w:color="000000"/>
              <w:bottom w:val="single" w:sz="4" w:space="0" w:color="000000"/>
              <w:right w:val="single" w:sz="4" w:space="0" w:color="000000"/>
            </w:tcBorders>
          </w:tcPr>
          <w:p w:rsidR="00AF149D" w:rsidRPr="00B32392" w:rsidRDefault="00716C69" w:rsidP="00D747E3">
            <w:pPr>
              <w:spacing w:after="0" w:line="240" w:lineRule="auto"/>
              <w:ind w:hanging="7"/>
              <w:jc w:val="center"/>
              <w:rPr>
                <w:rFonts w:ascii="Times New Roman" w:eastAsia="Times New Roman" w:hAnsi="Times New Roman" w:cs="Times New Roman"/>
                <w:sz w:val="28"/>
                <w:szCs w:val="28"/>
              </w:rPr>
            </w:pPr>
            <w:r w:rsidRPr="00B32392">
              <w:rPr>
                <w:rFonts w:ascii="Times New Roman" w:eastAsia="Times New Roman" w:hAnsi="Times New Roman" w:cs="Times New Roman"/>
                <w:sz w:val="28"/>
                <w:szCs w:val="28"/>
              </w:rPr>
              <w:t>-</w:t>
            </w:r>
          </w:p>
        </w:tc>
      </w:tr>
      <w:tr w:rsidR="00D747E3" w:rsidRPr="00B32392">
        <w:tc>
          <w:tcPr>
            <w:tcW w:w="4381" w:type="dxa"/>
            <w:tcBorders>
              <w:top w:val="single" w:sz="4" w:space="0" w:color="000000"/>
              <w:left w:val="single" w:sz="4" w:space="0" w:color="000000"/>
              <w:bottom w:val="single" w:sz="4" w:space="0" w:color="000000"/>
              <w:right w:val="single" w:sz="4" w:space="0" w:color="000000"/>
            </w:tcBorders>
          </w:tcPr>
          <w:p w:rsidR="00AF149D" w:rsidRPr="00B32392" w:rsidRDefault="00716C69" w:rsidP="00D747E3">
            <w:pPr>
              <w:spacing w:after="0" w:line="240" w:lineRule="auto"/>
              <w:ind w:firstLine="709"/>
              <w:rPr>
                <w:rFonts w:ascii="Times New Roman" w:eastAsia="Times New Roman" w:hAnsi="Times New Roman" w:cs="Times New Roman"/>
                <w:sz w:val="28"/>
                <w:szCs w:val="28"/>
              </w:rPr>
            </w:pPr>
            <w:r w:rsidRPr="00B32392">
              <w:rPr>
                <w:rFonts w:ascii="Times New Roman" w:eastAsia="Times New Roman" w:hAnsi="Times New Roman" w:cs="Times New Roman"/>
                <w:sz w:val="28"/>
                <w:szCs w:val="28"/>
              </w:rPr>
              <w:t>Суб’єкти господарювання,</w:t>
            </w:r>
          </w:p>
        </w:tc>
        <w:tc>
          <w:tcPr>
            <w:tcW w:w="2823" w:type="dxa"/>
            <w:tcBorders>
              <w:top w:val="single" w:sz="4" w:space="0" w:color="000000"/>
              <w:left w:val="single" w:sz="4" w:space="0" w:color="000000"/>
              <w:bottom w:val="single" w:sz="4" w:space="0" w:color="000000"/>
              <w:right w:val="single" w:sz="4" w:space="0" w:color="000000"/>
            </w:tcBorders>
          </w:tcPr>
          <w:p w:rsidR="00AF149D" w:rsidRPr="00B32392" w:rsidRDefault="00716C69" w:rsidP="00D747E3">
            <w:pPr>
              <w:spacing w:after="0" w:line="240" w:lineRule="auto"/>
              <w:ind w:hanging="7"/>
              <w:jc w:val="center"/>
              <w:rPr>
                <w:rFonts w:ascii="Times New Roman" w:eastAsia="Times New Roman" w:hAnsi="Times New Roman" w:cs="Times New Roman"/>
                <w:sz w:val="28"/>
                <w:szCs w:val="28"/>
              </w:rPr>
            </w:pPr>
            <w:r w:rsidRPr="00B32392">
              <w:rPr>
                <w:rFonts w:ascii="Times New Roman" w:eastAsia="Times New Roman" w:hAnsi="Times New Roman" w:cs="Times New Roman"/>
                <w:sz w:val="28"/>
                <w:szCs w:val="28"/>
              </w:rPr>
              <w:t>+</w:t>
            </w:r>
          </w:p>
        </w:tc>
        <w:tc>
          <w:tcPr>
            <w:tcW w:w="2435" w:type="dxa"/>
            <w:tcBorders>
              <w:top w:val="single" w:sz="4" w:space="0" w:color="000000"/>
              <w:left w:val="single" w:sz="4" w:space="0" w:color="000000"/>
              <w:bottom w:val="single" w:sz="4" w:space="0" w:color="000000"/>
              <w:right w:val="single" w:sz="4" w:space="0" w:color="000000"/>
            </w:tcBorders>
          </w:tcPr>
          <w:p w:rsidR="00AF149D" w:rsidRPr="00B32392" w:rsidRDefault="00716C69" w:rsidP="00D747E3">
            <w:pPr>
              <w:spacing w:after="0" w:line="240" w:lineRule="auto"/>
              <w:ind w:hanging="7"/>
              <w:jc w:val="center"/>
              <w:rPr>
                <w:rFonts w:ascii="Times New Roman" w:eastAsia="Times New Roman" w:hAnsi="Times New Roman" w:cs="Times New Roman"/>
                <w:sz w:val="28"/>
                <w:szCs w:val="28"/>
              </w:rPr>
            </w:pPr>
            <w:r w:rsidRPr="00B32392">
              <w:rPr>
                <w:rFonts w:ascii="Times New Roman" w:eastAsia="Times New Roman" w:hAnsi="Times New Roman" w:cs="Times New Roman"/>
                <w:sz w:val="28"/>
                <w:szCs w:val="28"/>
              </w:rPr>
              <w:t>-</w:t>
            </w:r>
          </w:p>
        </w:tc>
      </w:tr>
      <w:tr w:rsidR="00D747E3" w:rsidRPr="00B32392">
        <w:tc>
          <w:tcPr>
            <w:tcW w:w="4381" w:type="dxa"/>
            <w:tcBorders>
              <w:top w:val="single" w:sz="4" w:space="0" w:color="000000"/>
              <w:left w:val="single" w:sz="4" w:space="0" w:color="000000"/>
              <w:bottom w:val="single" w:sz="4" w:space="0" w:color="000000"/>
              <w:right w:val="single" w:sz="4" w:space="0" w:color="000000"/>
            </w:tcBorders>
          </w:tcPr>
          <w:p w:rsidR="00AF149D" w:rsidRPr="00B32392" w:rsidRDefault="00716C69" w:rsidP="00D747E3">
            <w:pPr>
              <w:spacing w:after="0" w:line="240" w:lineRule="auto"/>
              <w:ind w:firstLine="709"/>
              <w:rPr>
                <w:rFonts w:ascii="Times New Roman" w:eastAsia="Times New Roman" w:hAnsi="Times New Roman" w:cs="Times New Roman"/>
                <w:sz w:val="28"/>
                <w:szCs w:val="28"/>
              </w:rPr>
            </w:pPr>
            <w:r w:rsidRPr="00B32392">
              <w:rPr>
                <w:rFonts w:ascii="Times New Roman" w:eastAsia="Times New Roman" w:hAnsi="Times New Roman" w:cs="Times New Roman"/>
                <w:sz w:val="28"/>
                <w:szCs w:val="28"/>
              </w:rPr>
              <w:t>у тому числі суб’єкти малого підприємництва*</w:t>
            </w:r>
          </w:p>
        </w:tc>
        <w:tc>
          <w:tcPr>
            <w:tcW w:w="2823" w:type="dxa"/>
            <w:tcBorders>
              <w:top w:val="single" w:sz="4" w:space="0" w:color="000000"/>
              <w:left w:val="single" w:sz="4" w:space="0" w:color="000000"/>
              <w:bottom w:val="single" w:sz="4" w:space="0" w:color="000000"/>
              <w:right w:val="single" w:sz="4" w:space="0" w:color="000000"/>
            </w:tcBorders>
          </w:tcPr>
          <w:p w:rsidR="00AF149D" w:rsidRPr="006057BF" w:rsidRDefault="006057BF" w:rsidP="00D747E3">
            <w:pPr>
              <w:spacing w:after="0" w:line="240" w:lineRule="auto"/>
              <w:ind w:hanging="7"/>
              <w:jc w:val="center"/>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w:t>
            </w:r>
          </w:p>
        </w:tc>
        <w:tc>
          <w:tcPr>
            <w:tcW w:w="2435" w:type="dxa"/>
            <w:tcBorders>
              <w:top w:val="single" w:sz="4" w:space="0" w:color="000000"/>
              <w:left w:val="single" w:sz="4" w:space="0" w:color="000000"/>
              <w:bottom w:val="single" w:sz="4" w:space="0" w:color="000000"/>
              <w:right w:val="single" w:sz="4" w:space="0" w:color="000000"/>
            </w:tcBorders>
          </w:tcPr>
          <w:p w:rsidR="00AF149D" w:rsidRPr="00B32392" w:rsidRDefault="00716C69" w:rsidP="00D747E3">
            <w:pPr>
              <w:spacing w:after="0" w:line="240" w:lineRule="auto"/>
              <w:ind w:hanging="7"/>
              <w:jc w:val="center"/>
              <w:rPr>
                <w:rFonts w:ascii="Times New Roman" w:eastAsia="Times New Roman" w:hAnsi="Times New Roman" w:cs="Times New Roman"/>
                <w:sz w:val="28"/>
                <w:szCs w:val="28"/>
              </w:rPr>
            </w:pPr>
            <w:r w:rsidRPr="00B32392">
              <w:rPr>
                <w:rFonts w:ascii="Times New Roman" w:eastAsia="Times New Roman" w:hAnsi="Times New Roman" w:cs="Times New Roman"/>
                <w:sz w:val="28"/>
                <w:szCs w:val="28"/>
              </w:rPr>
              <w:t>-</w:t>
            </w:r>
          </w:p>
        </w:tc>
      </w:tr>
    </w:tbl>
    <w:p w:rsidR="00AF149D" w:rsidRPr="00B32392" w:rsidRDefault="00AF149D" w:rsidP="00D747E3">
      <w:pPr>
        <w:shd w:val="clear" w:color="auto" w:fill="FFFFFF"/>
        <w:spacing w:after="0" w:line="240" w:lineRule="auto"/>
        <w:ind w:firstLine="709"/>
        <w:jc w:val="both"/>
        <w:rPr>
          <w:rFonts w:ascii="Times New Roman" w:eastAsia="Times New Roman" w:hAnsi="Times New Roman" w:cs="Times New Roman"/>
          <w:sz w:val="28"/>
          <w:szCs w:val="28"/>
        </w:rPr>
      </w:pPr>
    </w:p>
    <w:p w:rsidR="003C6377" w:rsidRDefault="00716C69" w:rsidP="00D747E3">
      <w:pPr>
        <w:shd w:val="clear" w:color="auto" w:fill="FFFFFF"/>
        <w:spacing w:after="0" w:line="240" w:lineRule="auto"/>
        <w:ind w:firstLine="709"/>
        <w:jc w:val="both"/>
        <w:rPr>
          <w:rFonts w:ascii="Times New Roman" w:eastAsia="Times New Roman" w:hAnsi="Times New Roman" w:cs="Times New Roman"/>
          <w:sz w:val="28"/>
          <w:szCs w:val="28"/>
        </w:rPr>
      </w:pPr>
      <w:r w:rsidRPr="00B32392">
        <w:rPr>
          <w:rFonts w:ascii="Times New Roman" w:eastAsia="Times New Roman" w:hAnsi="Times New Roman" w:cs="Times New Roman"/>
          <w:b/>
          <w:sz w:val="28"/>
          <w:szCs w:val="28"/>
        </w:rPr>
        <w:t xml:space="preserve">Обґрунтування неможливості вирішення проблеми за допомогою ринкових механізмів: </w:t>
      </w:r>
      <w:r w:rsidRPr="00B32392">
        <w:rPr>
          <w:rFonts w:ascii="Times New Roman" w:eastAsia="Times New Roman" w:hAnsi="Times New Roman" w:cs="Times New Roman"/>
          <w:sz w:val="28"/>
          <w:szCs w:val="28"/>
        </w:rPr>
        <w:t xml:space="preserve">Проблема, яка потребує врегулювання, не може бути розв’язана за допомогою ринкових механізмів з огляду на її системний, нормативно-правовий характер, зокрема, в забезпеченні уніфікованої вимоги до організаційних або процедурних аспектів, що визначаються публічними інтересами та регулюються виключно державою. </w:t>
      </w:r>
      <w:r w:rsidR="003C6377">
        <w:rPr>
          <w:rFonts w:ascii="Times New Roman" w:eastAsia="Times New Roman" w:hAnsi="Times New Roman" w:cs="Times New Roman"/>
          <w:sz w:val="28"/>
          <w:szCs w:val="28"/>
        </w:rPr>
        <w:t>Окрім того, р</w:t>
      </w:r>
      <w:r w:rsidR="003C6377" w:rsidRPr="003C6377">
        <w:rPr>
          <w:rFonts w:ascii="Times New Roman" w:eastAsia="Times New Roman" w:hAnsi="Times New Roman" w:cs="Times New Roman"/>
          <w:sz w:val="28"/>
          <w:szCs w:val="28"/>
        </w:rPr>
        <w:t>инкові механізми не здатні врегулювати питання інтелектуальної власності на результати досліджень, зокрема у випадках, коли автором є фізична особа, а фінансування здійснювалось за рахунок держави. Це потребує спеціального законодавчого механізму балансу між правами автора і публічним інтересом.</w:t>
      </w:r>
    </w:p>
    <w:p w:rsidR="003C6377" w:rsidRDefault="003C6377" w:rsidP="003C6377">
      <w:pPr>
        <w:shd w:val="clear" w:color="auto" w:fill="FFFFFF"/>
        <w:spacing w:after="0" w:line="240" w:lineRule="auto"/>
        <w:ind w:firstLine="709"/>
        <w:jc w:val="both"/>
        <w:rPr>
          <w:rFonts w:ascii="Times New Roman" w:eastAsia="Times New Roman" w:hAnsi="Times New Roman" w:cs="Times New Roman"/>
          <w:sz w:val="28"/>
          <w:szCs w:val="28"/>
        </w:rPr>
      </w:pPr>
      <w:r w:rsidRPr="003C6377">
        <w:rPr>
          <w:rFonts w:ascii="Times New Roman" w:eastAsia="Times New Roman" w:hAnsi="Times New Roman" w:cs="Times New Roman"/>
          <w:sz w:val="28"/>
          <w:szCs w:val="28"/>
        </w:rPr>
        <w:lastRenderedPageBreak/>
        <w:t xml:space="preserve">Таким чином, державне регулювання є єдиним можливим способом вирішення окресленої проблеми, який дозволяє встановити обов’язкові стандарти, створити правові підстави для функціонування </w:t>
      </w:r>
      <w:proofErr w:type="spellStart"/>
      <w:r w:rsidRPr="003C6377">
        <w:rPr>
          <w:rFonts w:ascii="Times New Roman" w:eastAsia="Times New Roman" w:hAnsi="Times New Roman" w:cs="Times New Roman"/>
          <w:sz w:val="28"/>
          <w:szCs w:val="28"/>
        </w:rPr>
        <w:t>репозитаріїв</w:t>
      </w:r>
      <w:proofErr w:type="spellEnd"/>
      <w:r w:rsidRPr="003C6377">
        <w:rPr>
          <w:rFonts w:ascii="Times New Roman" w:eastAsia="Times New Roman" w:hAnsi="Times New Roman" w:cs="Times New Roman"/>
          <w:sz w:val="28"/>
          <w:szCs w:val="28"/>
        </w:rPr>
        <w:t>, надання відкритого доступу, та забезпечити відповідність права України європейським підходам у сфері відкритої науки.</w:t>
      </w:r>
    </w:p>
    <w:p w:rsidR="003C6377" w:rsidRDefault="003C6377" w:rsidP="00D747E3">
      <w:pPr>
        <w:shd w:val="clear" w:color="auto" w:fill="FFFFFF"/>
        <w:spacing w:after="0" w:line="240" w:lineRule="auto"/>
        <w:ind w:firstLine="709"/>
        <w:jc w:val="both"/>
        <w:rPr>
          <w:rFonts w:ascii="Times New Roman" w:eastAsia="Times New Roman" w:hAnsi="Times New Roman" w:cs="Times New Roman"/>
          <w:sz w:val="28"/>
          <w:szCs w:val="28"/>
        </w:rPr>
      </w:pPr>
    </w:p>
    <w:p w:rsidR="00AF149D" w:rsidRPr="00B32392" w:rsidRDefault="00716C69" w:rsidP="00D747E3">
      <w:pPr>
        <w:shd w:val="clear" w:color="auto" w:fill="FFFFFF"/>
        <w:spacing w:after="0" w:line="240" w:lineRule="auto"/>
        <w:jc w:val="center"/>
        <w:rPr>
          <w:rFonts w:ascii="Times New Roman" w:eastAsia="Times New Roman" w:hAnsi="Times New Roman" w:cs="Times New Roman"/>
          <w:b/>
          <w:sz w:val="28"/>
          <w:szCs w:val="28"/>
        </w:rPr>
      </w:pPr>
      <w:r w:rsidRPr="00B32392">
        <w:rPr>
          <w:rFonts w:ascii="Times New Roman" w:eastAsia="Times New Roman" w:hAnsi="Times New Roman" w:cs="Times New Roman"/>
          <w:b/>
          <w:sz w:val="28"/>
          <w:szCs w:val="28"/>
        </w:rPr>
        <w:t>II. Цілі державного регулювання</w:t>
      </w:r>
    </w:p>
    <w:p w:rsidR="00D747E3" w:rsidRPr="00B32392" w:rsidRDefault="00D747E3" w:rsidP="00D747E3">
      <w:pPr>
        <w:shd w:val="clear" w:color="auto" w:fill="FFFFFF"/>
        <w:spacing w:after="0" w:line="240" w:lineRule="auto"/>
        <w:jc w:val="center"/>
        <w:rPr>
          <w:rFonts w:ascii="Times New Roman" w:eastAsia="Times New Roman" w:hAnsi="Times New Roman" w:cs="Times New Roman"/>
          <w:sz w:val="28"/>
          <w:szCs w:val="28"/>
        </w:rPr>
      </w:pPr>
    </w:p>
    <w:p w:rsidR="002A6CA6" w:rsidRDefault="00716C69" w:rsidP="002A6CA6">
      <w:pPr>
        <w:shd w:val="clear" w:color="auto" w:fill="FFFFFF"/>
        <w:spacing w:after="0" w:line="240" w:lineRule="auto"/>
        <w:ind w:firstLine="709"/>
        <w:jc w:val="both"/>
        <w:rPr>
          <w:rFonts w:ascii="Times New Roman" w:eastAsia="Times New Roman" w:hAnsi="Times New Roman" w:cs="Times New Roman"/>
          <w:sz w:val="28"/>
          <w:szCs w:val="28"/>
        </w:rPr>
      </w:pPr>
      <w:proofErr w:type="spellStart"/>
      <w:r w:rsidRPr="00B32392">
        <w:rPr>
          <w:rFonts w:ascii="Times New Roman" w:eastAsia="Times New Roman" w:hAnsi="Times New Roman" w:cs="Times New Roman"/>
          <w:sz w:val="28"/>
          <w:szCs w:val="28"/>
        </w:rPr>
        <w:t>Проєкт</w:t>
      </w:r>
      <w:proofErr w:type="spellEnd"/>
      <w:r w:rsidRPr="00B32392">
        <w:rPr>
          <w:rFonts w:ascii="Times New Roman" w:eastAsia="Times New Roman" w:hAnsi="Times New Roman" w:cs="Times New Roman"/>
          <w:sz w:val="28"/>
          <w:szCs w:val="28"/>
        </w:rPr>
        <w:t xml:space="preserve"> Закону </w:t>
      </w:r>
      <w:r w:rsidR="00C12D7F" w:rsidRPr="00B32392">
        <w:rPr>
          <w:rFonts w:ascii="Times New Roman" w:eastAsia="Times New Roman" w:hAnsi="Times New Roman" w:cs="Times New Roman"/>
          <w:sz w:val="28"/>
          <w:szCs w:val="28"/>
        </w:rPr>
        <w:t xml:space="preserve">спрямований на </w:t>
      </w:r>
      <w:r w:rsidR="002A6CA6">
        <w:rPr>
          <w:rFonts w:ascii="Times New Roman" w:eastAsia="Times New Roman" w:hAnsi="Times New Roman" w:cs="Times New Roman"/>
          <w:sz w:val="28"/>
          <w:szCs w:val="28"/>
        </w:rPr>
        <w:t>з</w:t>
      </w:r>
      <w:r w:rsidR="002A6CA6" w:rsidRPr="002A6CA6">
        <w:rPr>
          <w:rFonts w:ascii="Times New Roman" w:eastAsia="Times New Roman" w:hAnsi="Times New Roman" w:cs="Times New Roman"/>
          <w:sz w:val="28"/>
          <w:szCs w:val="28"/>
        </w:rPr>
        <w:t>акріплення правових засад відкритого доступу до науково-технічної інформації</w:t>
      </w:r>
      <w:r w:rsidR="002A6CA6">
        <w:rPr>
          <w:rFonts w:ascii="Times New Roman" w:eastAsia="Times New Roman" w:hAnsi="Times New Roman" w:cs="Times New Roman"/>
          <w:sz w:val="28"/>
          <w:szCs w:val="28"/>
        </w:rPr>
        <w:t>, г</w:t>
      </w:r>
      <w:r w:rsidR="002A6CA6" w:rsidRPr="002A6CA6">
        <w:rPr>
          <w:rFonts w:ascii="Times New Roman" w:eastAsia="Times New Roman" w:hAnsi="Times New Roman" w:cs="Times New Roman"/>
          <w:sz w:val="28"/>
          <w:szCs w:val="28"/>
        </w:rPr>
        <w:t>армонізаці</w:t>
      </w:r>
      <w:r w:rsidR="002A6CA6">
        <w:rPr>
          <w:rFonts w:ascii="Times New Roman" w:eastAsia="Times New Roman" w:hAnsi="Times New Roman" w:cs="Times New Roman"/>
          <w:sz w:val="28"/>
          <w:szCs w:val="28"/>
        </w:rPr>
        <w:t>ю</w:t>
      </w:r>
      <w:r w:rsidR="002A6CA6" w:rsidRPr="002A6CA6">
        <w:rPr>
          <w:rFonts w:ascii="Times New Roman" w:eastAsia="Times New Roman" w:hAnsi="Times New Roman" w:cs="Times New Roman"/>
          <w:sz w:val="28"/>
          <w:szCs w:val="28"/>
        </w:rPr>
        <w:t xml:space="preserve"> з актами права Європейського Союзу та міжнародними рекомендаціями (зокрема, Директива (ЄС) 2019/1024, Рекомендація ЄК 2018/790, Рекомендації ЮНЕСКО)</w:t>
      </w:r>
      <w:r w:rsidR="002A6CA6">
        <w:rPr>
          <w:rFonts w:ascii="Times New Roman" w:eastAsia="Times New Roman" w:hAnsi="Times New Roman" w:cs="Times New Roman"/>
          <w:sz w:val="28"/>
          <w:szCs w:val="28"/>
        </w:rPr>
        <w:t>, з</w:t>
      </w:r>
      <w:r w:rsidR="002A6CA6" w:rsidRPr="002A6CA6">
        <w:rPr>
          <w:rFonts w:ascii="Times New Roman" w:eastAsia="Times New Roman" w:hAnsi="Times New Roman" w:cs="Times New Roman"/>
          <w:sz w:val="28"/>
          <w:szCs w:val="28"/>
        </w:rPr>
        <w:t xml:space="preserve">абезпечення прозорості, </w:t>
      </w:r>
      <w:proofErr w:type="spellStart"/>
      <w:r w:rsidR="002A6CA6" w:rsidRPr="002A6CA6">
        <w:rPr>
          <w:rFonts w:ascii="Times New Roman" w:eastAsia="Times New Roman" w:hAnsi="Times New Roman" w:cs="Times New Roman"/>
          <w:sz w:val="28"/>
          <w:szCs w:val="28"/>
        </w:rPr>
        <w:t>інтероперабельності</w:t>
      </w:r>
      <w:proofErr w:type="spellEnd"/>
      <w:r w:rsidR="002A6CA6" w:rsidRPr="002A6CA6">
        <w:rPr>
          <w:rFonts w:ascii="Times New Roman" w:eastAsia="Times New Roman" w:hAnsi="Times New Roman" w:cs="Times New Roman"/>
          <w:sz w:val="28"/>
          <w:szCs w:val="28"/>
        </w:rPr>
        <w:t>, довгострокового збереження дослідницьких даних і метаданих</w:t>
      </w:r>
      <w:r w:rsidR="002A6CA6">
        <w:rPr>
          <w:rFonts w:ascii="Times New Roman" w:eastAsia="Times New Roman" w:hAnsi="Times New Roman" w:cs="Times New Roman"/>
          <w:sz w:val="28"/>
          <w:szCs w:val="28"/>
        </w:rPr>
        <w:t>, а також п</w:t>
      </w:r>
      <w:r w:rsidR="002A6CA6" w:rsidRPr="002A6CA6">
        <w:rPr>
          <w:rFonts w:ascii="Times New Roman" w:eastAsia="Times New Roman" w:hAnsi="Times New Roman" w:cs="Times New Roman"/>
          <w:sz w:val="28"/>
          <w:szCs w:val="28"/>
        </w:rPr>
        <w:t>ідвищення ефективності наукової комунікації та якості публічних наукових послуг.</w:t>
      </w:r>
    </w:p>
    <w:p w:rsidR="009850D3" w:rsidRPr="00B32392" w:rsidRDefault="009850D3" w:rsidP="00D747E3">
      <w:pPr>
        <w:shd w:val="clear" w:color="auto" w:fill="FFFFFF"/>
        <w:spacing w:after="0" w:line="240" w:lineRule="auto"/>
        <w:ind w:firstLine="709"/>
        <w:jc w:val="both"/>
        <w:rPr>
          <w:rFonts w:ascii="Times New Roman" w:eastAsia="Times New Roman" w:hAnsi="Times New Roman" w:cs="Times New Roman"/>
          <w:sz w:val="28"/>
          <w:szCs w:val="28"/>
        </w:rPr>
      </w:pPr>
      <w:r w:rsidRPr="00B32392">
        <w:rPr>
          <w:rFonts w:ascii="Times New Roman" w:eastAsia="Times New Roman" w:hAnsi="Times New Roman" w:cs="Times New Roman"/>
          <w:sz w:val="28"/>
          <w:szCs w:val="28"/>
        </w:rPr>
        <w:t xml:space="preserve">Основними цілями </w:t>
      </w:r>
      <w:proofErr w:type="spellStart"/>
      <w:r w:rsidRPr="00B32392">
        <w:rPr>
          <w:rFonts w:ascii="Times New Roman" w:eastAsia="Times New Roman" w:hAnsi="Times New Roman" w:cs="Times New Roman"/>
          <w:sz w:val="28"/>
          <w:szCs w:val="28"/>
        </w:rPr>
        <w:t>проєкту</w:t>
      </w:r>
      <w:proofErr w:type="spellEnd"/>
      <w:r w:rsidRPr="00B32392">
        <w:rPr>
          <w:rFonts w:ascii="Times New Roman" w:eastAsia="Times New Roman" w:hAnsi="Times New Roman" w:cs="Times New Roman"/>
          <w:sz w:val="28"/>
          <w:szCs w:val="28"/>
        </w:rPr>
        <w:t xml:space="preserve"> Закону України: </w:t>
      </w:r>
    </w:p>
    <w:p w:rsidR="006057BF" w:rsidRDefault="006057BF" w:rsidP="006057BF">
      <w:pPr>
        <w:pStyle w:val="ad"/>
        <w:numPr>
          <w:ilvl w:val="0"/>
          <w:numId w:val="1"/>
        </w:numPr>
        <w:tabs>
          <w:tab w:val="left" w:pos="1134"/>
        </w:tabs>
        <w:spacing w:after="0" w:line="240" w:lineRule="auto"/>
        <w:ind w:left="0" w:firstLine="709"/>
        <w:jc w:val="both"/>
        <w:outlineLvl w:val="2"/>
        <w:rPr>
          <w:rFonts w:ascii="Times New Roman" w:eastAsia="Times New Roman" w:hAnsi="Times New Roman" w:cs="Times New Roman"/>
          <w:bCs/>
          <w:color w:val="000000"/>
          <w:sz w:val="28"/>
          <w:szCs w:val="28"/>
          <w:bdr w:val="none" w:sz="0" w:space="0" w:color="auto" w:frame="1"/>
          <w:lang w:eastAsia="ru-RU"/>
        </w:rPr>
      </w:pPr>
      <w:r>
        <w:rPr>
          <w:rFonts w:ascii="Times New Roman" w:eastAsia="Times New Roman" w:hAnsi="Times New Roman" w:cs="Times New Roman"/>
          <w:bCs/>
          <w:color w:val="000000"/>
          <w:sz w:val="28"/>
          <w:szCs w:val="28"/>
          <w:bdr w:val="none" w:sz="0" w:space="0" w:color="auto" w:frame="1"/>
          <w:lang w:eastAsia="ru-RU"/>
        </w:rPr>
        <w:t xml:space="preserve">ввести </w:t>
      </w:r>
      <w:r w:rsidRPr="00FD5556">
        <w:rPr>
          <w:rFonts w:ascii="Times New Roman" w:eastAsia="Times New Roman" w:hAnsi="Times New Roman" w:cs="Times New Roman"/>
          <w:bCs/>
          <w:color w:val="000000"/>
          <w:sz w:val="28"/>
          <w:szCs w:val="28"/>
          <w:bdr w:val="none" w:sz="0" w:space="0" w:color="auto" w:frame="1"/>
          <w:lang w:eastAsia="ru-RU"/>
        </w:rPr>
        <w:t>поняття відкритого доступу до науково-технічної інформації</w:t>
      </w:r>
      <w:r>
        <w:rPr>
          <w:rFonts w:ascii="Times New Roman" w:eastAsia="Times New Roman" w:hAnsi="Times New Roman" w:cs="Times New Roman"/>
          <w:bCs/>
          <w:color w:val="000000"/>
          <w:sz w:val="28"/>
          <w:szCs w:val="28"/>
          <w:bdr w:val="none" w:sz="0" w:space="0" w:color="auto" w:frame="1"/>
          <w:lang w:eastAsia="ru-RU"/>
        </w:rPr>
        <w:t>,</w:t>
      </w:r>
      <w:r w:rsidRPr="008875D4">
        <w:rPr>
          <w:rFonts w:ascii="Times New Roman" w:eastAsia="Times New Roman" w:hAnsi="Times New Roman" w:cs="Times New Roman"/>
          <w:bCs/>
          <w:color w:val="000000"/>
          <w:sz w:val="28"/>
          <w:szCs w:val="28"/>
          <w:bdr w:val="none" w:sz="0" w:space="0" w:color="auto" w:frame="1"/>
          <w:lang w:eastAsia="ru-RU"/>
        </w:rPr>
        <w:t xml:space="preserve"> </w:t>
      </w:r>
      <w:r w:rsidRPr="00615393">
        <w:rPr>
          <w:rFonts w:ascii="Times New Roman" w:eastAsia="Times New Roman" w:hAnsi="Times New Roman" w:cs="Times New Roman"/>
          <w:bCs/>
          <w:color w:val="000000"/>
          <w:sz w:val="28"/>
          <w:szCs w:val="28"/>
          <w:bdr w:val="none" w:sz="0" w:space="0" w:color="auto" w:frame="1"/>
          <w:lang w:eastAsia="ru-RU"/>
        </w:rPr>
        <w:t xml:space="preserve">публічного фінансування, </w:t>
      </w:r>
      <w:proofErr w:type="spellStart"/>
      <w:r>
        <w:rPr>
          <w:rFonts w:ascii="Times New Roman" w:eastAsia="Times New Roman" w:hAnsi="Times New Roman" w:cs="Times New Roman"/>
          <w:bCs/>
          <w:color w:val="000000"/>
          <w:sz w:val="28"/>
          <w:szCs w:val="28"/>
          <w:bdr w:val="none" w:sz="0" w:space="0" w:color="auto" w:frame="1"/>
          <w:lang w:eastAsia="ru-RU"/>
        </w:rPr>
        <w:t>репозитарію</w:t>
      </w:r>
      <w:proofErr w:type="spellEnd"/>
      <w:r>
        <w:rPr>
          <w:rFonts w:ascii="Times New Roman" w:eastAsia="Times New Roman" w:hAnsi="Times New Roman" w:cs="Times New Roman"/>
          <w:bCs/>
          <w:color w:val="000000"/>
          <w:sz w:val="28"/>
          <w:szCs w:val="28"/>
          <w:bdr w:val="none" w:sz="0" w:space="0" w:color="auto" w:frame="1"/>
          <w:lang w:eastAsia="ru-RU"/>
        </w:rPr>
        <w:t>, у тому числі довіреного, дослідницьких даних та метаданих</w:t>
      </w:r>
      <w:r w:rsidRPr="00FD5556">
        <w:rPr>
          <w:rFonts w:ascii="Times New Roman" w:eastAsia="Times New Roman" w:hAnsi="Times New Roman" w:cs="Times New Roman"/>
          <w:bCs/>
          <w:color w:val="000000"/>
          <w:sz w:val="28"/>
          <w:szCs w:val="28"/>
          <w:bdr w:val="none" w:sz="0" w:space="0" w:color="auto" w:frame="1"/>
          <w:lang w:eastAsia="ru-RU"/>
        </w:rPr>
        <w:t>;</w:t>
      </w:r>
    </w:p>
    <w:p w:rsidR="006057BF" w:rsidRDefault="006057BF" w:rsidP="006057BF">
      <w:pPr>
        <w:pStyle w:val="ad"/>
        <w:numPr>
          <w:ilvl w:val="0"/>
          <w:numId w:val="1"/>
        </w:numPr>
        <w:tabs>
          <w:tab w:val="left" w:pos="1134"/>
        </w:tabs>
        <w:spacing w:after="0" w:line="240" w:lineRule="auto"/>
        <w:ind w:left="0" w:firstLine="709"/>
        <w:jc w:val="both"/>
        <w:outlineLvl w:val="2"/>
        <w:rPr>
          <w:rFonts w:ascii="Times New Roman" w:eastAsia="Times New Roman" w:hAnsi="Times New Roman" w:cs="Times New Roman"/>
          <w:bCs/>
          <w:color w:val="000000"/>
          <w:sz w:val="28"/>
          <w:szCs w:val="28"/>
          <w:bdr w:val="none" w:sz="0" w:space="0" w:color="auto" w:frame="1"/>
          <w:lang w:eastAsia="ru-RU"/>
        </w:rPr>
      </w:pPr>
      <w:r>
        <w:rPr>
          <w:rFonts w:ascii="Times New Roman" w:eastAsia="Times New Roman" w:hAnsi="Times New Roman" w:cs="Times New Roman"/>
          <w:bCs/>
          <w:color w:val="000000"/>
          <w:sz w:val="28"/>
          <w:szCs w:val="28"/>
          <w:bdr w:val="none" w:sz="0" w:space="0" w:color="auto" w:frame="1"/>
          <w:lang w:eastAsia="ru-RU"/>
        </w:rPr>
        <w:t>визначити</w:t>
      </w:r>
      <w:r w:rsidRPr="00FD5556">
        <w:rPr>
          <w:rFonts w:ascii="Times New Roman" w:eastAsia="Times New Roman" w:hAnsi="Times New Roman" w:cs="Times New Roman"/>
          <w:bCs/>
          <w:color w:val="000000"/>
          <w:sz w:val="28"/>
          <w:szCs w:val="28"/>
          <w:bdr w:val="none" w:sz="0" w:space="0" w:color="auto" w:frame="1"/>
          <w:lang w:eastAsia="ru-RU"/>
        </w:rPr>
        <w:t xml:space="preserve"> види й обсяг науково-технічної інформації, до якої має забезпечуватися відкритий доступ; </w:t>
      </w:r>
    </w:p>
    <w:p w:rsidR="006057BF" w:rsidRDefault="006057BF" w:rsidP="006057BF">
      <w:pPr>
        <w:pStyle w:val="ad"/>
        <w:numPr>
          <w:ilvl w:val="0"/>
          <w:numId w:val="1"/>
        </w:numPr>
        <w:tabs>
          <w:tab w:val="left" w:pos="1134"/>
        </w:tabs>
        <w:spacing w:after="0" w:line="240" w:lineRule="auto"/>
        <w:ind w:left="0" w:firstLine="709"/>
        <w:jc w:val="both"/>
        <w:outlineLvl w:val="2"/>
        <w:rPr>
          <w:rFonts w:ascii="Times New Roman" w:eastAsia="Times New Roman" w:hAnsi="Times New Roman" w:cs="Times New Roman"/>
          <w:bCs/>
          <w:color w:val="000000"/>
          <w:sz w:val="28"/>
          <w:szCs w:val="28"/>
          <w:bdr w:val="none" w:sz="0" w:space="0" w:color="auto" w:frame="1"/>
          <w:lang w:eastAsia="ru-RU"/>
        </w:rPr>
      </w:pPr>
      <w:r w:rsidRPr="00FD5556">
        <w:rPr>
          <w:rFonts w:ascii="Times New Roman" w:eastAsia="Times New Roman" w:hAnsi="Times New Roman" w:cs="Times New Roman"/>
          <w:bCs/>
          <w:color w:val="000000"/>
          <w:sz w:val="28"/>
          <w:szCs w:val="28"/>
          <w:bdr w:val="none" w:sz="0" w:space="0" w:color="auto" w:frame="1"/>
          <w:lang w:eastAsia="ru-RU"/>
        </w:rPr>
        <w:t xml:space="preserve">визначити умови, за яких до науково-технічної інформації має надаватися відкритий доступ і випадки, в яких до науково-технічної інформації відкритий доступ може не надаватися попри те, що така інформація й результати отримані внаслідок реалізації наукових </w:t>
      </w:r>
      <w:proofErr w:type="spellStart"/>
      <w:r w:rsidRPr="00FD5556">
        <w:rPr>
          <w:rFonts w:ascii="Times New Roman" w:eastAsia="Times New Roman" w:hAnsi="Times New Roman" w:cs="Times New Roman"/>
          <w:bCs/>
          <w:color w:val="000000"/>
          <w:sz w:val="28"/>
          <w:szCs w:val="28"/>
          <w:bdr w:val="none" w:sz="0" w:space="0" w:color="auto" w:frame="1"/>
          <w:lang w:eastAsia="ru-RU"/>
        </w:rPr>
        <w:t>проєктів</w:t>
      </w:r>
      <w:proofErr w:type="spellEnd"/>
      <w:r w:rsidRPr="00FD5556">
        <w:rPr>
          <w:rFonts w:ascii="Times New Roman" w:eastAsia="Times New Roman" w:hAnsi="Times New Roman" w:cs="Times New Roman"/>
          <w:bCs/>
          <w:color w:val="000000"/>
          <w:sz w:val="28"/>
          <w:szCs w:val="28"/>
          <w:bdr w:val="none" w:sz="0" w:space="0" w:color="auto" w:frame="1"/>
          <w:lang w:eastAsia="ru-RU"/>
        </w:rPr>
        <w:t xml:space="preserve">, профінансованих за рахунок </w:t>
      </w:r>
      <w:r>
        <w:rPr>
          <w:rFonts w:ascii="Times New Roman" w:eastAsia="Times New Roman" w:hAnsi="Times New Roman" w:cs="Times New Roman"/>
          <w:bCs/>
          <w:color w:val="000000"/>
          <w:sz w:val="28"/>
          <w:szCs w:val="28"/>
          <w:bdr w:val="none" w:sz="0" w:space="0" w:color="auto" w:frame="1"/>
          <w:lang w:eastAsia="ru-RU"/>
        </w:rPr>
        <w:t>публічних коштів</w:t>
      </w:r>
      <w:r w:rsidRPr="00FD5556">
        <w:rPr>
          <w:rFonts w:ascii="Times New Roman" w:eastAsia="Times New Roman" w:hAnsi="Times New Roman" w:cs="Times New Roman"/>
          <w:bCs/>
          <w:color w:val="000000"/>
          <w:sz w:val="28"/>
          <w:szCs w:val="28"/>
          <w:bdr w:val="none" w:sz="0" w:space="0" w:color="auto" w:frame="1"/>
          <w:lang w:eastAsia="ru-RU"/>
        </w:rPr>
        <w:t xml:space="preserve">; </w:t>
      </w:r>
    </w:p>
    <w:p w:rsidR="006057BF" w:rsidRDefault="006057BF" w:rsidP="006057BF">
      <w:pPr>
        <w:pStyle w:val="ad"/>
        <w:numPr>
          <w:ilvl w:val="0"/>
          <w:numId w:val="1"/>
        </w:numPr>
        <w:tabs>
          <w:tab w:val="left" w:pos="1134"/>
        </w:tabs>
        <w:spacing w:after="0" w:line="240" w:lineRule="auto"/>
        <w:ind w:left="0" w:firstLine="709"/>
        <w:jc w:val="both"/>
        <w:outlineLvl w:val="2"/>
        <w:rPr>
          <w:rFonts w:ascii="Times New Roman" w:eastAsia="Times New Roman" w:hAnsi="Times New Roman" w:cs="Times New Roman"/>
          <w:bCs/>
          <w:color w:val="000000"/>
          <w:sz w:val="28"/>
          <w:szCs w:val="28"/>
          <w:bdr w:val="none" w:sz="0" w:space="0" w:color="auto" w:frame="1"/>
          <w:lang w:eastAsia="ru-RU"/>
        </w:rPr>
      </w:pPr>
      <w:r>
        <w:rPr>
          <w:rFonts w:ascii="Times New Roman" w:eastAsia="Times New Roman" w:hAnsi="Times New Roman" w:cs="Times New Roman"/>
          <w:bCs/>
          <w:color w:val="000000"/>
          <w:sz w:val="28"/>
          <w:szCs w:val="28"/>
          <w:bdr w:val="none" w:sz="0" w:space="0" w:color="auto" w:frame="1"/>
          <w:lang w:eastAsia="ru-RU"/>
        </w:rPr>
        <w:t xml:space="preserve">визначити </w:t>
      </w:r>
      <w:r w:rsidRPr="00FD5556">
        <w:rPr>
          <w:rFonts w:ascii="Times New Roman" w:eastAsia="Times New Roman" w:hAnsi="Times New Roman" w:cs="Times New Roman"/>
          <w:bCs/>
          <w:color w:val="000000"/>
          <w:sz w:val="28"/>
          <w:szCs w:val="28"/>
          <w:bdr w:val="none" w:sz="0" w:space="0" w:color="auto" w:frame="1"/>
          <w:lang w:eastAsia="ru-RU"/>
        </w:rPr>
        <w:t xml:space="preserve">вимоги до змісту й форми розміщення науково-технічної інформації, а також метаданих, що їх супроводжують; </w:t>
      </w:r>
    </w:p>
    <w:p w:rsidR="006057BF" w:rsidRDefault="006057BF" w:rsidP="006057BF">
      <w:pPr>
        <w:pStyle w:val="ad"/>
        <w:numPr>
          <w:ilvl w:val="0"/>
          <w:numId w:val="1"/>
        </w:numPr>
        <w:tabs>
          <w:tab w:val="left" w:pos="1134"/>
        </w:tabs>
        <w:spacing w:after="0" w:line="240" w:lineRule="auto"/>
        <w:ind w:left="0" w:firstLine="709"/>
        <w:jc w:val="both"/>
        <w:outlineLvl w:val="2"/>
        <w:rPr>
          <w:rFonts w:ascii="Times New Roman" w:eastAsia="Times New Roman" w:hAnsi="Times New Roman" w:cs="Times New Roman"/>
          <w:bCs/>
          <w:color w:val="000000"/>
          <w:sz w:val="28"/>
          <w:szCs w:val="28"/>
          <w:bdr w:val="none" w:sz="0" w:space="0" w:color="auto" w:frame="1"/>
          <w:lang w:eastAsia="ru-RU"/>
        </w:rPr>
      </w:pPr>
      <w:r>
        <w:rPr>
          <w:rFonts w:ascii="Times New Roman" w:eastAsia="Times New Roman" w:hAnsi="Times New Roman" w:cs="Times New Roman"/>
          <w:bCs/>
          <w:color w:val="000000"/>
          <w:sz w:val="28"/>
          <w:szCs w:val="28"/>
          <w:bdr w:val="none" w:sz="0" w:space="0" w:color="auto" w:frame="1"/>
          <w:lang w:eastAsia="ru-RU"/>
        </w:rPr>
        <w:t xml:space="preserve">визначити </w:t>
      </w:r>
      <w:r w:rsidRPr="00FD5556">
        <w:rPr>
          <w:rFonts w:ascii="Times New Roman" w:eastAsia="Times New Roman" w:hAnsi="Times New Roman" w:cs="Times New Roman"/>
          <w:bCs/>
          <w:color w:val="000000"/>
          <w:sz w:val="28"/>
          <w:szCs w:val="28"/>
          <w:bdr w:val="none" w:sz="0" w:space="0" w:color="auto" w:frame="1"/>
          <w:lang w:eastAsia="ru-RU"/>
        </w:rPr>
        <w:t>вимоги щодо розміщення науково-технічної інформації у державних базах даних з метою забезпечення їх довговічного й безпечного зберігання</w:t>
      </w:r>
      <w:r>
        <w:rPr>
          <w:rFonts w:ascii="Times New Roman" w:eastAsia="Times New Roman" w:hAnsi="Times New Roman" w:cs="Times New Roman"/>
          <w:bCs/>
          <w:color w:val="000000"/>
          <w:sz w:val="28"/>
          <w:szCs w:val="28"/>
          <w:bdr w:val="none" w:sz="0" w:space="0" w:color="auto" w:frame="1"/>
          <w:lang w:eastAsia="ru-RU"/>
        </w:rPr>
        <w:t>;</w:t>
      </w:r>
    </w:p>
    <w:p w:rsidR="006057BF" w:rsidRDefault="006057BF" w:rsidP="006057BF">
      <w:pPr>
        <w:pStyle w:val="ad"/>
        <w:numPr>
          <w:ilvl w:val="0"/>
          <w:numId w:val="1"/>
        </w:numPr>
        <w:tabs>
          <w:tab w:val="left" w:pos="1134"/>
        </w:tabs>
        <w:spacing w:after="0" w:line="240" w:lineRule="auto"/>
        <w:ind w:left="0" w:firstLine="709"/>
        <w:jc w:val="both"/>
        <w:outlineLvl w:val="2"/>
        <w:rPr>
          <w:rFonts w:ascii="Times New Roman" w:hAnsi="Times New Roman" w:cs="Times New Roman"/>
          <w:color w:val="000000"/>
          <w:sz w:val="28"/>
          <w:szCs w:val="28"/>
        </w:rPr>
      </w:pPr>
      <w:r w:rsidRPr="00615393">
        <w:rPr>
          <w:rFonts w:ascii="Times New Roman" w:hAnsi="Times New Roman" w:cs="Times New Roman"/>
          <w:color w:val="000000"/>
          <w:sz w:val="28"/>
          <w:szCs w:val="28"/>
        </w:rPr>
        <w:t xml:space="preserve">встановити чіткий перелік видів наукових результатів, що підлягають обов'язковій публікації у відкритому доступі та </w:t>
      </w:r>
      <w:r>
        <w:rPr>
          <w:rFonts w:ascii="Times New Roman" w:hAnsi="Times New Roman" w:cs="Times New Roman"/>
          <w:color w:val="000000"/>
          <w:sz w:val="28"/>
          <w:szCs w:val="28"/>
        </w:rPr>
        <w:t>к</w:t>
      </w:r>
      <w:r w:rsidRPr="00615393">
        <w:rPr>
          <w:rFonts w:ascii="Times New Roman" w:hAnsi="Times New Roman" w:cs="Times New Roman"/>
          <w:color w:val="000000"/>
          <w:sz w:val="28"/>
          <w:szCs w:val="28"/>
        </w:rPr>
        <w:t xml:space="preserve">онкретні строки </w:t>
      </w:r>
      <w:r>
        <w:rPr>
          <w:rFonts w:ascii="Times New Roman" w:hAnsi="Times New Roman" w:cs="Times New Roman"/>
          <w:color w:val="000000"/>
          <w:sz w:val="28"/>
          <w:szCs w:val="28"/>
        </w:rPr>
        <w:t xml:space="preserve">їх </w:t>
      </w:r>
      <w:r w:rsidRPr="00615393">
        <w:rPr>
          <w:rFonts w:ascii="Times New Roman" w:hAnsi="Times New Roman" w:cs="Times New Roman"/>
          <w:color w:val="000000"/>
          <w:sz w:val="28"/>
          <w:szCs w:val="28"/>
        </w:rPr>
        <w:t>розміщення у відкритому доступі</w:t>
      </w:r>
      <w:r>
        <w:rPr>
          <w:rFonts w:ascii="Times New Roman" w:hAnsi="Times New Roman" w:cs="Times New Roman"/>
          <w:color w:val="000000"/>
          <w:sz w:val="28"/>
          <w:szCs w:val="28"/>
        </w:rPr>
        <w:t>.</w:t>
      </w:r>
    </w:p>
    <w:p w:rsidR="00AF149D" w:rsidRPr="00B32392" w:rsidRDefault="00AF149D" w:rsidP="009850D3">
      <w:pPr>
        <w:shd w:val="clear" w:color="auto" w:fill="FFFFFF"/>
        <w:spacing w:after="0" w:line="240" w:lineRule="auto"/>
        <w:jc w:val="center"/>
        <w:rPr>
          <w:rFonts w:ascii="Times New Roman" w:eastAsia="Times New Roman" w:hAnsi="Times New Roman" w:cs="Times New Roman"/>
          <w:sz w:val="28"/>
          <w:szCs w:val="28"/>
        </w:rPr>
      </w:pPr>
    </w:p>
    <w:p w:rsidR="00AF149D" w:rsidRPr="00B32392" w:rsidRDefault="00716C69" w:rsidP="00D747E3">
      <w:pPr>
        <w:shd w:val="clear" w:color="auto" w:fill="FFFFFF"/>
        <w:spacing w:after="0" w:line="240" w:lineRule="auto"/>
        <w:jc w:val="center"/>
        <w:rPr>
          <w:rFonts w:ascii="Times New Roman" w:eastAsia="Times New Roman" w:hAnsi="Times New Roman" w:cs="Times New Roman"/>
          <w:sz w:val="28"/>
          <w:szCs w:val="28"/>
        </w:rPr>
      </w:pPr>
      <w:r w:rsidRPr="00B32392">
        <w:rPr>
          <w:rFonts w:ascii="Times New Roman" w:eastAsia="Times New Roman" w:hAnsi="Times New Roman" w:cs="Times New Roman"/>
          <w:b/>
          <w:sz w:val="28"/>
          <w:szCs w:val="28"/>
        </w:rPr>
        <w:t>III. Визначення та оцінка альтернативних способів досягнення цілей</w:t>
      </w:r>
    </w:p>
    <w:p w:rsidR="00D747E3" w:rsidRPr="00B32392" w:rsidRDefault="00D747E3" w:rsidP="00D747E3">
      <w:pPr>
        <w:shd w:val="clear" w:color="auto" w:fill="FFFFFF"/>
        <w:spacing w:after="0" w:line="240" w:lineRule="auto"/>
        <w:ind w:firstLine="709"/>
        <w:jc w:val="both"/>
        <w:rPr>
          <w:rFonts w:ascii="Times New Roman" w:eastAsia="Times New Roman" w:hAnsi="Times New Roman" w:cs="Times New Roman"/>
          <w:sz w:val="28"/>
          <w:szCs w:val="28"/>
        </w:rPr>
      </w:pPr>
    </w:p>
    <w:p w:rsidR="00AF149D" w:rsidRDefault="00716C69" w:rsidP="00D747E3">
      <w:pPr>
        <w:shd w:val="clear" w:color="auto" w:fill="FFFFFF"/>
        <w:spacing w:after="0" w:line="240" w:lineRule="auto"/>
        <w:ind w:firstLine="709"/>
        <w:jc w:val="both"/>
        <w:rPr>
          <w:rFonts w:ascii="Times New Roman" w:eastAsia="Times New Roman" w:hAnsi="Times New Roman" w:cs="Times New Roman"/>
          <w:sz w:val="28"/>
          <w:szCs w:val="28"/>
        </w:rPr>
      </w:pPr>
      <w:r w:rsidRPr="00B32392">
        <w:rPr>
          <w:rFonts w:ascii="Times New Roman" w:eastAsia="Times New Roman" w:hAnsi="Times New Roman" w:cs="Times New Roman"/>
          <w:sz w:val="28"/>
          <w:szCs w:val="28"/>
        </w:rPr>
        <w:t>1. Визначення альтернативних способів</w:t>
      </w:r>
    </w:p>
    <w:p w:rsidR="002133E1" w:rsidRPr="00B32392" w:rsidRDefault="002133E1" w:rsidP="00D747E3">
      <w:pPr>
        <w:shd w:val="clear" w:color="auto" w:fill="FFFFFF"/>
        <w:spacing w:after="0" w:line="240" w:lineRule="auto"/>
        <w:ind w:firstLine="709"/>
        <w:jc w:val="both"/>
        <w:rPr>
          <w:rFonts w:ascii="Times New Roman" w:eastAsia="Times New Roman" w:hAnsi="Times New Roman" w:cs="Times New Roman"/>
          <w:sz w:val="28"/>
          <w:szCs w:val="28"/>
        </w:rPr>
      </w:pPr>
    </w:p>
    <w:p w:rsidR="002133E1" w:rsidRDefault="002133E1">
      <w:pPr>
        <w:rPr>
          <w:rFonts w:ascii="Times New Roman" w:eastAsia="Times New Roman" w:hAnsi="Times New Roman" w:cs="Times New Roman"/>
          <w:sz w:val="28"/>
          <w:szCs w:val="28"/>
        </w:rPr>
      </w:pPr>
      <w:r>
        <w:rPr>
          <w:rFonts w:ascii="Times New Roman" w:eastAsia="Times New Roman" w:hAnsi="Times New Roman" w:cs="Times New Roman"/>
          <w:sz w:val="28"/>
          <w:szCs w:val="28"/>
        </w:rPr>
        <w:br w:type="page"/>
      </w:r>
    </w:p>
    <w:tbl>
      <w:tblPr>
        <w:tblStyle w:val="a6"/>
        <w:tblW w:w="9639" w:type="dxa"/>
        <w:jc w:val="center"/>
        <w:tblInd w:w="0" w:type="dxa"/>
        <w:tblLayout w:type="fixed"/>
        <w:tblLook w:val="0400" w:firstRow="0" w:lastRow="0" w:firstColumn="0" w:lastColumn="0" w:noHBand="0" w:noVBand="1"/>
      </w:tblPr>
      <w:tblGrid>
        <w:gridCol w:w="2824"/>
        <w:gridCol w:w="6815"/>
      </w:tblGrid>
      <w:tr w:rsidR="00D747E3" w:rsidRPr="00B32392">
        <w:trPr>
          <w:jc w:val="center"/>
        </w:trPr>
        <w:tc>
          <w:tcPr>
            <w:tcW w:w="2824" w:type="dxa"/>
            <w:tcBorders>
              <w:top w:val="single" w:sz="6" w:space="0" w:color="000000"/>
              <w:left w:val="nil"/>
              <w:bottom w:val="single" w:sz="6" w:space="0" w:color="000000"/>
              <w:right w:val="single" w:sz="6" w:space="0" w:color="000000"/>
            </w:tcBorders>
          </w:tcPr>
          <w:p w:rsidR="00AF149D" w:rsidRPr="00B32392" w:rsidRDefault="00716C69" w:rsidP="00D747E3">
            <w:pPr>
              <w:spacing w:after="0" w:line="240" w:lineRule="auto"/>
              <w:jc w:val="center"/>
              <w:rPr>
                <w:rFonts w:ascii="Times New Roman" w:eastAsia="Times New Roman" w:hAnsi="Times New Roman" w:cs="Times New Roman"/>
                <w:sz w:val="24"/>
                <w:szCs w:val="28"/>
              </w:rPr>
            </w:pPr>
            <w:r w:rsidRPr="00B32392">
              <w:rPr>
                <w:rFonts w:ascii="Times New Roman" w:eastAsia="Times New Roman" w:hAnsi="Times New Roman" w:cs="Times New Roman"/>
                <w:sz w:val="24"/>
                <w:szCs w:val="28"/>
              </w:rPr>
              <w:lastRenderedPageBreak/>
              <w:t>Вид альтернативи</w:t>
            </w:r>
          </w:p>
        </w:tc>
        <w:tc>
          <w:tcPr>
            <w:tcW w:w="6815" w:type="dxa"/>
            <w:tcBorders>
              <w:top w:val="single" w:sz="6" w:space="0" w:color="000000"/>
              <w:left w:val="single" w:sz="6" w:space="0" w:color="000000"/>
              <w:bottom w:val="single" w:sz="6" w:space="0" w:color="000000"/>
              <w:right w:val="nil"/>
            </w:tcBorders>
          </w:tcPr>
          <w:p w:rsidR="00AF149D" w:rsidRPr="00B32392" w:rsidRDefault="00716C69" w:rsidP="00D747E3">
            <w:pPr>
              <w:spacing w:after="0" w:line="240" w:lineRule="auto"/>
              <w:jc w:val="center"/>
              <w:rPr>
                <w:rFonts w:ascii="Times New Roman" w:eastAsia="Times New Roman" w:hAnsi="Times New Roman" w:cs="Times New Roman"/>
                <w:sz w:val="24"/>
                <w:szCs w:val="28"/>
              </w:rPr>
            </w:pPr>
            <w:r w:rsidRPr="00B32392">
              <w:rPr>
                <w:rFonts w:ascii="Times New Roman" w:eastAsia="Times New Roman" w:hAnsi="Times New Roman" w:cs="Times New Roman"/>
                <w:sz w:val="24"/>
                <w:szCs w:val="28"/>
              </w:rPr>
              <w:t>Опис альтернативи</w:t>
            </w:r>
          </w:p>
        </w:tc>
      </w:tr>
      <w:tr w:rsidR="00D747E3" w:rsidRPr="00B32392">
        <w:trPr>
          <w:trHeight w:val="896"/>
          <w:jc w:val="center"/>
        </w:trPr>
        <w:tc>
          <w:tcPr>
            <w:tcW w:w="2824" w:type="dxa"/>
            <w:tcBorders>
              <w:top w:val="single" w:sz="6" w:space="0" w:color="000000"/>
              <w:left w:val="single" w:sz="4" w:space="0" w:color="000000"/>
              <w:bottom w:val="single" w:sz="4" w:space="0" w:color="000000"/>
              <w:right w:val="single" w:sz="4" w:space="0" w:color="000000"/>
            </w:tcBorders>
          </w:tcPr>
          <w:p w:rsidR="00AF149D" w:rsidRPr="00B32392" w:rsidRDefault="00716C69" w:rsidP="00D747E3">
            <w:pPr>
              <w:spacing w:after="0" w:line="240" w:lineRule="auto"/>
              <w:rPr>
                <w:rFonts w:ascii="Times New Roman" w:eastAsia="Times New Roman" w:hAnsi="Times New Roman" w:cs="Times New Roman"/>
                <w:sz w:val="24"/>
                <w:szCs w:val="28"/>
              </w:rPr>
            </w:pPr>
            <w:r w:rsidRPr="00B32392">
              <w:rPr>
                <w:rFonts w:ascii="Times New Roman" w:eastAsia="Times New Roman" w:hAnsi="Times New Roman" w:cs="Times New Roman"/>
                <w:sz w:val="24"/>
                <w:szCs w:val="28"/>
              </w:rPr>
              <w:t>Альтернатива 1</w:t>
            </w:r>
          </w:p>
          <w:p w:rsidR="00124845" w:rsidRPr="00B32392" w:rsidRDefault="00124845" w:rsidP="00D747E3">
            <w:pPr>
              <w:spacing w:after="0" w:line="240" w:lineRule="auto"/>
              <w:rPr>
                <w:rFonts w:ascii="Times New Roman" w:eastAsia="Times New Roman" w:hAnsi="Times New Roman" w:cs="Times New Roman"/>
                <w:sz w:val="24"/>
                <w:szCs w:val="28"/>
              </w:rPr>
            </w:pPr>
            <w:r w:rsidRPr="00B32392">
              <w:rPr>
                <w:rFonts w:ascii="Times New Roman" w:eastAsia="Times New Roman" w:hAnsi="Times New Roman" w:cs="Times New Roman"/>
                <w:sz w:val="24"/>
                <w:szCs w:val="28"/>
              </w:rPr>
              <w:t>(збереження чинного регулювання)</w:t>
            </w:r>
          </w:p>
        </w:tc>
        <w:tc>
          <w:tcPr>
            <w:tcW w:w="6815" w:type="dxa"/>
            <w:tcBorders>
              <w:top w:val="single" w:sz="6" w:space="0" w:color="000000"/>
              <w:left w:val="single" w:sz="4" w:space="0" w:color="000000"/>
              <w:bottom w:val="single" w:sz="4" w:space="0" w:color="000000"/>
              <w:right w:val="single" w:sz="4" w:space="0" w:color="000000"/>
            </w:tcBorders>
          </w:tcPr>
          <w:p w:rsidR="00AF149D" w:rsidRPr="00B32392" w:rsidRDefault="002A6CA6" w:rsidP="00005240">
            <w:pPr>
              <w:spacing w:after="0" w:line="240" w:lineRule="auto"/>
              <w:ind w:left="143" w:right="133"/>
              <w:jc w:val="both"/>
              <w:rPr>
                <w:rFonts w:ascii="Times New Roman" w:eastAsia="Times New Roman" w:hAnsi="Times New Roman" w:cs="Times New Roman"/>
                <w:sz w:val="24"/>
                <w:szCs w:val="28"/>
              </w:rPr>
            </w:pPr>
            <w:r w:rsidRPr="002A6CA6">
              <w:rPr>
                <w:rFonts w:ascii="Times New Roman" w:eastAsia="Times New Roman" w:hAnsi="Times New Roman" w:cs="Times New Roman"/>
                <w:sz w:val="24"/>
                <w:szCs w:val="28"/>
              </w:rPr>
              <w:t xml:space="preserve">Передбачає </w:t>
            </w:r>
            <w:r w:rsidR="00005240" w:rsidRPr="00005240">
              <w:rPr>
                <w:rFonts w:ascii="Times New Roman" w:eastAsia="Times New Roman" w:hAnsi="Times New Roman" w:cs="Times New Roman"/>
                <w:sz w:val="24"/>
                <w:szCs w:val="28"/>
              </w:rPr>
              <w:t>збереження чинного регулювання</w:t>
            </w:r>
            <w:r w:rsidRPr="002A6CA6">
              <w:rPr>
                <w:rFonts w:ascii="Times New Roman" w:eastAsia="Times New Roman" w:hAnsi="Times New Roman" w:cs="Times New Roman"/>
                <w:sz w:val="24"/>
                <w:szCs w:val="28"/>
              </w:rPr>
              <w:t xml:space="preserve">. У цьому випадку чинне законодавство України залишається без змін, незважаючи на його невідповідність сучасним вимогам у сфері відкритої науки, відсутність визначень ключових понять, механізмів доступу до публічно фінансованих досліджень та правового забезпечення </w:t>
            </w:r>
            <w:proofErr w:type="spellStart"/>
            <w:r w:rsidRPr="002A6CA6">
              <w:rPr>
                <w:rFonts w:ascii="Times New Roman" w:eastAsia="Times New Roman" w:hAnsi="Times New Roman" w:cs="Times New Roman"/>
                <w:sz w:val="24"/>
                <w:szCs w:val="28"/>
              </w:rPr>
              <w:t>репозитаріїв</w:t>
            </w:r>
            <w:proofErr w:type="spellEnd"/>
            <w:r w:rsidRPr="002A6CA6">
              <w:rPr>
                <w:rFonts w:ascii="Times New Roman" w:eastAsia="Times New Roman" w:hAnsi="Times New Roman" w:cs="Times New Roman"/>
                <w:sz w:val="24"/>
                <w:szCs w:val="28"/>
              </w:rPr>
              <w:t xml:space="preserve">. Зберігається </w:t>
            </w:r>
            <w:proofErr w:type="spellStart"/>
            <w:r w:rsidRPr="002A6CA6">
              <w:rPr>
                <w:rFonts w:ascii="Times New Roman" w:eastAsia="Times New Roman" w:hAnsi="Times New Roman" w:cs="Times New Roman"/>
                <w:sz w:val="24"/>
                <w:szCs w:val="28"/>
              </w:rPr>
              <w:t>фрагментованість</w:t>
            </w:r>
            <w:proofErr w:type="spellEnd"/>
            <w:r w:rsidRPr="002A6CA6">
              <w:rPr>
                <w:rFonts w:ascii="Times New Roman" w:eastAsia="Times New Roman" w:hAnsi="Times New Roman" w:cs="Times New Roman"/>
                <w:sz w:val="24"/>
                <w:szCs w:val="28"/>
              </w:rPr>
              <w:t xml:space="preserve"> нормативної бази та обмежений доступ до науково-технічної інформації, що створює бар’єри для інтеграції України до Європейського дослідницького простору.</w:t>
            </w:r>
          </w:p>
        </w:tc>
      </w:tr>
      <w:tr w:rsidR="00D747E3" w:rsidRPr="00B32392">
        <w:trPr>
          <w:jc w:val="center"/>
        </w:trPr>
        <w:tc>
          <w:tcPr>
            <w:tcW w:w="2824" w:type="dxa"/>
            <w:tcBorders>
              <w:top w:val="single" w:sz="4" w:space="0" w:color="000000"/>
              <w:left w:val="single" w:sz="4" w:space="0" w:color="000000"/>
              <w:bottom w:val="single" w:sz="4" w:space="0" w:color="000000"/>
              <w:right w:val="single" w:sz="4" w:space="0" w:color="000000"/>
            </w:tcBorders>
          </w:tcPr>
          <w:p w:rsidR="00AF149D" w:rsidRPr="00B32392" w:rsidRDefault="00716C69" w:rsidP="00D747E3">
            <w:pPr>
              <w:spacing w:after="0" w:line="240" w:lineRule="auto"/>
              <w:rPr>
                <w:rFonts w:ascii="Times New Roman" w:eastAsia="Times New Roman" w:hAnsi="Times New Roman" w:cs="Times New Roman"/>
                <w:sz w:val="24"/>
                <w:szCs w:val="28"/>
              </w:rPr>
            </w:pPr>
            <w:r w:rsidRPr="00B32392">
              <w:rPr>
                <w:rFonts w:ascii="Times New Roman" w:eastAsia="Times New Roman" w:hAnsi="Times New Roman" w:cs="Times New Roman"/>
                <w:sz w:val="24"/>
                <w:szCs w:val="28"/>
              </w:rPr>
              <w:t>Альтернатива 2</w:t>
            </w:r>
          </w:p>
          <w:p w:rsidR="00124845" w:rsidRPr="00B32392" w:rsidRDefault="00124845" w:rsidP="00D747E3">
            <w:pPr>
              <w:spacing w:after="0" w:line="240" w:lineRule="auto"/>
              <w:rPr>
                <w:rFonts w:ascii="Times New Roman" w:eastAsia="Times New Roman" w:hAnsi="Times New Roman" w:cs="Times New Roman"/>
                <w:sz w:val="24"/>
                <w:szCs w:val="28"/>
              </w:rPr>
            </w:pPr>
            <w:r w:rsidRPr="00B32392">
              <w:rPr>
                <w:rFonts w:ascii="Times New Roman" w:eastAsia="Times New Roman" w:hAnsi="Times New Roman" w:cs="Times New Roman"/>
                <w:sz w:val="24"/>
                <w:szCs w:val="28"/>
              </w:rPr>
              <w:t xml:space="preserve">(прийняття регуляторного </w:t>
            </w:r>
            <w:proofErr w:type="spellStart"/>
            <w:r w:rsidRPr="00B32392">
              <w:rPr>
                <w:rFonts w:ascii="Times New Roman" w:eastAsia="Times New Roman" w:hAnsi="Times New Roman" w:cs="Times New Roman"/>
                <w:sz w:val="24"/>
                <w:szCs w:val="28"/>
              </w:rPr>
              <w:t>акта</w:t>
            </w:r>
            <w:proofErr w:type="spellEnd"/>
            <w:r w:rsidRPr="00B32392">
              <w:rPr>
                <w:rFonts w:ascii="Times New Roman" w:eastAsia="Times New Roman" w:hAnsi="Times New Roman" w:cs="Times New Roman"/>
                <w:sz w:val="24"/>
                <w:szCs w:val="28"/>
              </w:rPr>
              <w:t>)</w:t>
            </w:r>
          </w:p>
        </w:tc>
        <w:tc>
          <w:tcPr>
            <w:tcW w:w="6815" w:type="dxa"/>
            <w:tcBorders>
              <w:top w:val="single" w:sz="4" w:space="0" w:color="000000"/>
              <w:left w:val="single" w:sz="4" w:space="0" w:color="000000"/>
              <w:bottom w:val="single" w:sz="4" w:space="0" w:color="000000"/>
              <w:right w:val="single" w:sz="4" w:space="0" w:color="000000"/>
            </w:tcBorders>
          </w:tcPr>
          <w:p w:rsidR="00AF149D" w:rsidRPr="00B32392" w:rsidRDefault="002A6CA6" w:rsidP="002A6CA6">
            <w:pPr>
              <w:spacing w:after="0" w:line="240" w:lineRule="auto"/>
              <w:ind w:left="143" w:right="133"/>
              <w:jc w:val="both"/>
              <w:rPr>
                <w:rFonts w:ascii="Times New Roman" w:eastAsia="Times New Roman" w:hAnsi="Times New Roman" w:cs="Times New Roman"/>
                <w:sz w:val="24"/>
                <w:szCs w:val="28"/>
              </w:rPr>
            </w:pPr>
            <w:r w:rsidRPr="002A6CA6">
              <w:rPr>
                <w:rFonts w:ascii="Times New Roman" w:eastAsia="Times New Roman" w:hAnsi="Times New Roman" w:cs="Times New Roman"/>
                <w:sz w:val="24"/>
                <w:szCs w:val="28"/>
              </w:rPr>
              <w:t xml:space="preserve">Передбачає ухвалення </w:t>
            </w:r>
            <w:proofErr w:type="spellStart"/>
            <w:r w:rsidRPr="002A6CA6">
              <w:rPr>
                <w:rFonts w:ascii="Times New Roman" w:eastAsia="Times New Roman" w:hAnsi="Times New Roman" w:cs="Times New Roman"/>
                <w:sz w:val="24"/>
                <w:szCs w:val="28"/>
              </w:rPr>
              <w:t>проєкту</w:t>
            </w:r>
            <w:proofErr w:type="spellEnd"/>
            <w:r w:rsidRPr="002A6CA6">
              <w:rPr>
                <w:rFonts w:ascii="Times New Roman" w:eastAsia="Times New Roman" w:hAnsi="Times New Roman" w:cs="Times New Roman"/>
                <w:sz w:val="24"/>
                <w:szCs w:val="28"/>
              </w:rPr>
              <w:t xml:space="preserve"> Закону України «Про внесення змін до деяких законів України щодо реалізації принципів відкритої науки», який встановлює визначення понять «відкритий доступ», «дослідницькі дані», «довірені </w:t>
            </w:r>
            <w:proofErr w:type="spellStart"/>
            <w:r w:rsidRPr="002A6CA6">
              <w:rPr>
                <w:rFonts w:ascii="Times New Roman" w:eastAsia="Times New Roman" w:hAnsi="Times New Roman" w:cs="Times New Roman"/>
                <w:sz w:val="24"/>
                <w:szCs w:val="28"/>
              </w:rPr>
              <w:t>репозитарії</w:t>
            </w:r>
            <w:proofErr w:type="spellEnd"/>
            <w:r w:rsidRPr="002A6CA6">
              <w:rPr>
                <w:rFonts w:ascii="Times New Roman" w:eastAsia="Times New Roman" w:hAnsi="Times New Roman" w:cs="Times New Roman"/>
                <w:sz w:val="24"/>
                <w:szCs w:val="28"/>
              </w:rPr>
              <w:t xml:space="preserve">», «інформаційні ресурси спільного користування» тощо; визначає правила доступу до наукової інформації, створеної за кошти державного бюджету; </w:t>
            </w:r>
            <w:proofErr w:type="spellStart"/>
            <w:r w:rsidRPr="002A6CA6">
              <w:rPr>
                <w:rFonts w:ascii="Times New Roman" w:eastAsia="Times New Roman" w:hAnsi="Times New Roman" w:cs="Times New Roman"/>
                <w:sz w:val="24"/>
                <w:szCs w:val="28"/>
              </w:rPr>
              <w:t>імплементує</w:t>
            </w:r>
            <w:proofErr w:type="spellEnd"/>
            <w:r w:rsidRPr="002A6CA6">
              <w:rPr>
                <w:rFonts w:ascii="Times New Roman" w:eastAsia="Times New Roman" w:hAnsi="Times New Roman" w:cs="Times New Roman"/>
                <w:sz w:val="24"/>
                <w:szCs w:val="28"/>
              </w:rPr>
              <w:t xml:space="preserve"> європейські підходи до зберігання і повторного використання результатів</w:t>
            </w:r>
            <w:r>
              <w:rPr>
                <w:rFonts w:ascii="Times New Roman" w:eastAsia="Times New Roman" w:hAnsi="Times New Roman" w:cs="Times New Roman"/>
                <w:sz w:val="24"/>
                <w:szCs w:val="28"/>
              </w:rPr>
              <w:t xml:space="preserve"> досліджень</w:t>
            </w:r>
            <w:r w:rsidRPr="002A6CA6">
              <w:rPr>
                <w:rFonts w:ascii="Times New Roman" w:eastAsia="Times New Roman" w:hAnsi="Times New Roman" w:cs="Times New Roman"/>
                <w:sz w:val="24"/>
                <w:szCs w:val="28"/>
              </w:rPr>
              <w:t>; створює законодавчі основи для формування національної системи відкритої науки. Альтернатива дозволяє усунути наявні бар’єри, підвищити прозорість, якість і ефективність наукової діяльності.</w:t>
            </w:r>
          </w:p>
        </w:tc>
      </w:tr>
    </w:tbl>
    <w:p w:rsidR="00D747E3" w:rsidRPr="00B32392" w:rsidRDefault="00D747E3" w:rsidP="00D747E3">
      <w:pPr>
        <w:shd w:val="clear" w:color="auto" w:fill="FFFFFF"/>
        <w:spacing w:after="0" w:line="240" w:lineRule="auto"/>
        <w:ind w:firstLine="709"/>
        <w:rPr>
          <w:rFonts w:ascii="Times New Roman" w:eastAsia="Times New Roman" w:hAnsi="Times New Roman" w:cs="Times New Roman"/>
          <w:sz w:val="28"/>
          <w:szCs w:val="28"/>
        </w:rPr>
      </w:pPr>
    </w:p>
    <w:p w:rsidR="00AF149D" w:rsidRPr="00B32392" w:rsidRDefault="00716C69" w:rsidP="00D747E3">
      <w:pPr>
        <w:shd w:val="clear" w:color="auto" w:fill="FFFFFF"/>
        <w:spacing w:after="0" w:line="240" w:lineRule="auto"/>
        <w:ind w:firstLine="709"/>
        <w:rPr>
          <w:rFonts w:ascii="Times New Roman" w:eastAsia="Times New Roman" w:hAnsi="Times New Roman" w:cs="Times New Roman"/>
          <w:sz w:val="28"/>
          <w:szCs w:val="28"/>
        </w:rPr>
      </w:pPr>
      <w:r w:rsidRPr="00B32392">
        <w:rPr>
          <w:rFonts w:ascii="Times New Roman" w:eastAsia="Times New Roman" w:hAnsi="Times New Roman" w:cs="Times New Roman"/>
          <w:sz w:val="28"/>
          <w:szCs w:val="28"/>
        </w:rPr>
        <w:t>2. Оцінка вибраних альтернативних способів досягнення цілей</w:t>
      </w:r>
    </w:p>
    <w:p w:rsidR="00124845" w:rsidRPr="00B32392" w:rsidRDefault="00C12D7F" w:rsidP="00D747E3">
      <w:pPr>
        <w:shd w:val="clear" w:color="auto" w:fill="FFFFFF"/>
        <w:spacing w:after="0" w:line="240" w:lineRule="auto"/>
        <w:ind w:firstLine="709"/>
        <w:jc w:val="both"/>
        <w:rPr>
          <w:rFonts w:ascii="Times New Roman" w:eastAsia="Times New Roman" w:hAnsi="Times New Roman" w:cs="Times New Roman"/>
          <w:sz w:val="28"/>
          <w:szCs w:val="28"/>
        </w:rPr>
      </w:pPr>
      <w:r w:rsidRPr="00B32392">
        <w:rPr>
          <w:rFonts w:ascii="Times New Roman" w:eastAsia="Times New Roman" w:hAnsi="Times New Roman" w:cs="Times New Roman"/>
          <w:sz w:val="28"/>
          <w:szCs w:val="28"/>
        </w:rPr>
        <w:t>Оцінка впливу на сферу інтересів держави</w:t>
      </w:r>
    </w:p>
    <w:p w:rsidR="00C12D7F" w:rsidRPr="00B32392" w:rsidRDefault="00C12D7F" w:rsidP="00D747E3">
      <w:pPr>
        <w:shd w:val="clear" w:color="auto" w:fill="FFFFFF"/>
        <w:spacing w:after="0" w:line="240" w:lineRule="auto"/>
        <w:ind w:firstLine="709"/>
        <w:jc w:val="both"/>
        <w:rPr>
          <w:rFonts w:ascii="Times New Roman" w:eastAsia="Times New Roman" w:hAnsi="Times New Roman" w:cs="Times New Roman"/>
          <w:sz w:val="28"/>
          <w:szCs w:val="28"/>
        </w:rPr>
      </w:pPr>
    </w:p>
    <w:tbl>
      <w:tblPr>
        <w:tblStyle w:val="a7"/>
        <w:tblW w:w="9639" w:type="dxa"/>
        <w:tblInd w:w="0" w:type="dxa"/>
        <w:tblLayout w:type="fixed"/>
        <w:tblLook w:val="0400" w:firstRow="0" w:lastRow="0" w:firstColumn="0" w:lastColumn="0" w:noHBand="0" w:noVBand="1"/>
      </w:tblPr>
      <w:tblGrid>
        <w:gridCol w:w="3235"/>
        <w:gridCol w:w="2577"/>
        <w:gridCol w:w="3827"/>
      </w:tblGrid>
      <w:tr w:rsidR="00D747E3" w:rsidRPr="00B32392" w:rsidTr="00124845">
        <w:tc>
          <w:tcPr>
            <w:tcW w:w="3235" w:type="dxa"/>
            <w:tcBorders>
              <w:top w:val="single" w:sz="6" w:space="0" w:color="000000"/>
              <w:left w:val="nil"/>
              <w:bottom w:val="single" w:sz="6" w:space="0" w:color="000000"/>
              <w:right w:val="single" w:sz="6" w:space="0" w:color="000000"/>
            </w:tcBorders>
          </w:tcPr>
          <w:p w:rsidR="00AF149D" w:rsidRPr="00B32392" w:rsidRDefault="00716C69" w:rsidP="00D747E3">
            <w:pPr>
              <w:spacing w:after="0" w:line="240" w:lineRule="auto"/>
              <w:jc w:val="center"/>
              <w:rPr>
                <w:rFonts w:ascii="Times New Roman" w:eastAsia="Times New Roman" w:hAnsi="Times New Roman" w:cs="Times New Roman"/>
                <w:sz w:val="24"/>
                <w:szCs w:val="28"/>
              </w:rPr>
            </w:pPr>
            <w:r w:rsidRPr="00B32392">
              <w:rPr>
                <w:rFonts w:ascii="Times New Roman" w:eastAsia="Times New Roman" w:hAnsi="Times New Roman" w:cs="Times New Roman"/>
                <w:sz w:val="24"/>
                <w:szCs w:val="28"/>
              </w:rPr>
              <w:t>Вид альтернативи</w:t>
            </w:r>
          </w:p>
        </w:tc>
        <w:tc>
          <w:tcPr>
            <w:tcW w:w="2577" w:type="dxa"/>
            <w:tcBorders>
              <w:top w:val="single" w:sz="6" w:space="0" w:color="000000"/>
              <w:left w:val="single" w:sz="6" w:space="0" w:color="000000"/>
              <w:bottom w:val="single" w:sz="6" w:space="0" w:color="000000"/>
              <w:right w:val="single" w:sz="6" w:space="0" w:color="000000"/>
            </w:tcBorders>
          </w:tcPr>
          <w:p w:rsidR="00AF149D" w:rsidRPr="00B32392" w:rsidRDefault="00716C69" w:rsidP="00D747E3">
            <w:pPr>
              <w:spacing w:after="0" w:line="240" w:lineRule="auto"/>
              <w:jc w:val="center"/>
              <w:rPr>
                <w:rFonts w:ascii="Times New Roman" w:eastAsia="Times New Roman" w:hAnsi="Times New Roman" w:cs="Times New Roman"/>
                <w:sz w:val="24"/>
                <w:szCs w:val="28"/>
              </w:rPr>
            </w:pPr>
            <w:r w:rsidRPr="00B32392">
              <w:rPr>
                <w:rFonts w:ascii="Times New Roman" w:eastAsia="Times New Roman" w:hAnsi="Times New Roman" w:cs="Times New Roman"/>
                <w:sz w:val="24"/>
                <w:szCs w:val="28"/>
              </w:rPr>
              <w:t>Вигоди</w:t>
            </w:r>
          </w:p>
        </w:tc>
        <w:tc>
          <w:tcPr>
            <w:tcW w:w="3827" w:type="dxa"/>
            <w:tcBorders>
              <w:top w:val="single" w:sz="6" w:space="0" w:color="000000"/>
              <w:left w:val="single" w:sz="6" w:space="0" w:color="000000"/>
              <w:bottom w:val="single" w:sz="6" w:space="0" w:color="000000"/>
              <w:right w:val="nil"/>
            </w:tcBorders>
          </w:tcPr>
          <w:p w:rsidR="00AF149D" w:rsidRPr="00B32392" w:rsidRDefault="00716C69" w:rsidP="00D747E3">
            <w:pPr>
              <w:spacing w:after="0" w:line="240" w:lineRule="auto"/>
              <w:jc w:val="center"/>
              <w:rPr>
                <w:rFonts w:ascii="Times New Roman" w:eastAsia="Times New Roman" w:hAnsi="Times New Roman" w:cs="Times New Roman"/>
                <w:sz w:val="24"/>
                <w:szCs w:val="28"/>
              </w:rPr>
            </w:pPr>
            <w:r w:rsidRPr="00B32392">
              <w:rPr>
                <w:rFonts w:ascii="Times New Roman" w:eastAsia="Times New Roman" w:hAnsi="Times New Roman" w:cs="Times New Roman"/>
                <w:sz w:val="24"/>
                <w:szCs w:val="28"/>
              </w:rPr>
              <w:t>Витрати</w:t>
            </w:r>
          </w:p>
        </w:tc>
      </w:tr>
      <w:tr w:rsidR="00D747E3" w:rsidRPr="00B32392" w:rsidTr="00124845">
        <w:tc>
          <w:tcPr>
            <w:tcW w:w="3235" w:type="dxa"/>
            <w:tcBorders>
              <w:top w:val="single" w:sz="6" w:space="0" w:color="000000"/>
              <w:left w:val="single" w:sz="4" w:space="0" w:color="000000"/>
              <w:bottom w:val="single" w:sz="4" w:space="0" w:color="000000"/>
              <w:right w:val="single" w:sz="4" w:space="0" w:color="000000"/>
            </w:tcBorders>
          </w:tcPr>
          <w:p w:rsidR="00AF149D" w:rsidRPr="00B32392" w:rsidRDefault="00716C69" w:rsidP="00D747E3">
            <w:pPr>
              <w:spacing w:after="0" w:line="240" w:lineRule="auto"/>
              <w:rPr>
                <w:rFonts w:ascii="Times New Roman" w:eastAsia="Times New Roman" w:hAnsi="Times New Roman" w:cs="Times New Roman"/>
                <w:sz w:val="24"/>
                <w:szCs w:val="28"/>
              </w:rPr>
            </w:pPr>
            <w:r w:rsidRPr="00B32392">
              <w:rPr>
                <w:rFonts w:ascii="Times New Roman" w:eastAsia="Times New Roman" w:hAnsi="Times New Roman" w:cs="Times New Roman"/>
                <w:sz w:val="24"/>
                <w:szCs w:val="28"/>
              </w:rPr>
              <w:t>Альтернатива 1</w:t>
            </w:r>
          </w:p>
          <w:p w:rsidR="00124845" w:rsidRPr="00B32392" w:rsidRDefault="00124845" w:rsidP="00D747E3">
            <w:pPr>
              <w:spacing w:after="0" w:line="240" w:lineRule="auto"/>
              <w:rPr>
                <w:rFonts w:ascii="Times New Roman" w:eastAsia="Times New Roman" w:hAnsi="Times New Roman" w:cs="Times New Roman"/>
                <w:sz w:val="24"/>
                <w:szCs w:val="28"/>
              </w:rPr>
            </w:pPr>
          </w:p>
        </w:tc>
        <w:tc>
          <w:tcPr>
            <w:tcW w:w="2577" w:type="dxa"/>
            <w:tcBorders>
              <w:top w:val="single" w:sz="6" w:space="0" w:color="000000"/>
              <w:left w:val="single" w:sz="4" w:space="0" w:color="000000"/>
              <w:bottom w:val="single" w:sz="4" w:space="0" w:color="000000"/>
              <w:right w:val="single" w:sz="4" w:space="0" w:color="000000"/>
            </w:tcBorders>
          </w:tcPr>
          <w:p w:rsidR="00AF149D" w:rsidRPr="00B32392" w:rsidRDefault="00124845" w:rsidP="00A5724F">
            <w:pPr>
              <w:spacing w:after="0" w:line="240" w:lineRule="auto"/>
              <w:ind w:left="148" w:right="120"/>
              <w:jc w:val="both"/>
              <w:rPr>
                <w:rFonts w:ascii="Times New Roman" w:eastAsia="Times New Roman" w:hAnsi="Times New Roman" w:cs="Times New Roman"/>
                <w:sz w:val="24"/>
                <w:szCs w:val="28"/>
              </w:rPr>
            </w:pPr>
            <w:r w:rsidRPr="00A5724F">
              <w:rPr>
                <w:rFonts w:ascii="Times New Roman" w:eastAsia="Times New Roman" w:hAnsi="Times New Roman" w:cs="Times New Roman"/>
                <w:i/>
                <w:sz w:val="24"/>
                <w:szCs w:val="28"/>
              </w:rPr>
              <w:t>Відсутні</w:t>
            </w:r>
            <w:r w:rsidR="006B25BB">
              <w:rPr>
                <w:rFonts w:ascii="Times New Roman" w:eastAsia="Times New Roman" w:hAnsi="Times New Roman" w:cs="Times New Roman"/>
                <w:sz w:val="24"/>
                <w:szCs w:val="28"/>
              </w:rPr>
              <w:t xml:space="preserve">, </w:t>
            </w:r>
            <w:r w:rsidR="006B25BB" w:rsidRPr="006B25BB">
              <w:rPr>
                <w:rFonts w:ascii="Times New Roman" w:eastAsia="Times New Roman" w:hAnsi="Times New Roman" w:cs="Times New Roman"/>
                <w:sz w:val="24"/>
                <w:szCs w:val="28"/>
              </w:rPr>
              <w:t>оскільки</w:t>
            </w:r>
            <w:r w:rsidR="00A5724F">
              <w:rPr>
                <w:rFonts w:ascii="Times New Roman" w:eastAsia="Times New Roman" w:hAnsi="Times New Roman" w:cs="Times New Roman"/>
                <w:sz w:val="24"/>
                <w:szCs w:val="28"/>
              </w:rPr>
              <w:t xml:space="preserve"> збереження поточного регулювання</w:t>
            </w:r>
            <w:r w:rsidR="006B25BB" w:rsidRPr="006B25BB">
              <w:rPr>
                <w:rFonts w:ascii="Times New Roman" w:eastAsia="Times New Roman" w:hAnsi="Times New Roman" w:cs="Times New Roman"/>
                <w:sz w:val="24"/>
                <w:szCs w:val="28"/>
              </w:rPr>
              <w:t xml:space="preserve"> фактично призвод</w:t>
            </w:r>
            <w:r w:rsidR="00A5724F">
              <w:rPr>
                <w:rFonts w:ascii="Times New Roman" w:eastAsia="Times New Roman" w:hAnsi="Times New Roman" w:cs="Times New Roman"/>
                <w:sz w:val="24"/>
                <w:szCs w:val="28"/>
              </w:rPr>
              <w:t>и</w:t>
            </w:r>
            <w:r w:rsidR="006B25BB" w:rsidRPr="006B25BB">
              <w:rPr>
                <w:rFonts w:ascii="Times New Roman" w:eastAsia="Times New Roman" w:hAnsi="Times New Roman" w:cs="Times New Roman"/>
                <w:sz w:val="24"/>
                <w:szCs w:val="28"/>
              </w:rPr>
              <w:t>ть до збереження обмеження прозорості та доступності результатів наукових досліджень</w:t>
            </w:r>
            <w:r w:rsidR="00A5724F">
              <w:rPr>
                <w:rFonts w:ascii="Times New Roman" w:eastAsia="Times New Roman" w:hAnsi="Times New Roman" w:cs="Times New Roman"/>
                <w:sz w:val="24"/>
                <w:szCs w:val="28"/>
              </w:rPr>
              <w:t xml:space="preserve"> та</w:t>
            </w:r>
            <w:r w:rsidR="006B25BB" w:rsidRPr="006B25BB">
              <w:rPr>
                <w:rFonts w:ascii="Times New Roman" w:eastAsia="Times New Roman" w:hAnsi="Times New Roman" w:cs="Times New Roman"/>
                <w:sz w:val="24"/>
                <w:szCs w:val="28"/>
              </w:rPr>
              <w:t xml:space="preserve"> невідповідності стандартам ЄС.</w:t>
            </w:r>
          </w:p>
        </w:tc>
        <w:tc>
          <w:tcPr>
            <w:tcW w:w="3827" w:type="dxa"/>
            <w:tcBorders>
              <w:top w:val="single" w:sz="6" w:space="0" w:color="000000"/>
              <w:left w:val="single" w:sz="4" w:space="0" w:color="000000"/>
              <w:bottom w:val="single" w:sz="4" w:space="0" w:color="000000"/>
              <w:right w:val="single" w:sz="4" w:space="0" w:color="000000"/>
            </w:tcBorders>
          </w:tcPr>
          <w:p w:rsidR="00124845" w:rsidRPr="00B32392" w:rsidRDefault="006D4CFA" w:rsidP="006D4CFA">
            <w:pPr>
              <w:spacing w:after="0" w:line="240" w:lineRule="auto"/>
              <w:ind w:left="148" w:right="120"/>
              <w:jc w:val="both"/>
              <w:rPr>
                <w:rFonts w:ascii="Times New Roman" w:eastAsia="Times New Roman" w:hAnsi="Times New Roman" w:cs="Times New Roman"/>
                <w:sz w:val="24"/>
                <w:szCs w:val="28"/>
              </w:rPr>
            </w:pPr>
            <w:r w:rsidRPr="006D4CFA">
              <w:rPr>
                <w:rFonts w:ascii="Times New Roman" w:eastAsia="Times New Roman" w:hAnsi="Times New Roman" w:cs="Times New Roman"/>
                <w:sz w:val="24"/>
                <w:szCs w:val="28"/>
              </w:rPr>
              <w:t xml:space="preserve">Продовження неефективного використання публічних ресурсів </w:t>
            </w:r>
            <w:r>
              <w:rPr>
                <w:rFonts w:ascii="Times New Roman" w:eastAsia="Times New Roman" w:hAnsi="Times New Roman" w:cs="Times New Roman"/>
                <w:sz w:val="24"/>
                <w:szCs w:val="28"/>
              </w:rPr>
              <w:t>у науковій сфері</w:t>
            </w:r>
            <w:r w:rsidRPr="006D4CFA">
              <w:rPr>
                <w:rFonts w:ascii="Times New Roman" w:eastAsia="Times New Roman" w:hAnsi="Times New Roman" w:cs="Times New Roman"/>
                <w:sz w:val="24"/>
                <w:szCs w:val="28"/>
              </w:rPr>
              <w:t>; втрата можливості інтеграції до Європейського дослідницького простору</w:t>
            </w:r>
            <w:r>
              <w:rPr>
                <w:rFonts w:ascii="Times New Roman" w:eastAsia="Times New Roman" w:hAnsi="Times New Roman" w:cs="Times New Roman"/>
                <w:sz w:val="24"/>
                <w:szCs w:val="28"/>
              </w:rPr>
              <w:t xml:space="preserve"> або неповна інтеграція</w:t>
            </w:r>
            <w:r w:rsidRPr="006D4CFA">
              <w:rPr>
                <w:rFonts w:ascii="Times New Roman" w:eastAsia="Times New Roman" w:hAnsi="Times New Roman" w:cs="Times New Roman"/>
                <w:sz w:val="24"/>
                <w:szCs w:val="28"/>
              </w:rPr>
              <w:t xml:space="preserve">; зниження міжнародної довіри до України як партнера </w:t>
            </w:r>
            <w:r>
              <w:rPr>
                <w:rFonts w:ascii="Times New Roman" w:eastAsia="Times New Roman" w:hAnsi="Times New Roman" w:cs="Times New Roman"/>
                <w:sz w:val="24"/>
                <w:szCs w:val="28"/>
              </w:rPr>
              <w:t>у науковій сфері</w:t>
            </w:r>
            <w:r w:rsidRPr="006D4CFA">
              <w:rPr>
                <w:rFonts w:ascii="Times New Roman" w:eastAsia="Times New Roman" w:hAnsi="Times New Roman" w:cs="Times New Roman"/>
                <w:sz w:val="24"/>
                <w:szCs w:val="28"/>
              </w:rPr>
              <w:t>; правова невизначеність у сфері відкритої науки.</w:t>
            </w:r>
          </w:p>
        </w:tc>
      </w:tr>
      <w:tr w:rsidR="00D747E3" w:rsidRPr="00B32392" w:rsidTr="00124845">
        <w:tc>
          <w:tcPr>
            <w:tcW w:w="3235" w:type="dxa"/>
            <w:tcBorders>
              <w:top w:val="single" w:sz="4" w:space="0" w:color="000000"/>
              <w:left w:val="single" w:sz="4" w:space="0" w:color="000000"/>
              <w:bottom w:val="single" w:sz="4" w:space="0" w:color="000000"/>
              <w:right w:val="single" w:sz="4" w:space="0" w:color="000000"/>
            </w:tcBorders>
          </w:tcPr>
          <w:p w:rsidR="00AF149D" w:rsidRPr="00B32392" w:rsidRDefault="00716C69" w:rsidP="00D747E3">
            <w:pPr>
              <w:spacing w:after="0" w:line="240" w:lineRule="auto"/>
              <w:rPr>
                <w:rFonts w:ascii="Times New Roman" w:eastAsia="Times New Roman" w:hAnsi="Times New Roman" w:cs="Times New Roman"/>
                <w:sz w:val="24"/>
                <w:szCs w:val="28"/>
              </w:rPr>
            </w:pPr>
            <w:r w:rsidRPr="00B32392">
              <w:rPr>
                <w:rFonts w:ascii="Times New Roman" w:eastAsia="Times New Roman" w:hAnsi="Times New Roman" w:cs="Times New Roman"/>
                <w:sz w:val="24"/>
                <w:szCs w:val="28"/>
              </w:rPr>
              <w:t>Альтернатива 2</w:t>
            </w:r>
          </w:p>
        </w:tc>
        <w:tc>
          <w:tcPr>
            <w:tcW w:w="2577" w:type="dxa"/>
            <w:tcBorders>
              <w:top w:val="single" w:sz="4" w:space="0" w:color="000000"/>
              <w:left w:val="single" w:sz="4" w:space="0" w:color="000000"/>
              <w:bottom w:val="single" w:sz="4" w:space="0" w:color="000000"/>
              <w:right w:val="single" w:sz="4" w:space="0" w:color="000000"/>
            </w:tcBorders>
          </w:tcPr>
          <w:p w:rsidR="00AF149D" w:rsidRPr="00B32392" w:rsidRDefault="006D4CFA" w:rsidP="006D4CFA">
            <w:pPr>
              <w:spacing w:after="0" w:line="240" w:lineRule="auto"/>
              <w:ind w:left="148" w:right="120"/>
              <w:jc w:val="both"/>
              <w:rPr>
                <w:rFonts w:ascii="Times New Roman" w:eastAsia="Times New Roman" w:hAnsi="Times New Roman" w:cs="Times New Roman"/>
                <w:sz w:val="24"/>
                <w:szCs w:val="28"/>
              </w:rPr>
            </w:pPr>
            <w:r w:rsidRPr="006D4CFA">
              <w:rPr>
                <w:rFonts w:ascii="Times New Roman" w:eastAsia="Times New Roman" w:hAnsi="Times New Roman" w:cs="Times New Roman"/>
                <w:sz w:val="24"/>
                <w:szCs w:val="28"/>
              </w:rPr>
              <w:t xml:space="preserve">Системне оновлення нормативної бази; забезпечення прозорості використання бюджетних коштів у сфері науки; виконання </w:t>
            </w:r>
            <w:r w:rsidRPr="006D4CFA">
              <w:rPr>
                <w:rFonts w:ascii="Times New Roman" w:eastAsia="Times New Roman" w:hAnsi="Times New Roman" w:cs="Times New Roman"/>
                <w:sz w:val="24"/>
                <w:szCs w:val="28"/>
              </w:rPr>
              <w:lastRenderedPageBreak/>
              <w:t xml:space="preserve">міжнародних зобов’язань; покращення умов для міжнародного співробітництва, впровадження інновацій та формування цифрової наукової інфраструктури; підвищення якості державної політики у сфері </w:t>
            </w:r>
            <w:r>
              <w:rPr>
                <w:rFonts w:ascii="Times New Roman" w:eastAsia="Times New Roman" w:hAnsi="Times New Roman" w:cs="Times New Roman"/>
                <w:sz w:val="24"/>
                <w:szCs w:val="28"/>
              </w:rPr>
              <w:t>науково-технічної інформації</w:t>
            </w:r>
            <w:r w:rsidRPr="006D4CFA">
              <w:rPr>
                <w:rFonts w:ascii="Times New Roman" w:eastAsia="Times New Roman" w:hAnsi="Times New Roman" w:cs="Times New Roman"/>
                <w:sz w:val="24"/>
                <w:szCs w:val="28"/>
              </w:rPr>
              <w:t>.</w:t>
            </w:r>
          </w:p>
        </w:tc>
        <w:tc>
          <w:tcPr>
            <w:tcW w:w="3827" w:type="dxa"/>
            <w:tcBorders>
              <w:top w:val="single" w:sz="4" w:space="0" w:color="000000"/>
              <w:left w:val="single" w:sz="4" w:space="0" w:color="000000"/>
              <w:bottom w:val="single" w:sz="4" w:space="0" w:color="000000"/>
              <w:right w:val="single" w:sz="4" w:space="0" w:color="000000"/>
            </w:tcBorders>
          </w:tcPr>
          <w:p w:rsidR="00AF149D" w:rsidRPr="002133E1" w:rsidRDefault="006D4CFA" w:rsidP="002133E1">
            <w:pPr>
              <w:spacing w:after="0" w:line="240" w:lineRule="auto"/>
              <w:ind w:left="148" w:right="120"/>
              <w:jc w:val="both"/>
              <w:rPr>
                <w:rFonts w:ascii="Times New Roman" w:eastAsia="Times New Roman" w:hAnsi="Times New Roman" w:cs="Times New Roman"/>
                <w:sz w:val="24"/>
                <w:szCs w:val="28"/>
              </w:rPr>
            </w:pPr>
            <w:r w:rsidRPr="002133E1">
              <w:rPr>
                <w:rFonts w:ascii="Times New Roman" w:eastAsia="Times New Roman" w:hAnsi="Times New Roman" w:cs="Times New Roman"/>
                <w:sz w:val="24"/>
                <w:szCs w:val="28"/>
              </w:rPr>
              <w:lastRenderedPageBreak/>
              <w:t>Мінімальні адміністративні витрати, пов’язані з організацією впровадження нового регулювання (підготовка роз’яснень,</w:t>
            </w:r>
            <w:r w:rsidR="002133E1" w:rsidRPr="002133E1">
              <w:rPr>
                <w:rFonts w:ascii="Times New Roman" w:eastAsia="Times New Roman" w:hAnsi="Times New Roman" w:cs="Times New Roman"/>
                <w:sz w:val="24"/>
                <w:szCs w:val="28"/>
              </w:rPr>
              <w:t xml:space="preserve"> оприлюднення матеріалів на офіційному </w:t>
            </w:r>
            <w:proofErr w:type="spellStart"/>
            <w:r w:rsidR="002133E1" w:rsidRPr="002133E1">
              <w:rPr>
                <w:rFonts w:ascii="Times New Roman" w:eastAsia="Times New Roman" w:hAnsi="Times New Roman" w:cs="Times New Roman"/>
                <w:sz w:val="24"/>
                <w:szCs w:val="28"/>
              </w:rPr>
              <w:t>вебсайті</w:t>
            </w:r>
            <w:proofErr w:type="spellEnd"/>
            <w:r w:rsidRPr="002133E1">
              <w:rPr>
                <w:rFonts w:ascii="Times New Roman" w:eastAsia="Times New Roman" w:hAnsi="Times New Roman" w:cs="Times New Roman"/>
                <w:sz w:val="24"/>
                <w:szCs w:val="28"/>
              </w:rPr>
              <w:t xml:space="preserve"> тощо), здійснюються в межах наявного функціоналу державних </w:t>
            </w:r>
            <w:r w:rsidRPr="002133E1">
              <w:rPr>
                <w:rFonts w:ascii="Times New Roman" w:eastAsia="Times New Roman" w:hAnsi="Times New Roman" w:cs="Times New Roman"/>
                <w:sz w:val="24"/>
                <w:szCs w:val="28"/>
              </w:rPr>
              <w:lastRenderedPageBreak/>
              <w:t>органів без потреби додаткового бюджетного фінансування</w:t>
            </w:r>
            <w:r w:rsidR="002133E1" w:rsidRPr="002133E1">
              <w:rPr>
                <w:rFonts w:ascii="Times New Roman" w:eastAsia="Times New Roman" w:hAnsi="Times New Roman" w:cs="Times New Roman"/>
                <w:sz w:val="24"/>
                <w:szCs w:val="28"/>
              </w:rPr>
              <w:t xml:space="preserve"> </w:t>
            </w:r>
            <w:r w:rsidR="002133E1" w:rsidRPr="002133E1">
              <w:rPr>
                <w:rFonts w:ascii="Times New Roman" w:eastAsia="Times New Roman" w:hAnsi="Times New Roman" w:cs="Times New Roman"/>
                <w:sz w:val="24"/>
                <w:szCs w:val="28"/>
              </w:rPr>
              <w:t>(1 особа х 2 робоч</w:t>
            </w:r>
            <w:r w:rsidR="002133E1" w:rsidRPr="002133E1">
              <w:rPr>
                <w:rFonts w:ascii="Times New Roman" w:eastAsia="Times New Roman" w:hAnsi="Times New Roman" w:cs="Times New Roman"/>
                <w:sz w:val="24"/>
                <w:szCs w:val="28"/>
              </w:rPr>
              <w:t>их</w:t>
            </w:r>
            <w:r w:rsidR="002133E1" w:rsidRPr="002133E1">
              <w:rPr>
                <w:rFonts w:ascii="Times New Roman" w:eastAsia="Times New Roman" w:hAnsi="Times New Roman" w:cs="Times New Roman"/>
                <w:sz w:val="24"/>
                <w:szCs w:val="28"/>
              </w:rPr>
              <w:t xml:space="preserve"> </w:t>
            </w:r>
            <w:r w:rsidR="002133E1" w:rsidRPr="002133E1">
              <w:rPr>
                <w:rFonts w:ascii="Times New Roman" w:eastAsia="Times New Roman" w:hAnsi="Times New Roman" w:cs="Times New Roman"/>
                <w:sz w:val="24"/>
                <w:szCs w:val="28"/>
              </w:rPr>
              <w:t>дні (16 годин)</w:t>
            </w:r>
            <w:r w:rsidR="002133E1" w:rsidRPr="002133E1">
              <w:rPr>
                <w:rFonts w:ascii="Times New Roman" w:eastAsia="Times New Roman" w:hAnsi="Times New Roman" w:cs="Times New Roman"/>
                <w:sz w:val="24"/>
                <w:szCs w:val="28"/>
              </w:rPr>
              <w:t xml:space="preserve"> = </w:t>
            </w:r>
            <w:r w:rsidR="002133E1" w:rsidRPr="002133E1">
              <w:rPr>
                <w:rFonts w:ascii="Times New Roman" w:eastAsia="Times New Roman" w:hAnsi="Times New Roman" w:cs="Times New Roman"/>
                <w:sz w:val="24"/>
                <w:szCs w:val="28"/>
              </w:rPr>
              <w:t>16</w:t>
            </w:r>
            <w:r w:rsidR="002133E1" w:rsidRPr="002133E1">
              <w:rPr>
                <w:rFonts w:ascii="Times New Roman" w:eastAsia="Times New Roman" w:hAnsi="Times New Roman" w:cs="Times New Roman"/>
                <w:sz w:val="24"/>
                <w:szCs w:val="28"/>
              </w:rPr>
              <w:t xml:space="preserve"> х 48</w:t>
            </w:r>
            <w:r w:rsidR="002133E1" w:rsidRPr="002133E1">
              <w:rPr>
                <w:rFonts w:ascii="Times New Roman" w:eastAsia="Times New Roman" w:hAnsi="Times New Roman" w:cs="Times New Roman"/>
                <w:sz w:val="24"/>
                <w:szCs w:val="28"/>
                <w:vertAlign w:val="superscript"/>
              </w:rPr>
              <w:t>*</w:t>
            </w:r>
            <w:r w:rsidR="002133E1" w:rsidRPr="002133E1">
              <w:rPr>
                <w:rFonts w:ascii="Times New Roman" w:eastAsia="Times New Roman" w:hAnsi="Times New Roman" w:cs="Times New Roman"/>
                <w:sz w:val="24"/>
                <w:szCs w:val="28"/>
              </w:rPr>
              <w:t xml:space="preserve"> = </w:t>
            </w:r>
            <w:r w:rsidR="002133E1" w:rsidRPr="002133E1">
              <w:rPr>
                <w:rFonts w:ascii="Times New Roman" w:eastAsia="Times New Roman" w:hAnsi="Times New Roman" w:cs="Times New Roman"/>
                <w:sz w:val="24"/>
                <w:szCs w:val="28"/>
              </w:rPr>
              <w:t>768</w:t>
            </w:r>
            <w:r w:rsidR="002133E1" w:rsidRPr="002133E1">
              <w:rPr>
                <w:rFonts w:ascii="Times New Roman" w:eastAsia="Times New Roman" w:hAnsi="Times New Roman" w:cs="Times New Roman"/>
                <w:sz w:val="24"/>
                <w:szCs w:val="28"/>
              </w:rPr>
              <w:t xml:space="preserve"> грн)</w:t>
            </w:r>
            <w:r w:rsidRPr="002133E1">
              <w:rPr>
                <w:rFonts w:ascii="Times New Roman" w:eastAsia="Times New Roman" w:hAnsi="Times New Roman" w:cs="Times New Roman"/>
                <w:sz w:val="24"/>
                <w:szCs w:val="28"/>
              </w:rPr>
              <w:t>.</w:t>
            </w:r>
          </w:p>
        </w:tc>
      </w:tr>
    </w:tbl>
    <w:p w:rsidR="002133E1" w:rsidRPr="009C17BF" w:rsidRDefault="002133E1" w:rsidP="002133E1">
      <w:pPr>
        <w:spacing w:before="60" w:after="0" w:line="240" w:lineRule="auto"/>
        <w:ind w:right="142" w:firstLine="142"/>
        <w:jc w:val="both"/>
        <w:rPr>
          <w:rFonts w:ascii="Times New Roman" w:eastAsia="Times New Roman" w:hAnsi="Times New Roman" w:cs="Times New Roman"/>
          <w:sz w:val="20"/>
          <w:szCs w:val="20"/>
        </w:rPr>
      </w:pPr>
      <w:r w:rsidRPr="009C17BF">
        <w:rPr>
          <w:rFonts w:ascii="Times New Roman" w:eastAsia="Times New Roman" w:hAnsi="Times New Roman" w:cs="Times New Roman"/>
          <w:sz w:val="20"/>
          <w:szCs w:val="20"/>
        </w:rPr>
        <w:lastRenderedPageBreak/>
        <w:t>* Мінімальна заробітна плата визначається Законом про Державний бюджет на відповідний рік. Так, статтею 8 Закону України «Про Державний бюджет України на 2025 рік» з 1 січня 2025 року встановлено мінімальну заробітну плату у погодинному розмірі – 48 гривень.</w:t>
      </w:r>
    </w:p>
    <w:p w:rsidR="00AF149D" w:rsidRPr="00B32392" w:rsidRDefault="00AF149D" w:rsidP="00D747E3">
      <w:pPr>
        <w:shd w:val="clear" w:color="auto" w:fill="FFFFFF"/>
        <w:spacing w:after="0" w:line="240" w:lineRule="auto"/>
        <w:ind w:firstLine="709"/>
        <w:jc w:val="both"/>
        <w:rPr>
          <w:rFonts w:ascii="Times New Roman" w:eastAsia="Times New Roman" w:hAnsi="Times New Roman" w:cs="Times New Roman"/>
          <w:sz w:val="28"/>
          <w:szCs w:val="28"/>
        </w:rPr>
      </w:pPr>
    </w:p>
    <w:p w:rsidR="00AF149D" w:rsidRPr="00B32392" w:rsidRDefault="00716C69" w:rsidP="00D747E3">
      <w:pPr>
        <w:shd w:val="clear" w:color="auto" w:fill="FFFFFF"/>
        <w:spacing w:after="0" w:line="240" w:lineRule="auto"/>
        <w:ind w:firstLine="709"/>
        <w:jc w:val="both"/>
        <w:rPr>
          <w:rFonts w:ascii="Times New Roman" w:eastAsia="Times New Roman" w:hAnsi="Times New Roman" w:cs="Times New Roman"/>
          <w:sz w:val="28"/>
          <w:szCs w:val="28"/>
        </w:rPr>
      </w:pPr>
      <w:r w:rsidRPr="00B32392">
        <w:rPr>
          <w:rFonts w:ascii="Times New Roman" w:eastAsia="Times New Roman" w:hAnsi="Times New Roman" w:cs="Times New Roman"/>
          <w:sz w:val="28"/>
          <w:szCs w:val="28"/>
        </w:rPr>
        <w:t>Оцінка впливу на сферу інтересів громадян</w:t>
      </w:r>
    </w:p>
    <w:p w:rsidR="00D747E3" w:rsidRPr="00B32392" w:rsidRDefault="00D747E3" w:rsidP="00D747E3">
      <w:pPr>
        <w:shd w:val="clear" w:color="auto" w:fill="FFFFFF"/>
        <w:spacing w:after="0" w:line="240" w:lineRule="auto"/>
        <w:ind w:firstLine="709"/>
        <w:jc w:val="both"/>
        <w:rPr>
          <w:rFonts w:ascii="Times New Roman" w:eastAsia="Times New Roman" w:hAnsi="Times New Roman" w:cs="Times New Roman"/>
          <w:b/>
          <w:sz w:val="28"/>
          <w:szCs w:val="28"/>
        </w:rPr>
      </w:pPr>
    </w:p>
    <w:tbl>
      <w:tblPr>
        <w:tblStyle w:val="a8"/>
        <w:tblW w:w="9639" w:type="dxa"/>
        <w:tblInd w:w="0" w:type="dxa"/>
        <w:tblLayout w:type="fixed"/>
        <w:tblLook w:val="0400" w:firstRow="0" w:lastRow="0" w:firstColumn="0" w:lastColumn="0" w:noHBand="0" w:noVBand="1"/>
      </w:tblPr>
      <w:tblGrid>
        <w:gridCol w:w="3213"/>
        <w:gridCol w:w="3213"/>
        <w:gridCol w:w="3213"/>
      </w:tblGrid>
      <w:tr w:rsidR="00D747E3" w:rsidRPr="00B32392">
        <w:tc>
          <w:tcPr>
            <w:tcW w:w="3213" w:type="dxa"/>
            <w:tcBorders>
              <w:top w:val="single" w:sz="6" w:space="0" w:color="000000"/>
              <w:left w:val="nil"/>
              <w:bottom w:val="single" w:sz="6" w:space="0" w:color="000000"/>
              <w:right w:val="single" w:sz="6" w:space="0" w:color="000000"/>
            </w:tcBorders>
          </w:tcPr>
          <w:p w:rsidR="00AF149D" w:rsidRPr="00B32392" w:rsidRDefault="00716C69" w:rsidP="00D747E3">
            <w:pPr>
              <w:spacing w:after="0" w:line="240" w:lineRule="auto"/>
              <w:jc w:val="center"/>
              <w:rPr>
                <w:rFonts w:ascii="Times New Roman" w:eastAsia="Times New Roman" w:hAnsi="Times New Roman" w:cs="Times New Roman"/>
                <w:sz w:val="24"/>
                <w:szCs w:val="28"/>
              </w:rPr>
            </w:pPr>
            <w:r w:rsidRPr="00B32392">
              <w:rPr>
                <w:rFonts w:ascii="Times New Roman" w:eastAsia="Times New Roman" w:hAnsi="Times New Roman" w:cs="Times New Roman"/>
                <w:sz w:val="24"/>
                <w:szCs w:val="28"/>
              </w:rPr>
              <w:t>Вид альтернативи</w:t>
            </w:r>
          </w:p>
        </w:tc>
        <w:tc>
          <w:tcPr>
            <w:tcW w:w="3213" w:type="dxa"/>
            <w:tcBorders>
              <w:top w:val="single" w:sz="6" w:space="0" w:color="000000"/>
              <w:left w:val="single" w:sz="6" w:space="0" w:color="000000"/>
              <w:bottom w:val="single" w:sz="6" w:space="0" w:color="000000"/>
              <w:right w:val="single" w:sz="6" w:space="0" w:color="000000"/>
            </w:tcBorders>
          </w:tcPr>
          <w:p w:rsidR="00AF149D" w:rsidRPr="00B32392" w:rsidRDefault="00716C69" w:rsidP="00D747E3">
            <w:pPr>
              <w:spacing w:after="0" w:line="240" w:lineRule="auto"/>
              <w:jc w:val="center"/>
              <w:rPr>
                <w:rFonts w:ascii="Times New Roman" w:eastAsia="Times New Roman" w:hAnsi="Times New Roman" w:cs="Times New Roman"/>
                <w:sz w:val="24"/>
                <w:szCs w:val="28"/>
              </w:rPr>
            </w:pPr>
            <w:r w:rsidRPr="00B32392">
              <w:rPr>
                <w:rFonts w:ascii="Times New Roman" w:eastAsia="Times New Roman" w:hAnsi="Times New Roman" w:cs="Times New Roman"/>
                <w:sz w:val="24"/>
                <w:szCs w:val="28"/>
              </w:rPr>
              <w:t>Вигоди</w:t>
            </w:r>
          </w:p>
        </w:tc>
        <w:tc>
          <w:tcPr>
            <w:tcW w:w="3213" w:type="dxa"/>
            <w:tcBorders>
              <w:top w:val="single" w:sz="6" w:space="0" w:color="000000"/>
              <w:left w:val="single" w:sz="6" w:space="0" w:color="000000"/>
              <w:bottom w:val="single" w:sz="6" w:space="0" w:color="000000"/>
              <w:right w:val="nil"/>
            </w:tcBorders>
          </w:tcPr>
          <w:p w:rsidR="00AF149D" w:rsidRPr="00B32392" w:rsidRDefault="00716C69" w:rsidP="00D747E3">
            <w:pPr>
              <w:spacing w:after="0" w:line="240" w:lineRule="auto"/>
              <w:jc w:val="center"/>
              <w:rPr>
                <w:rFonts w:ascii="Times New Roman" w:eastAsia="Times New Roman" w:hAnsi="Times New Roman" w:cs="Times New Roman"/>
                <w:sz w:val="24"/>
                <w:szCs w:val="28"/>
              </w:rPr>
            </w:pPr>
            <w:r w:rsidRPr="00B32392">
              <w:rPr>
                <w:rFonts w:ascii="Times New Roman" w:eastAsia="Times New Roman" w:hAnsi="Times New Roman" w:cs="Times New Roman"/>
                <w:sz w:val="24"/>
                <w:szCs w:val="28"/>
              </w:rPr>
              <w:t>Витрати</w:t>
            </w:r>
          </w:p>
        </w:tc>
      </w:tr>
      <w:tr w:rsidR="00D747E3" w:rsidRPr="00B32392">
        <w:tc>
          <w:tcPr>
            <w:tcW w:w="3213" w:type="dxa"/>
            <w:tcBorders>
              <w:top w:val="single" w:sz="6" w:space="0" w:color="000000"/>
              <w:left w:val="single" w:sz="4" w:space="0" w:color="000000"/>
              <w:bottom w:val="single" w:sz="4" w:space="0" w:color="000000"/>
              <w:right w:val="single" w:sz="4" w:space="0" w:color="000000"/>
            </w:tcBorders>
          </w:tcPr>
          <w:p w:rsidR="00AF149D" w:rsidRPr="00B32392" w:rsidRDefault="00716C69" w:rsidP="00D747E3">
            <w:pPr>
              <w:spacing w:after="0" w:line="240" w:lineRule="auto"/>
              <w:rPr>
                <w:rFonts w:ascii="Times New Roman" w:eastAsia="Times New Roman" w:hAnsi="Times New Roman" w:cs="Times New Roman"/>
                <w:sz w:val="24"/>
                <w:szCs w:val="28"/>
              </w:rPr>
            </w:pPr>
            <w:r w:rsidRPr="00B32392">
              <w:rPr>
                <w:rFonts w:ascii="Times New Roman" w:eastAsia="Times New Roman" w:hAnsi="Times New Roman" w:cs="Times New Roman"/>
                <w:sz w:val="24"/>
                <w:szCs w:val="28"/>
              </w:rPr>
              <w:t>Альтернатива 1</w:t>
            </w:r>
          </w:p>
        </w:tc>
        <w:tc>
          <w:tcPr>
            <w:tcW w:w="3213" w:type="dxa"/>
            <w:tcBorders>
              <w:top w:val="single" w:sz="6" w:space="0" w:color="000000"/>
              <w:left w:val="single" w:sz="4" w:space="0" w:color="000000"/>
              <w:bottom w:val="single" w:sz="4" w:space="0" w:color="000000"/>
              <w:right w:val="single" w:sz="4" w:space="0" w:color="000000"/>
            </w:tcBorders>
          </w:tcPr>
          <w:p w:rsidR="00AF149D" w:rsidRPr="00B32392" w:rsidRDefault="000D4951" w:rsidP="000D4951">
            <w:pPr>
              <w:spacing w:after="0" w:line="240" w:lineRule="auto"/>
              <w:ind w:left="37" w:right="168"/>
              <w:jc w:val="both"/>
              <w:rPr>
                <w:rFonts w:ascii="Times New Roman" w:eastAsia="Times New Roman" w:hAnsi="Times New Roman" w:cs="Times New Roman"/>
                <w:sz w:val="24"/>
                <w:szCs w:val="28"/>
              </w:rPr>
            </w:pPr>
            <w:r w:rsidRPr="000D4951">
              <w:rPr>
                <w:rFonts w:ascii="Times New Roman" w:eastAsia="Times New Roman" w:hAnsi="Times New Roman" w:cs="Times New Roman"/>
                <w:sz w:val="24"/>
                <w:szCs w:val="28"/>
              </w:rPr>
              <w:t xml:space="preserve">Вигоди для громадян </w:t>
            </w:r>
            <w:r>
              <w:rPr>
                <w:rFonts w:ascii="Times New Roman" w:eastAsia="Times New Roman" w:hAnsi="Times New Roman" w:cs="Times New Roman"/>
                <w:sz w:val="24"/>
                <w:szCs w:val="28"/>
              </w:rPr>
              <w:t>–</w:t>
            </w:r>
            <w:r w:rsidRPr="000D4951">
              <w:rPr>
                <w:rFonts w:ascii="Times New Roman" w:eastAsia="Times New Roman" w:hAnsi="Times New Roman" w:cs="Times New Roman"/>
                <w:sz w:val="24"/>
                <w:szCs w:val="28"/>
              </w:rPr>
              <w:t xml:space="preserve"> відсутні або несуттєві. Доступ до результатів досліджень, профінансованих з державного бюджету, залишається обмеженим.</w:t>
            </w:r>
          </w:p>
        </w:tc>
        <w:tc>
          <w:tcPr>
            <w:tcW w:w="3213" w:type="dxa"/>
            <w:tcBorders>
              <w:top w:val="single" w:sz="6" w:space="0" w:color="000000"/>
              <w:left w:val="single" w:sz="4" w:space="0" w:color="000000"/>
              <w:bottom w:val="single" w:sz="4" w:space="0" w:color="000000"/>
              <w:right w:val="single" w:sz="4" w:space="0" w:color="000000"/>
            </w:tcBorders>
          </w:tcPr>
          <w:p w:rsidR="00AF149D" w:rsidRPr="00B32392" w:rsidRDefault="000D4951" w:rsidP="000D4951">
            <w:pPr>
              <w:spacing w:after="0" w:line="240" w:lineRule="auto"/>
              <w:ind w:left="37" w:right="168"/>
              <w:jc w:val="both"/>
              <w:rPr>
                <w:rFonts w:ascii="Times New Roman" w:eastAsia="Times New Roman" w:hAnsi="Times New Roman" w:cs="Times New Roman"/>
                <w:sz w:val="24"/>
                <w:szCs w:val="28"/>
              </w:rPr>
            </w:pPr>
            <w:r w:rsidRPr="000D4951">
              <w:rPr>
                <w:rFonts w:ascii="Times New Roman" w:eastAsia="Times New Roman" w:hAnsi="Times New Roman" w:cs="Times New Roman"/>
                <w:sz w:val="24"/>
                <w:szCs w:val="28"/>
              </w:rPr>
              <w:t xml:space="preserve">Громадяни не мають змоги користуватися результатами публічно фінансованих наукових досліджень; ускладнений громадський контроль за використанням бюджетних коштів; відсутній рівний доступ до наукової інформації для самоосвіти, підприємницької діяльності, журналістики, </w:t>
            </w:r>
            <w:proofErr w:type="spellStart"/>
            <w:r w:rsidRPr="000D4951">
              <w:rPr>
                <w:rFonts w:ascii="Times New Roman" w:eastAsia="Times New Roman" w:hAnsi="Times New Roman" w:cs="Times New Roman"/>
                <w:sz w:val="24"/>
                <w:szCs w:val="28"/>
              </w:rPr>
              <w:t>адвокації</w:t>
            </w:r>
            <w:proofErr w:type="spellEnd"/>
            <w:r w:rsidRPr="000D4951">
              <w:rPr>
                <w:rFonts w:ascii="Times New Roman" w:eastAsia="Times New Roman" w:hAnsi="Times New Roman" w:cs="Times New Roman"/>
                <w:sz w:val="24"/>
                <w:szCs w:val="28"/>
              </w:rPr>
              <w:t xml:space="preserve"> тощо.</w:t>
            </w:r>
          </w:p>
        </w:tc>
      </w:tr>
      <w:tr w:rsidR="00D747E3" w:rsidRPr="00B32392">
        <w:tc>
          <w:tcPr>
            <w:tcW w:w="3213" w:type="dxa"/>
            <w:tcBorders>
              <w:top w:val="single" w:sz="4" w:space="0" w:color="000000"/>
              <w:left w:val="single" w:sz="4" w:space="0" w:color="000000"/>
              <w:bottom w:val="single" w:sz="4" w:space="0" w:color="000000"/>
              <w:right w:val="single" w:sz="4" w:space="0" w:color="000000"/>
            </w:tcBorders>
          </w:tcPr>
          <w:p w:rsidR="00AF149D" w:rsidRPr="00B32392" w:rsidRDefault="00716C69" w:rsidP="00D747E3">
            <w:pPr>
              <w:spacing w:after="0" w:line="240" w:lineRule="auto"/>
              <w:rPr>
                <w:rFonts w:ascii="Times New Roman" w:eastAsia="Times New Roman" w:hAnsi="Times New Roman" w:cs="Times New Roman"/>
                <w:sz w:val="24"/>
                <w:szCs w:val="28"/>
              </w:rPr>
            </w:pPr>
            <w:r w:rsidRPr="00B32392">
              <w:rPr>
                <w:rFonts w:ascii="Times New Roman" w:eastAsia="Times New Roman" w:hAnsi="Times New Roman" w:cs="Times New Roman"/>
                <w:sz w:val="24"/>
                <w:szCs w:val="28"/>
              </w:rPr>
              <w:t>Альтернатива 2</w:t>
            </w:r>
          </w:p>
        </w:tc>
        <w:tc>
          <w:tcPr>
            <w:tcW w:w="3213" w:type="dxa"/>
            <w:tcBorders>
              <w:top w:val="single" w:sz="4" w:space="0" w:color="000000"/>
              <w:left w:val="single" w:sz="4" w:space="0" w:color="000000"/>
              <w:bottom w:val="single" w:sz="4" w:space="0" w:color="000000"/>
              <w:right w:val="single" w:sz="4" w:space="0" w:color="000000"/>
            </w:tcBorders>
          </w:tcPr>
          <w:p w:rsidR="00AF149D" w:rsidRPr="00B32392" w:rsidRDefault="000D4951" w:rsidP="000D4951">
            <w:pPr>
              <w:spacing w:after="0" w:line="240" w:lineRule="auto"/>
              <w:ind w:left="37" w:right="168"/>
              <w:jc w:val="both"/>
              <w:rPr>
                <w:rFonts w:ascii="Times New Roman" w:eastAsia="Times New Roman" w:hAnsi="Times New Roman" w:cs="Times New Roman"/>
                <w:sz w:val="24"/>
                <w:szCs w:val="28"/>
              </w:rPr>
            </w:pPr>
            <w:r w:rsidRPr="000D4951">
              <w:rPr>
                <w:rFonts w:ascii="Times New Roman" w:eastAsia="Times New Roman" w:hAnsi="Times New Roman" w:cs="Times New Roman"/>
                <w:sz w:val="24"/>
                <w:szCs w:val="28"/>
              </w:rPr>
              <w:t>Громадяни отримують вільний та безоплатний доступ до достовірної, науково обґрунтованої інформації; сприяння розвитку громадянської науки</w:t>
            </w:r>
            <w:r>
              <w:rPr>
                <w:rFonts w:ascii="Times New Roman" w:eastAsia="Times New Roman" w:hAnsi="Times New Roman" w:cs="Times New Roman"/>
                <w:sz w:val="24"/>
                <w:szCs w:val="28"/>
              </w:rPr>
              <w:t>, як одного з елементів відкритої науки</w:t>
            </w:r>
            <w:r w:rsidRPr="000D4951">
              <w:rPr>
                <w:rFonts w:ascii="Times New Roman" w:eastAsia="Times New Roman" w:hAnsi="Times New Roman" w:cs="Times New Roman"/>
                <w:sz w:val="24"/>
                <w:szCs w:val="28"/>
              </w:rPr>
              <w:t>, підвищення прозорості державної політики, розширення можливостей для освіти, професійного розвитку, інноваційної діяльності.</w:t>
            </w:r>
            <w:r w:rsidR="00B60B99" w:rsidRPr="00B32392">
              <w:rPr>
                <w:rFonts w:ascii="Times New Roman" w:eastAsia="Times New Roman" w:hAnsi="Times New Roman" w:cs="Times New Roman"/>
                <w:sz w:val="24"/>
                <w:szCs w:val="28"/>
              </w:rPr>
              <w:t>.</w:t>
            </w:r>
          </w:p>
        </w:tc>
        <w:tc>
          <w:tcPr>
            <w:tcW w:w="3213" w:type="dxa"/>
            <w:tcBorders>
              <w:top w:val="single" w:sz="4" w:space="0" w:color="000000"/>
              <w:left w:val="single" w:sz="4" w:space="0" w:color="000000"/>
              <w:bottom w:val="single" w:sz="4" w:space="0" w:color="000000"/>
              <w:right w:val="single" w:sz="4" w:space="0" w:color="000000"/>
            </w:tcBorders>
          </w:tcPr>
          <w:p w:rsidR="00AF149D" w:rsidRPr="00B32392" w:rsidRDefault="000D4951" w:rsidP="000D4951">
            <w:pPr>
              <w:spacing w:after="0" w:line="240" w:lineRule="auto"/>
              <w:ind w:left="37" w:right="168"/>
              <w:jc w:val="both"/>
              <w:rPr>
                <w:rFonts w:ascii="Times New Roman" w:eastAsia="Times New Roman" w:hAnsi="Times New Roman" w:cs="Times New Roman"/>
                <w:sz w:val="24"/>
                <w:szCs w:val="28"/>
              </w:rPr>
            </w:pPr>
            <w:r w:rsidRPr="000D4951">
              <w:rPr>
                <w:rFonts w:ascii="Times New Roman" w:eastAsia="Times New Roman" w:hAnsi="Times New Roman" w:cs="Times New Roman"/>
                <w:sz w:val="24"/>
                <w:szCs w:val="28"/>
              </w:rPr>
              <w:t xml:space="preserve">Витрати відсутні. Для громадян реалізація положень закону не передбачає фінансових </w:t>
            </w:r>
            <w:r>
              <w:rPr>
                <w:rFonts w:ascii="Times New Roman" w:eastAsia="Times New Roman" w:hAnsi="Times New Roman" w:cs="Times New Roman"/>
                <w:sz w:val="24"/>
                <w:szCs w:val="28"/>
              </w:rPr>
              <w:t>або</w:t>
            </w:r>
            <w:r w:rsidRPr="000D4951">
              <w:rPr>
                <w:rFonts w:ascii="Times New Roman" w:eastAsia="Times New Roman" w:hAnsi="Times New Roman" w:cs="Times New Roman"/>
                <w:sz w:val="24"/>
                <w:szCs w:val="28"/>
              </w:rPr>
              <w:t xml:space="preserve"> адміністративних зобов’язань. Уся інформація надається безоплатно, без потреби у додаткових інструментах або витратах.</w:t>
            </w:r>
          </w:p>
        </w:tc>
      </w:tr>
    </w:tbl>
    <w:p w:rsidR="00C60A7D" w:rsidRPr="00B32392" w:rsidRDefault="00C60A7D" w:rsidP="00D747E3">
      <w:pPr>
        <w:shd w:val="clear" w:color="auto" w:fill="FFFFFF"/>
        <w:spacing w:after="0" w:line="240" w:lineRule="auto"/>
        <w:ind w:firstLine="709"/>
        <w:jc w:val="both"/>
        <w:rPr>
          <w:rFonts w:ascii="Times New Roman" w:eastAsia="Times New Roman" w:hAnsi="Times New Roman" w:cs="Times New Roman"/>
          <w:sz w:val="28"/>
          <w:szCs w:val="28"/>
        </w:rPr>
      </w:pPr>
    </w:p>
    <w:p w:rsidR="00AF149D" w:rsidRDefault="00716C69" w:rsidP="00D747E3">
      <w:pPr>
        <w:shd w:val="clear" w:color="auto" w:fill="FFFFFF"/>
        <w:spacing w:after="0" w:line="240" w:lineRule="auto"/>
        <w:ind w:firstLine="709"/>
        <w:jc w:val="both"/>
        <w:rPr>
          <w:rFonts w:ascii="Times New Roman" w:eastAsia="Times New Roman" w:hAnsi="Times New Roman" w:cs="Times New Roman"/>
          <w:sz w:val="28"/>
          <w:szCs w:val="28"/>
        </w:rPr>
      </w:pPr>
      <w:bookmarkStart w:id="0" w:name="bookmark=id.s5zdsn9om3vf" w:colFirst="0" w:colLast="0"/>
      <w:bookmarkEnd w:id="0"/>
      <w:r w:rsidRPr="00B32392">
        <w:rPr>
          <w:rFonts w:ascii="Times New Roman" w:eastAsia="Times New Roman" w:hAnsi="Times New Roman" w:cs="Times New Roman"/>
          <w:sz w:val="28"/>
          <w:szCs w:val="28"/>
        </w:rPr>
        <w:t>Оцінка впливу на сферу інтересів суб’єктів господарювання</w:t>
      </w:r>
    </w:p>
    <w:p w:rsidR="009725AC" w:rsidRPr="00B32392" w:rsidRDefault="009725AC" w:rsidP="00D747E3">
      <w:pPr>
        <w:shd w:val="clear" w:color="auto" w:fill="FFFFFF"/>
        <w:spacing w:after="0" w:line="240" w:lineRule="auto"/>
        <w:ind w:firstLine="709"/>
        <w:jc w:val="both"/>
        <w:rPr>
          <w:rFonts w:ascii="Times New Roman" w:eastAsia="Times New Roman" w:hAnsi="Times New Roman" w:cs="Times New Roman"/>
          <w:sz w:val="28"/>
          <w:szCs w:val="28"/>
        </w:rPr>
      </w:pPr>
    </w:p>
    <w:p w:rsidR="00E6399D" w:rsidRDefault="00E6399D" w:rsidP="002D7622">
      <w:pPr>
        <w:shd w:val="clear" w:color="auto" w:fill="FFFFFF"/>
        <w:spacing w:after="0" w:line="240" w:lineRule="auto"/>
        <w:ind w:firstLine="709"/>
        <w:jc w:val="both"/>
        <w:rPr>
          <w:rFonts w:ascii="Times New Roman" w:eastAsia="Times New Roman" w:hAnsi="Times New Roman" w:cs="Times New Roman"/>
          <w:sz w:val="28"/>
          <w:szCs w:val="28"/>
        </w:rPr>
      </w:pPr>
      <w:proofErr w:type="spellStart"/>
      <w:r w:rsidRPr="00E6399D">
        <w:rPr>
          <w:rFonts w:ascii="Times New Roman" w:eastAsia="Times New Roman" w:hAnsi="Times New Roman" w:cs="Times New Roman"/>
          <w:sz w:val="28"/>
          <w:szCs w:val="28"/>
        </w:rPr>
        <w:t>Проєкт</w:t>
      </w:r>
      <w:proofErr w:type="spellEnd"/>
      <w:r w:rsidRPr="00E6399D">
        <w:rPr>
          <w:rFonts w:ascii="Times New Roman" w:eastAsia="Times New Roman" w:hAnsi="Times New Roman" w:cs="Times New Roman"/>
          <w:sz w:val="28"/>
          <w:szCs w:val="28"/>
        </w:rPr>
        <w:t xml:space="preserve"> Закону України «Про внесення змін до деяких законів України щодо реалізації принципів відкритої науки» не встановлює спеціальних регуляторних вимог для суб’єктів господарювання, однак впливає на всі категорії суб’єктів господарювання у частині відкриття доступу до результатів публічно фінансованих досліджень.</w:t>
      </w:r>
    </w:p>
    <w:p w:rsidR="004072B6" w:rsidRDefault="002D7622" w:rsidP="002D7622">
      <w:pPr>
        <w:shd w:val="clear" w:color="auto" w:fill="FFFFFF"/>
        <w:spacing w:after="0" w:line="240" w:lineRule="auto"/>
        <w:ind w:firstLine="709"/>
        <w:jc w:val="both"/>
        <w:rPr>
          <w:rFonts w:ascii="Times New Roman" w:eastAsia="Times New Roman" w:hAnsi="Times New Roman" w:cs="Times New Roman"/>
          <w:sz w:val="28"/>
          <w:szCs w:val="28"/>
        </w:rPr>
      </w:pPr>
      <w:r w:rsidRPr="00B834BE">
        <w:rPr>
          <w:rFonts w:ascii="Times New Roman" w:eastAsia="Times New Roman" w:hAnsi="Times New Roman" w:cs="Times New Roman"/>
          <w:sz w:val="28"/>
          <w:szCs w:val="28"/>
        </w:rPr>
        <w:t xml:space="preserve">У ролі суб’єктів господарювання, на яких створює вплив </w:t>
      </w:r>
      <w:proofErr w:type="spellStart"/>
      <w:r w:rsidRPr="00B834BE">
        <w:rPr>
          <w:rFonts w:ascii="Times New Roman" w:eastAsia="Times New Roman" w:hAnsi="Times New Roman" w:cs="Times New Roman"/>
          <w:sz w:val="28"/>
          <w:szCs w:val="28"/>
        </w:rPr>
        <w:t>проєкт</w:t>
      </w:r>
      <w:proofErr w:type="spellEnd"/>
      <w:r w:rsidRPr="00B834BE">
        <w:rPr>
          <w:rFonts w:ascii="Times New Roman" w:eastAsia="Times New Roman" w:hAnsi="Times New Roman" w:cs="Times New Roman"/>
          <w:sz w:val="28"/>
          <w:szCs w:val="28"/>
        </w:rPr>
        <w:t xml:space="preserve"> </w:t>
      </w:r>
      <w:proofErr w:type="spellStart"/>
      <w:r w:rsidRPr="00B834BE">
        <w:rPr>
          <w:rFonts w:ascii="Times New Roman" w:eastAsia="Times New Roman" w:hAnsi="Times New Roman" w:cs="Times New Roman"/>
          <w:sz w:val="28"/>
          <w:szCs w:val="28"/>
        </w:rPr>
        <w:t>акта</w:t>
      </w:r>
      <w:proofErr w:type="spellEnd"/>
      <w:r w:rsidRPr="00B834BE">
        <w:rPr>
          <w:rFonts w:ascii="Times New Roman" w:eastAsia="Times New Roman" w:hAnsi="Times New Roman" w:cs="Times New Roman"/>
          <w:sz w:val="28"/>
          <w:szCs w:val="28"/>
        </w:rPr>
        <w:t xml:space="preserve">, виступають </w:t>
      </w:r>
      <w:r w:rsidR="00B834BE" w:rsidRPr="00B834BE">
        <w:rPr>
          <w:rFonts w:ascii="Times New Roman" w:eastAsia="Times New Roman" w:hAnsi="Times New Roman" w:cs="Times New Roman"/>
          <w:sz w:val="28"/>
          <w:szCs w:val="28"/>
        </w:rPr>
        <w:t>616</w:t>
      </w:r>
      <w:r w:rsidR="00D50D05" w:rsidRPr="00B834BE">
        <w:rPr>
          <w:rFonts w:ascii="Times New Roman" w:eastAsia="Times New Roman" w:hAnsi="Times New Roman" w:cs="Times New Roman"/>
          <w:sz w:val="28"/>
          <w:szCs w:val="28"/>
        </w:rPr>
        <w:t xml:space="preserve"> </w:t>
      </w:r>
      <w:r w:rsidR="00B834BE" w:rsidRPr="00B834BE">
        <w:rPr>
          <w:rFonts w:ascii="Times New Roman" w:eastAsia="Times New Roman" w:hAnsi="Times New Roman" w:cs="Times New Roman"/>
          <w:sz w:val="28"/>
          <w:szCs w:val="28"/>
        </w:rPr>
        <w:t>організацій, які здійснювали наукові дослідження і розробки</w:t>
      </w:r>
      <w:r w:rsidRPr="00B834BE">
        <w:rPr>
          <w:rFonts w:ascii="Times New Roman" w:hAnsi="Times New Roman" w:cs="Times New Roman"/>
          <w:sz w:val="28"/>
        </w:rPr>
        <w:t>,</w:t>
      </w:r>
      <w:r w:rsidR="000A30FA">
        <w:rPr>
          <w:rFonts w:ascii="Times New Roman" w:hAnsi="Times New Roman" w:cs="Times New Roman"/>
          <w:sz w:val="28"/>
        </w:rPr>
        <w:t xml:space="preserve"> у тому числі 143 організації підприємницького сектору, 344 – державного сектору, 129 – сектору вищої освіти</w:t>
      </w:r>
      <w:r w:rsidRPr="00B834BE">
        <w:rPr>
          <w:rFonts w:ascii="Times New Roman" w:hAnsi="Times New Roman" w:cs="Times New Roman"/>
          <w:sz w:val="28"/>
        </w:rPr>
        <w:t xml:space="preserve"> </w:t>
      </w:r>
      <w:r w:rsidRPr="00B834BE">
        <w:rPr>
          <w:rFonts w:ascii="Times New Roman" w:eastAsia="Times New Roman" w:hAnsi="Times New Roman" w:cs="Times New Roman"/>
          <w:sz w:val="28"/>
          <w:szCs w:val="28"/>
        </w:rPr>
        <w:t xml:space="preserve">(за даними </w:t>
      </w:r>
      <w:proofErr w:type="spellStart"/>
      <w:r w:rsidR="00B834BE" w:rsidRPr="00B834BE">
        <w:rPr>
          <w:rFonts w:ascii="Times New Roman" w:eastAsia="Times New Roman" w:hAnsi="Times New Roman" w:cs="Times New Roman"/>
          <w:sz w:val="28"/>
          <w:szCs w:val="28"/>
        </w:rPr>
        <w:t>Держстату</w:t>
      </w:r>
      <w:proofErr w:type="spellEnd"/>
      <w:r w:rsidRPr="00B834BE">
        <w:rPr>
          <w:rFonts w:ascii="Times New Roman" w:eastAsia="Times New Roman" w:hAnsi="Times New Roman" w:cs="Times New Roman"/>
          <w:sz w:val="28"/>
          <w:szCs w:val="28"/>
        </w:rPr>
        <w:t xml:space="preserve"> станом на </w:t>
      </w:r>
      <w:r w:rsidR="00B834BE" w:rsidRPr="00B834BE">
        <w:rPr>
          <w:rFonts w:ascii="Times New Roman" w:eastAsia="Times New Roman" w:hAnsi="Times New Roman" w:cs="Times New Roman"/>
          <w:sz w:val="28"/>
          <w:szCs w:val="28"/>
        </w:rPr>
        <w:t>серпень</w:t>
      </w:r>
      <w:r w:rsidRPr="00B834BE">
        <w:rPr>
          <w:rFonts w:ascii="Times New Roman" w:eastAsia="Times New Roman" w:hAnsi="Times New Roman" w:cs="Times New Roman"/>
          <w:sz w:val="28"/>
          <w:szCs w:val="28"/>
        </w:rPr>
        <w:t xml:space="preserve"> 2025).</w:t>
      </w:r>
    </w:p>
    <w:p w:rsidR="004072B6" w:rsidRDefault="004072B6" w:rsidP="002D7622">
      <w:pPr>
        <w:shd w:val="clear" w:color="auto" w:fill="FFFFFF"/>
        <w:spacing w:after="0" w:line="240" w:lineRule="auto"/>
        <w:ind w:firstLine="709"/>
        <w:jc w:val="both"/>
        <w:rPr>
          <w:rFonts w:ascii="Times New Roman" w:eastAsia="Times New Roman" w:hAnsi="Times New Roman" w:cs="Times New Roman"/>
          <w:sz w:val="28"/>
          <w:szCs w:val="28"/>
        </w:rPr>
      </w:pPr>
      <w:r w:rsidRPr="004072B6">
        <w:rPr>
          <w:rFonts w:ascii="Times New Roman" w:eastAsia="Times New Roman" w:hAnsi="Times New Roman" w:cs="Times New Roman"/>
          <w:sz w:val="28"/>
          <w:szCs w:val="28"/>
        </w:rPr>
        <w:t>Оцінка впливу здійснюється відносно ЗВО державної, комунальної та приватної форми власності та наукових установ державної та приватної форми власності за критеріями, визначеними у Господарському кодексі України.</w:t>
      </w:r>
    </w:p>
    <w:p w:rsidR="004072B6" w:rsidRDefault="004072B6" w:rsidP="004072B6">
      <w:pPr>
        <w:shd w:val="clear" w:color="auto" w:fill="FFFFFF"/>
        <w:spacing w:after="0" w:line="240" w:lineRule="auto"/>
        <w:ind w:firstLine="709"/>
        <w:jc w:val="both"/>
        <w:rPr>
          <w:rFonts w:ascii="Times New Roman" w:eastAsia="Times New Roman" w:hAnsi="Times New Roman" w:cs="Times New Roman"/>
          <w:sz w:val="28"/>
          <w:szCs w:val="28"/>
        </w:rPr>
      </w:pPr>
      <w:r w:rsidRPr="004072B6">
        <w:rPr>
          <w:rFonts w:ascii="Times New Roman" w:eastAsia="Times New Roman" w:hAnsi="Times New Roman" w:cs="Times New Roman"/>
          <w:sz w:val="28"/>
          <w:szCs w:val="28"/>
        </w:rPr>
        <w:t xml:space="preserve">Отже, </w:t>
      </w:r>
      <w:r>
        <w:rPr>
          <w:rFonts w:ascii="Times New Roman" w:eastAsia="Times New Roman" w:hAnsi="Times New Roman" w:cs="Times New Roman"/>
          <w:sz w:val="28"/>
          <w:szCs w:val="28"/>
        </w:rPr>
        <w:t xml:space="preserve">враховуючи, що за даними </w:t>
      </w:r>
      <w:proofErr w:type="spellStart"/>
      <w:r>
        <w:rPr>
          <w:rFonts w:ascii="Times New Roman" w:eastAsia="Times New Roman" w:hAnsi="Times New Roman" w:cs="Times New Roman"/>
          <w:sz w:val="28"/>
          <w:szCs w:val="28"/>
        </w:rPr>
        <w:t>Держстату</w:t>
      </w:r>
      <w:proofErr w:type="spellEnd"/>
      <w:r>
        <w:rPr>
          <w:rFonts w:ascii="Times New Roman" w:eastAsia="Times New Roman" w:hAnsi="Times New Roman" w:cs="Times New Roman"/>
          <w:sz w:val="28"/>
          <w:szCs w:val="28"/>
        </w:rPr>
        <w:t xml:space="preserve"> у 2024 році к</w:t>
      </w:r>
      <w:r w:rsidRPr="004072B6">
        <w:rPr>
          <w:rFonts w:ascii="Times New Roman" w:eastAsia="Times New Roman" w:hAnsi="Times New Roman" w:cs="Times New Roman"/>
          <w:sz w:val="28"/>
          <w:szCs w:val="28"/>
        </w:rPr>
        <w:t>ількість дослідників, задіяних у виконанні наукових досліджень і розробок</w:t>
      </w:r>
      <w:r>
        <w:rPr>
          <w:rFonts w:ascii="Times New Roman" w:eastAsia="Times New Roman" w:hAnsi="Times New Roman" w:cs="Times New Roman"/>
          <w:sz w:val="28"/>
          <w:szCs w:val="28"/>
        </w:rPr>
        <w:t xml:space="preserve">, </w:t>
      </w:r>
      <w:r w:rsidRPr="004072B6">
        <w:rPr>
          <w:rFonts w:ascii="Times New Roman" w:eastAsia="Times New Roman" w:hAnsi="Times New Roman" w:cs="Times New Roman"/>
          <w:i/>
          <w:sz w:val="28"/>
          <w:szCs w:val="28"/>
        </w:rPr>
        <w:t>у підприємницькому секторі</w:t>
      </w:r>
      <w:r>
        <w:rPr>
          <w:rFonts w:ascii="Times New Roman" w:eastAsia="Times New Roman" w:hAnsi="Times New Roman" w:cs="Times New Roman"/>
          <w:sz w:val="28"/>
          <w:szCs w:val="28"/>
        </w:rPr>
        <w:t xml:space="preserve"> складала 10488 осіб, що в середньому за сектором дорівнює 74 працівникам на організацію і дозволяє їх віднести до середніх суб’єктів господарської діяльності; </w:t>
      </w:r>
      <w:r w:rsidRPr="004072B6">
        <w:rPr>
          <w:rFonts w:ascii="Times New Roman" w:eastAsia="Times New Roman" w:hAnsi="Times New Roman" w:cs="Times New Roman"/>
          <w:i/>
          <w:sz w:val="28"/>
          <w:szCs w:val="28"/>
        </w:rPr>
        <w:t>у державному секторі</w:t>
      </w:r>
      <w:r>
        <w:rPr>
          <w:rFonts w:ascii="Times New Roman" w:eastAsia="Times New Roman" w:hAnsi="Times New Roman" w:cs="Times New Roman"/>
          <w:sz w:val="28"/>
          <w:szCs w:val="28"/>
        </w:rPr>
        <w:t xml:space="preserve"> </w:t>
      </w:r>
      <w:r w:rsidRPr="004072B6">
        <w:rPr>
          <w:rFonts w:ascii="Times New Roman" w:eastAsia="Times New Roman" w:hAnsi="Times New Roman" w:cs="Times New Roman"/>
          <w:sz w:val="28"/>
          <w:szCs w:val="28"/>
        </w:rPr>
        <w:t xml:space="preserve">кількість дослідників, задіяних у виконанні наукових досліджень і розробок, складала </w:t>
      </w:r>
      <w:r>
        <w:rPr>
          <w:rFonts w:ascii="Times New Roman" w:eastAsia="Times New Roman" w:hAnsi="Times New Roman" w:cs="Times New Roman"/>
          <w:sz w:val="28"/>
          <w:szCs w:val="28"/>
        </w:rPr>
        <w:t>23134</w:t>
      </w:r>
      <w:r w:rsidRPr="004072B6">
        <w:rPr>
          <w:rFonts w:ascii="Times New Roman" w:eastAsia="Times New Roman" w:hAnsi="Times New Roman" w:cs="Times New Roman"/>
          <w:sz w:val="28"/>
          <w:szCs w:val="28"/>
        </w:rPr>
        <w:t xml:space="preserve"> осіб, що в середньому за сектором дорівнює </w:t>
      </w:r>
      <w:r>
        <w:rPr>
          <w:rFonts w:ascii="Times New Roman" w:eastAsia="Times New Roman" w:hAnsi="Times New Roman" w:cs="Times New Roman"/>
          <w:sz w:val="28"/>
          <w:szCs w:val="28"/>
        </w:rPr>
        <w:t>63</w:t>
      </w:r>
      <w:r w:rsidRPr="004072B6">
        <w:rPr>
          <w:rFonts w:ascii="Times New Roman" w:eastAsia="Times New Roman" w:hAnsi="Times New Roman" w:cs="Times New Roman"/>
          <w:sz w:val="28"/>
          <w:szCs w:val="28"/>
        </w:rPr>
        <w:t xml:space="preserve"> працівникам на організацію і дозволяє їх віднести до середніх суб’єктів господарської діяльності</w:t>
      </w:r>
      <w:r>
        <w:rPr>
          <w:rFonts w:ascii="Times New Roman" w:eastAsia="Times New Roman" w:hAnsi="Times New Roman" w:cs="Times New Roman"/>
          <w:sz w:val="28"/>
          <w:szCs w:val="28"/>
        </w:rPr>
        <w:t xml:space="preserve">; </w:t>
      </w:r>
      <w:r w:rsidRPr="007237D7">
        <w:rPr>
          <w:rFonts w:ascii="Times New Roman" w:eastAsia="Times New Roman" w:hAnsi="Times New Roman" w:cs="Times New Roman"/>
          <w:i/>
          <w:sz w:val="28"/>
          <w:szCs w:val="28"/>
        </w:rPr>
        <w:t>у секторі вищої освіти</w:t>
      </w:r>
      <w:r>
        <w:rPr>
          <w:rFonts w:ascii="Times New Roman" w:eastAsia="Times New Roman" w:hAnsi="Times New Roman" w:cs="Times New Roman"/>
          <w:sz w:val="28"/>
          <w:szCs w:val="28"/>
        </w:rPr>
        <w:t xml:space="preserve"> </w:t>
      </w:r>
      <w:r w:rsidRPr="004072B6">
        <w:rPr>
          <w:rFonts w:ascii="Times New Roman" w:eastAsia="Times New Roman" w:hAnsi="Times New Roman" w:cs="Times New Roman"/>
          <w:sz w:val="28"/>
          <w:szCs w:val="28"/>
        </w:rPr>
        <w:t xml:space="preserve">кількість дослідників, задіяних у виконанні наукових досліджень і розробок, складала </w:t>
      </w:r>
      <w:r w:rsidR="007237D7">
        <w:rPr>
          <w:rFonts w:ascii="Times New Roman" w:eastAsia="Times New Roman" w:hAnsi="Times New Roman" w:cs="Times New Roman"/>
          <w:sz w:val="28"/>
          <w:szCs w:val="28"/>
        </w:rPr>
        <w:t>9048</w:t>
      </w:r>
      <w:r w:rsidRPr="004072B6">
        <w:rPr>
          <w:rFonts w:ascii="Times New Roman" w:eastAsia="Times New Roman" w:hAnsi="Times New Roman" w:cs="Times New Roman"/>
          <w:sz w:val="28"/>
          <w:szCs w:val="28"/>
        </w:rPr>
        <w:t xml:space="preserve"> осіб, що в середньому за сектором дорівнює </w:t>
      </w:r>
      <w:r w:rsidR="007237D7">
        <w:rPr>
          <w:rFonts w:ascii="Times New Roman" w:eastAsia="Times New Roman" w:hAnsi="Times New Roman" w:cs="Times New Roman"/>
          <w:sz w:val="28"/>
          <w:szCs w:val="28"/>
        </w:rPr>
        <w:t>70</w:t>
      </w:r>
      <w:r w:rsidRPr="004072B6">
        <w:rPr>
          <w:rFonts w:ascii="Times New Roman" w:eastAsia="Times New Roman" w:hAnsi="Times New Roman" w:cs="Times New Roman"/>
          <w:sz w:val="28"/>
          <w:szCs w:val="28"/>
        </w:rPr>
        <w:t xml:space="preserve"> працівникам на організацію і дозволяє їх віднести до середніх суб’єктів господарської діяльності</w:t>
      </w:r>
      <w:r w:rsidR="007237D7">
        <w:rPr>
          <w:rFonts w:ascii="Times New Roman" w:eastAsia="Times New Roman" w:hAnsi="Times New Roman" w:cs="Times New Roman"/>
          <w:sz w:val="28"/>
          <w:szCs w:val="28"/>
        </w:rPr>
        <w:t>.</w:t>
      </w:r>
    </w:p>
    <w:p w:rsidR="004072B6" w:rsidRDefault="007237D7" w:rsidP="002D7622">
      <w:pPr>
        <w:shd w:val="clear" w:color="auto" w:fill="FFFFFF"/>
        <w:spacing w:after="0" w:line="240" w:lineRule="auto"/>
        <w:ind w:firstLine="709"/>
        <w:jc w:val="both"/>
        <w:rPr>
          <w:rFonts w:ascii="Times New Roman" w:eastAsia="Times New Roman" w:hAnsi="Times New Roman" w:cs="Times New Roman"/>
          <w:sz w:val="28"/>
          <w:szCs w:val="28"/>
        </w:rPr>
      </w:pPr>
      <w:r w:rsidRPr="007237D7">
        <w:rPr>
          <w:rFonts w:ascii="Times New Roman" w:eastAsia="Times New Roman" w:hAnsi="Times New Roman" w:cs="Times New Roman"/>
          <w:sz w:val="28"/>
          <w:szCs w:val="28"/>
        </w:rPr>
        <w:t xml:space="preserve">Оцінка впливу щодо потенційних </w:t>
      </w:r>
      <w:r>
        <w:rPr>
          <w:rFonts w:ascii="Times New Roman" w:eastAsia="Times New Roman" w:hAnsi="Times New Roman" w:cs="Times New Roman"/>
          <w:sz w:val="28"/>
          <w:szCs w:val="28"/>
        </w:rPr>
        <w:t>користувачів науково-технічної інформації</w:t>
      </w:r>
      <w:r w:rsidRPr="007237D7">
        <w:rPr>
          <w:rFonts w:ascii="Times New Roman" w:eastAsia="Times New Roman" w:hAnsi="Times New Roman" w:cs="Times New Roman"/>
          <w:sz w:val="28"/>
          <w:szCs w:val="28"/>
        </w:rPr>
        <w:t xml:space="preserve"> не здійснюватиметься, оскільки їх кількість спрогнозувати не вбачається можливим. Вимоги регулювання не є обов'язковими для виконання такими </w:t>
      </w:r>
      <w:r>
        <w:rPr>
          <w:rFonts w:ascii="Times New Roman" w:eastAsia="Times New Roman" w:hAnsi="Times New Roman" w:cs="Times New Roman"/>
          <w:sz w:val="28"/>
          <w:szCs w:val="28"/>
        </w:rPr>
        <w:t>користувачам</w:t>
      </w:r>
      <w:r w:rsidRPr="007237D7">
        <w:rPr>
          <w:rFonts w:ascii="Times New Roman" w:eastAsia="Times New Roman" w:hAnsi="Times New Roman" w:cs="Times New Roman"/>
          <w:sz w:val="28"/>
          <w:szCs w:val="28"/>
        </w:rPr>
        <w:t xml:space="preserve">, вони можуть добровільно приєднатися безпосередньо до діяльності наукових </w:t>
      </w:r>
      <w:r>
        <w:rPr>
          <w:rFonts w:ascii="Times New Roman" w:eastAsia="Times New Roman" w:hAnsi="Times New Roman" w:cs="Times New Roman"/>
          <w:sz w:val="28"/>
          <w:szCs w:val="28"/>
        </w:rPr>
        <w:t>установ, підприємств, організацій для виконання наукових досліджень на принципах громадянської науки</w:t>
      </w:r>
      <w:r w:rsidRPr="007237D7">
        <w:rPr>
          <w:rFonts w:ascii="Times New Roman" w:eastAsia="Times New Roman" w:hAnsi="Times New Roman" w:cs="Times New Roman"/>
          <w:sz w:val="28"/>
          <w:szCs w:val="28"/>
        </w:rPr>
        <w:t>.</w:t>
      </w:r>
    </w:p>
    <w:p w:rsidR="004072B6" w:rsidRDefault="004072B6" w:rsidP="002D7622">
      <w:pPr>
        <w:shd w:val="clear" w:color="auto" w:fill="FFFFFF"/>
        <w:spacing w:after="0" w:line="240" w:lineRule="auto"/>
        <w:ind w:firstLine="709"/>
        <w:jc w:val="both"/>
        <w:rPr>
          <w:rFonts w:ascii="Times New Roman" w:eastAsia="Times New Roman" w:hAnsi="Times New Roman" w:cs="Times New Roman"/>
          <w:sz w:val="28"/>
          <w:szCs w:val="28"/>
        </w:rPr>
      </w:pPr>
    </w:p>
    <w:tbl>
      <w:tblPr>
        <w:tblStyle w:val="a9"/>
        <w:tblW w:w="9638" w:type="dxa"/>
        <w:tblInd w:w="0" w:type="dxa"/>
        <w:tblLayout w:type="fixed"/>
        <w:tblLook w:val="0400" w:firstRow="0" w:lastRow="0" w:firstColumn="0" w:lastColumn="0" w:noHBand="0" w:noVBand="1"/>
      </w:tblPr>
      <w:tblGrid>
        <w:gridCol w:w="2434"/>
        <w:gridCol w:w="1459"/>
        <w:gridCol w:w="1459"/>
        <w:gridCol w:w="1365"/>
        <w:gridCol w:w="1363"/>
        <w:gridCol w:w="1558"/>
      </w:tblGrid>
      <w:tr w:rsidR="00D747E3" w:rsidRPr="00B32392" w:rsidTr="00AB1AF8">
        <w:tc>
          <w:tcPr>
            <w:tcW w:w="2434" w:type="dxa"/>
            <w:tcBorders>
              <w:top w:val="single" w:sz="6" w:space="0" w:color="000000"/>
              <w:left w:val="nil"/>
              <w:bottom w:val="single" w:sz="6" w:space="0" w:color="000000"/>
              <w:right w:val="single" w:sz="6" w:space="0" w:color="000000"/>
            </w:tcBorders>
          </w:tcPr>
          <w:p w:rsidR="00AF149D" w:rsidRPr="00B32392" w:rsidRDefault="00716C69" w:rsidP="00D747E3">
            <w:pPr>
              <w:spacing w:after="0" w:line="240" w:lineRule="auto"/>
              <w:jc w:val="center"/>
              <w:rPr>
                <w:rFonts w:ascii="Times New Roman" w:eastAsia="Times New Roman" w:hAnsi="Times New Roman" w:cs="Times New Roman"/>
                <w:sz w:val="24"/>
                <w:szCs w:val="28"/>
              </w:rPr>
            </w:pPr>
            <w:r w:rsidRPr="00B32392">
              <w:rPr>
                <w:rFonts w:ascii="Times New Roman" w:eastAsia="Times New Roman" w:hAnsi="Times New Roman" w:cs="Times New Roman"/>
                <w:sz w:val="24"/>
                <w:szCs w:val="28"/>
              </w:rPr>
              <w:t>Показник</w:t>
            </w:r>
          </w:p>
        </w:tc>
        <w:tc>
          <w:tcPr>
            <w:tcW w:w="1459" w:type="dxa"/>
            <w:tcBorders>
              <w:top w:val="single" w:sz="6" w:space="0" w:color="000000"/>
              <w:left w:val="single" w:sz="6" w:space="0" w:color="000000"/>
              <w:bottom w:val="single" w:sz="6" w:space="0" w:color="000000"/>
              <w:right w:val="single" w:sz="6" w:space="0" w:color="000000"/>
            </w:tcBorders>
          </w:tcPr>
          <w:p w:rsidR="00AF149D" w:rsidRPr="00B32392" w:rsidRDefault="00716C69" w:rsidP="00D747E3">
            <w:pPr>
              <w:spacing w:after="0" w:line="240" w:lineRule="auto"/>
              <w:jc w:val="center"/>
              <w:rPr>
                <w:rFonts w:ascii="Times New Roman" w:eastAsia="Times New Roman" w:hAnsi="Times New Roman" w:cs="Times New Roman"/>
                <w:sz w:val="24"/>
                <w:szCs w:val="28"/>
              </w:rPr>
            </w:pPr>
            <w:r w:rsidRPr="00B32392">
              <w:rPr>
                <w:rFonts w:ascii="Times New Roman" w:eastAsia="Times New Roman" w:hAnsi="Times New Roman" w:cs="Times New Roman"/>
                <w:sz w:val="24"/>
                <w:szCs w:val="28"/>
              </w:rPr>
              <w:t>Великі</w:t>
            </w:r>
          </w:p>
        </w:tc>
        <w:tc>
          <w:tcPr>
            <w:tcW w:w="1459" w:type="dxa"/>
            <w:tcBorders>
              <w:top w:val="single" w:sz="6" w:space="0" w:color="000000"/>
              <w:left w:val="single" w:sz="6" w:space="0" w:color="000000"/>
              <w:bottom w:val="single" w:sz="6" w:space="0" w:color="000000"/>
              <w:right w:val="single" w:sz="6" w:space="0" w:color="000000"/>
            </w:tcBorders>
          </w:tcPr>
          <w:p w:rsidR="00AF149D" w:rsidRPr="00B32392" w:rsidRDefault="00716C69" w:rsidP="00D747E3">
            <w:pPr>
              <w:spacing w:after="0" w:line="240" w:lineRule="auto"/>
              <w:jc w:val="center"/>
              <w:rPr>
                <w:rFonts w:ascii="Times New Roman" w:eastAsia="Times New Roman" w:hAnsi="Times New Roman" w:cs="Times New Roman"/>
                <w:sz w:val="24"/>
                <w:szCs w:val="28"/>
              </w:rPr>
            </w:pPr>
            <w:r w:rsidRPr="00B32392">
              <w:rPr>
                <w:rFonts w:ascii="Times New Roman" w:eastAsia="Times New Roman" w:hAnsi="Times New Roman" w:cs="Times New Roman"/>
                <w:sz w:val="24"/>
                <w:szCs w:val="28"/>
              </w:rPr>
              <w:t>Середні</w:t>
            </w:r>
          </w:p>
        </w:tc>
        <w:tc>
          <w:tcPr>
            <w:tcW w:w="1365" w:type="dxa"/>
            <w:tcBorders>
              <w:top w:val="single" w:sz="6" w:space="0" w:color="000000"/>
              <w:left w:val="single" w:sz="6" w:space="0" w:color="000000"/>
              <w:bottom w:val="single" w:sz="6" w:space="0" w:color="000000"/>
              <w:right w:val="single" w:sz="6" w:space="0" w:color="000000"/>
            </w:tcBorders>
          </w:tcPr>
          <w:p w:rsidR="00AF149D" w:rsidRPr="00B32392" w:rsidRDefault="00716C69" w:rsidP="00D747E3">
            <w:pPr>
              <w:spacing w:after="0" w:line="240" w:lineRule="auto"/>
              <w:jc w:val="center"/>
              <w:rPr>
                <w:rFonts w:ascii="Times New Roman" w:eastAsia="Times New Roman" w:hAnsi="Times New Roman" w:cs="Times New Roman"/>
                <w:sz w:val="24"/>
                <w:szCs w:val="28"/>
              </w:rPr>
            </w:pPr>
            <w:r w:rsidRPr="00B32392">
              <w:rPr>
                <w:rFonts w:ascii="Times New Roman" w:eastAsia="Times New Roman" w:hAnsi="Times New Roman" w:cs="Times New Roman"/>
                <w:sz w:val="24"/>
                <w:szCs w:val="28"/>
              </w:rPr>
              <w:t>Малі</w:t>
            </w:r>
          </w:p>
        </w:tc>
        <w:tc>
          <w:tcPr>
            <w:tcW w:w="1363" w:type="dxa"/>
            <w:tcBorders>
              <w:top w:val="single" w:sz="6" w:space="0" w:color="000000"/>
              <w:left w:val="single" w:sz="6" w:space="0" w:color="000000"/>
              <w:bottom w:val="single" w:sz="6" w:space="0" w:color="000000"/>
              <w:right w:val="single" w:sz="6" w:space="0" w:color="000000"/>
            </w:tcBorders>
          </w:tcPr>
          <w:p w:rsidR="00AF149D" w:rsidRPr="00B32392" w:rsidRDefault="00716C69" w:rsidP="00D747E3">
            <w:pPr>
              <w:spacing w:after="0" w:line="240" w:lineRule="auto"/>
              <w:jc w:val="center"/>
              <w:rPr>
                <w:rFonts w:ascii="Times New Roman" w:eastAsia="Times New Roman" w:hAnsi="Times New Roman" w:cs="Times New Roman"/>
                <w:sz w:val="24"/>
                <w:szCs w:val="28"/>
              </w:rPr>
            </w:pPr>
            <w:r w:rsidRPr="00B32392">
              <w:rPr>
                <w:rFonts w:ascii="Times New Roman" w:eastAsia="Times New Roman" w:hAnsi="Times New Roman" w:cs="Times New Roman"/>
                <w:sz w:val="24"/>
                <w:szCs w:val="28"/>
              </w:rPr>
              <w:t>Мікро</w:t>
            </w:r>
          </w:p>
        </w:tc>
        <w:tc>
          <w:tcPr>
            <w:tcW w:w="1558" w:type="dxa"/>
            <w:tcBorders>
              <w:top w:val="single" w:sz="6" w:space="0" w:color="000000"/>
              <w:left w:val="single" w:sz="6" w:space="0" w:color="000000"/>
              <w:bottom w:val="single" w:sz="6" w:space="0" w:color="000000"/>
              <w:right w:val="nil"/>
            </w:tcBorders>
          </w:tcPr>
          <w:p w:rsidR="00AF149D" w:rsidRPr="00B32392" w:rsidRDefault="00716C69" w:rsidP="00D747E3">
            <w:pPr>
              <w:spacing w:after="0" w:line="240" w:lineRule="auto"/>
              <w:jc w:val="center"/>
              <w:rPr>
                <w:rFonts w:ascii="Times New Roman" w:eastAsia="Times New Roman" w:hAnsi="Times New Roman" w:cs="Times New Roman"/>
                <w:sz w:val="24"/>
                <w:szCs w:val="28"/>
              </w:rPr>
            </w:pPr>
            <w:r w:rsidRPr="00B32392">
              <w:rPr>
                <w:rFonts w:ascii="Times New Roman" w:eastAsia="Times New Roman" w:hAnsi="Times New Roman" w:cs="Times New Roman"/>
                <w:sz w:val="24"/>
                <w:szCs w:val="28"/>
              </w:rPr>
              <w:t>Разом</w:t>
            </w:r>
          </w:p>
        </w:tc>
      </w:tr>
      <w:tr w:rsidR="00D747E3" w:rsidRPr="00B32392" w:rsidTr="00AB1AF8">
        <w:tc>
          <w:tcPr>
            <w:tcW w:w="2434" w:type="dxa"/>
            <w:tcBorders>
              <w:top w:val="single" w:sz="6" w:space="0" w:color="000000"/>
              <w:left w:val="single" w:sz="4" w:space="0" w:color="000000"/>
              <w:bottom w:val="single" w:sz="4" w:space="0" w:color="000000"/>
              <w:right w:val="single" w:sz="4" w:space="0" w:color="000000"/>
            </w:tcBorders>
          </w:tcPr>
          <w:p w:rsidR="00AF149D" w:rsidRPr="00B32392" w:rsidRDefault="00716C69" w:rsidP="00D747E3">
            <w:pPr>
              <w:spacing w:after="0" w:line="240" w:lineRule="auto"/>
              <w:rPr>
                <w:rFonts w:ascii="Times New Roman" w:eastAsia="Times New Roman" w:hAnsi="Times New Roman" w:cs="Times New Roman"/>
                <w:sz w:val="24"/>
                <w:szCs w:val="28"/>
              </w:rPr>
            </w:pPr>
            <w:r w:rsidRPr="00B32392">
              <w:rPr>
                <w:rFonts w:ascii="Times New Roman" w:eastAsia="Times New Roman" w:hAnsi="Times New Roman" w:cs="Times New Roman"/>
                <w:sz w:val="24"/>
                <w:szCs w:val="28"/>
              </w:rPr>
              <w:t>Кількість суб’єктів господарювання, що підпадають під дію регулювання, одиниць</w:t>
            </w:r>
          </w:p>
        </w:tc>
        <w:tc>
          <w:tcPr>
            <w:tcW w:w="1459" w:type="dxa"/>
            <w:tcBorders>
              <w:top w:val="single" w:sz="6" w:space="0" w:color="000000"/>
              <w:left w:val="single" w:sz="4" w:space="0" w:color="000000"/>
              <w:bottom w:val="single" w:sz="4" w:space="0" w:color="000000"/>
              <w:right w:val="single" w:sz="4" w:space="0" w:color="000000"/>
            </w:tcBorders>
          </w:tcPr>
          <w:p w:rsidR="00AF149D" w:rsidRPr="00B32392" w:rsidRDefault="007237D7" w:rsidP="00D747E3">
            <w:pPr>
              <w:spacing w:after="0" w:line="240" w:lineRule="auto"/>
              <w:jc w:val="center"/>
              <w:rPr>
                <w:rFonts w:ascii="Times New Roman" w:eastAsia="Times New Roman" w:hAnsi="Times New Roman" w:cs="Times New Roman"/>
                <w:sz w:val="24"/>
                <w:szCs w:val="28"/>
              </w:rPr>
            </w:pPr>
            <w:r>
              <w:rPr>
                <w:rFonts w:ascii="Times New Roman" w:eastAsia="Times New Roman" w:hAnsi="Times New Roman" w:cs="Times New Roman"/>
                <w:sz w:val="24"/>
                <w:szCs w:val="28"/>
              </w:rPr>
              <w:t>-</w:t>
            </w:r>
          </w:p>
        </w:tc>
        <w:tc>
          <w:tcPr>
            <w:tcW w:w="1459" w:type="dxa"/>
            <w:tcBorders>
              <w:top w:val="single" w:sz="6" w:space="0" w:color="000000"/>
              <w:left w:val="single" w:sz="4" w:space="0" w:color="000000"/>
              <w:bottom w:val="single" w:sz="4" w:space="0" w:color="000000"/>
              <w:right w:val="single" w:sz="4" w:space="0" w:color="000000"/>
            </w:tcBorders>
          </w:tcPr>
          <w:p w:rsidR="00AF149D" w:rsidRPr="00B32392" w:rsidRDefault="007237D7" w:rsidP="00D747E3">
            <w:pPr>
              <w:spacing w:after="0" w:line="240" w:lineRule="auto"/>
              <w:jc w:val="center"/>
              <w:rPr>
                <w:rFonts w:ascii="Times New Roman" w:eastAsia="Times New Roman" w:hAnsi="Times New Roman" w:cs="Times New Roman"/>
                <w:sz w:val="24"/>
                <w:szCs w:val="28"/>
              </w:rPr>
            </w:pPr>
            <w:r>
              <w:rPr>
                <w:rFonts w:ascii="Times New Roman" w:eastAsia="Times New Roman" w:hAnsi="Times New Roman" w:cs="Times New Roman"/>
                <w:sz w:val="24"/>
                <w:szCs w:val="28"/>
              </w:rPr>
              <w:t>616</w:t>
            </w:r>
          </w:p>
        </w:tc>
        <w:tc>
          <w:tcPr>
            <w:tcW w:w="1365" w:type="dxa"/>
            <w:tcBorders>
              <w:top w:val="single" w:sz="6" w:space="0" w:color="000000"/>
              <w:left w:val="single" w:sz="4" w:space="0" w:color="000000"/>
              <w:bottom w:val="single" w:sz="4" w:space="0" w:color="000000"/>
              <w:right w:val="single" w:sz="4" w:space="0" w:color="000000"/>
            </w:tcBorders>
          </w:tcPr>
          <w:p w:rsidR="002D7622" w:rsidRPr="00B32392" w:rsidRDefault="007237D7" w:rsidP="00D747E3">
            <w:pPr>
              <w:spacing w:after="0" w:line="240" w:lineRule="auto"/>
              <w:jc w:val="center"/>
              <w:rPr>
                <w:rFonts w:ascii="Times New Roman" w:eastAsia="Times New Roman" w:hAnsi="Times New Roman" w:cs="Times New Roman"/>
                <w:sz w:val="24"/>
                <w:szCs w:val="28"/>
              </w:rPr>
            </w:pPr>
            <w:r>
              <w:rPr>
                <w:rFonts w:ascii="Times New Roman" w:eastAsia="Times New Roman" w:hAnsi="Times New Roman" w:cs="Times New Roman"/>
                <w:sz w:val="24"/>
                <w:szCs w:val="28"/>
              </w:rPr>
              <w:t>-</w:t>
            </w:r>
          </w:p>
        </w:tc>
        <w:tc>
          <w:tcPr>
            <w:tcW w:w="1363" w:type="dxa"/>
            <w:tcBorders>
              <w:top w:val="single" w:sz="6" w:space="0" w:color="000000"/>
              <w:left w:val="single" w:sz="4" w:space="0" w:color="000000"/>
              <w:bottom w:val="single" w:sz="4" w:space="0" w:color="000000"/>
              <w:right w:val="single" w:sz="4" w:space="0" w:color="000000"/>
            </w:tcBorders>
          </w:tcPr>
          <w:p w:rsidR="00AF149D" w:rsidRPr="00B32392" w:rsidRDefault="002D7622" w:rsidP="00D747E3">
            <w:pPr>
              <w:spacing w:after="0" w:line="240" w:lineRule="auto"/>
              <w:jc w:val="center"/>
              <w:rPr>
                <w:rFonts w:ascii="Times New Roman" w:eastAsia="Times New Roman" w:hAnsi="Times New Roman" w:cs="Times New Roman"/>
                <w:sz w:val="24"/>
                <w:szCs w:val="28"/>
              </w:rPr>
            </w:pPr>
            <w:r w:rsidRPr="00B32392">
              <w:rPr>
                <w:rFonts w:ascii="Times New Roman" w:eastAsia="Times New Roman" w:hAnsi="Times New Roman" w:cs="Times New Roman"/>
                <w:sz w:val="24"/>
                <w:szCs w:val="28"/>
              </w:rPr>
              <w:t>-</w:t>
            </w:r>
          </w:p>
        </w:tc>
        <w:tc>
          <w:tcPr>
            <w:tcW w:w="1558" w:type="dxa"/>
            <w:tcBorders>
              <w:top w:val="single" w:sz="6" w:space="0" w:color="000000"/>
              <w:left w:val="single" w:sz="4" w:space="0" w:color="000000"/>
              <w:bottom w:val="single" w:sz="4" w:space="0" w:color="000000"/>
              <w:right w:val="single" w:sz="4" w:space="0" w:color="000000"/>
            </w:tcBorders>
          </w:tcPr>
          <w:p w:rsidR="00AF149D" w:rsidRPr="00B32392" w:rsidRDefault="007237D7" w:rsidP="00D747E3">
            <w:pPr>
              <w:spacing w:after="0" w:line="240" w:lineRule="auto"/>
              <w:jc w:val="center"/>
              <w:rPr>
                <w:rFonts w:ascii="Times New Roman" w:eastAsia="Times New Roman" w:hAnsi="Times New Roman" w:cs="Times New Roman"/>
                <w:sz w:val="24"/>
                <w:szCs w:val="28"/>
              </w:rPr>
            </w:pPr>
            <w:r>
              <w:rPr>
                <w:rFonts w:ascii="Times New Roman" w:eastAsia="Times New Roman" w:hAnsi="Times New Roman" w:cs="Times New Roman"/>
                <w:sz w:val="24"/>
                <w:szCs w:val="28"/>
              </w:rPr>
              <w:t>616</w:t>
            </w:r>
          </w:p>
        </w:tc>
      </w:tr>
      <w:tr w:rsidR="00D747E3" w:rsidRPr="00B32392" w:rsidTr="00AB1AF8">
        <w:tc>
          <w:tcPr>
            <w:tcW w:w="2434" w:type="dxa"/>
            <w:tcBorders>
              <w:top w:val="single" w:sz="4" w:space="0" w:color="000000"/>
              <w:left w:val="single" w:sz="4" w:space="0" w:color="000000"/>
              <w:bottom w:val="single" w:sz="4" w:space="0" w:color="000000"/>
              <w:right w:val="single" w:sz="4" w:space="0" w:color="000000"/>
            </w:tcBorders>
          </w:tcPr>
          <w:p w:rsidR="00AF149D" w:rsidRPr="00B32392" w:rsidRDefault="00716C69" w:rsidP="00D747E3">
            <w:pPr>
              <w:spacing w:after="0" w:line="240" w:lineRule="auto"/>
              <w:rPr>
                <w:rFonts w:ascii="Times New Roman" w:eastAsia="Times New Roman" w:hAnsi="Times New Roman" w:cs="Times New Roman"/>
                <w:sz w:val="24"/>
                <w:szCs w:val="28"/>
              </w:rPr>
            </w:pPr>
            <w:r w:rsidRPr="00B32392">
              <w:rPr>
                <w:rFonts w:ascii="Times New Roman" w:eastAsia="Times New Roman" w:hAnsi="Times New Roman" w:cs="Times New Roman"/>
                <w:sz w:val="24"/>
                <w:szCs w:val="28"/>
              </w:rPr>
              <w:t>Питома вага групи у загальній кількості, відсотків</w:t>
            </w:r>
          </w:p>
        </w:tc>
        <w:tc>
          <w:tcPr>
            <w:tcW w:w="1459" w:type="dxa"/>
            <w:tcBorders>
              <w:top w:val="single" w:sz="4" w:space="0" w:color="000000"/>
              <w:left w:val="single" w:sz="4" w:space="0" w:color="000000"/>
              <w:bottom w:val="single" w:sz="4" w:space="0" w:color="000000"/>
              <w:right w:val="single" w:sz="4" w:space="0" w:color="000000"/>
            </w:tcBorders>
          </w:tcPr>
          <w:p w:rsidR="00AF149D" w:rsidRPr="00B32392" w:rsidRDefault="007237D7" w:rsidP="00D747E3">
            <w:pPr>
              <w:spacing w:after="0" w:line="240" w:lineRule="auto"/>
              <w:jc w:val="center"/>
              <w:rPr>
                <w:rFonts w:ascii="Times New Roman" w:eastAsia="Times New Roman" w:hAnsi="Times New Roman" w:cs="Times New Roman"/>
                <w:sz w:val="24"/>
                <w:szCs w:val="28"/>
              </w:rPr>
            </w:pPr>
            <w:r>
              <w:rPr>
                <w:rFonts w:ascii="Times New Roman" w:eastAsia="Times New Roman" w:hAnsi="Times New Roman" w:cs="Times New Roman"/>
                <w:sz w:val="24"/>
                <w:szCs w:val="28"/>
              </w:rPr>
              <w:t>-</w:t>
            </w:r>
          </w:p>
        </w:tc>
        <w:tc>
          <w:tcPr>
            <w:tcW w:w="1459" w:type="dxa"/>
            <w:tcBorders>
              <w:top w:val="single" w:sz="4" w:space="0" w:color="000000"/>
              <w:left w:val="single" w:sz="4" w:space="0" w:color="000000"/>
              <w:bottom w:val="single" w:sz="4" w:space="0" w:color="000000"/>
              <w:right w:val="single" w:sz="4" w:space="0" w:color="000000"/>
            </w:tcBorders>
          </w:tcPr>
          <w:p w:rsidR="00AF149D" w:rsidRPr="00B32392" w:rsidRDefault="00B60B99" w:rsidP="007237D7">
            <w:pPr>
              <w:spacing w:after="0" w:line="240" w:lineRule="auto"/>
              <w:jc w:val="center"/>
              <w:rPr>
                <w:rFonts w:ascii="Times New Roman" w:eastAsia="Times New Roman" w:hAnsi="Times New Roman" w:cs="Times New Roman"/>
                <w:sz w:val="24"/>
                <w:szCs w:val="28"/>
              </w:rPr>
            </w:pPr>
            <w:r w:rsidRPr="00B32392">
              <w:rPr>
                <w:rFonts w:ascii="Times New Roman" w:eastAsia="Times New Roman" w:hAnsi="Times New Roman" w:cs="Times New Roman"/>
                <w:sz w:val="24"/>
                <w:szCs w:val="28"/>
              </w:rPr>
              <w:t>1</w:t>
            </w:r>
            <w:r w:rsidR="007237D7">
              <w:rPr>
                <w:rFonts w:ascii="Times New Roman" w:eastAsia="Times New Roman" w:hAnsi="Times New Roman" w:cs="Times New Roman"/>
                <w:sz w:val="24"/>
                <w:szCs w:val="28"/>
              </w:rPr>
              <w:t>00</w:t>
            </w:r>
            <w:r w:rsidRPr="00B32392">
              <w:rPr>
                <w:rFonts w:ascii="Times New Roman" w:eastAsia="Times New Roman" w:hAnsi="Times New Roman" w:cs="Times New Roman"/>
                <w:sz w:val="24"/>
                <w:szCs w:val="28"/>
              </w:rPr>
              <w:t>%</w:t>
            </w:r>
          </w:p>
        </w:tc>
        <w:tc>
          <w:tcPr>
            <w:tcW w:w="1365" w:type="dxa"/>
            <w:tcBorders>
              <w:top w:val="single" w:sz="4" w:space="0" w:color="000000"/>
              <w:left w:val="single" w:sz="4" w:space="0" w:color="000000"/>
              <w:bottom w:val="single" w:sz="4" w:space="0" w:color="000000"/>
              <w:right w:val="single" w:sz="4" w:space="0" w:color="000000"/>
            </w:tcBorders>
          </w:tcPr>
          <w:p w:rsidR="00AF149D" w:rsidRPr="00B32392" w:rsidRDefault="007237D7" w:rsidP="00D747E3">
            <w:pPr>
              <w:spacing w:after="0" w:line="240" w:lineRule="auto"/>
              <w:jc w:val="center"/>
              <w:rPr>
                <w:rFonts w:ascii="Times New Roman" w:eastAsia="Times New Roman" w:hAnsi="Times New Roman" w:cs="Times New Roman"/>
                <w:sz w:val="24"/>
                <w:szCs w:val="28"/>
              </w:rPr>
            </w:pPr>
            <w:r>
              <w:rPr>
                <w:rFonts w:ascii="Times New Roman" w:eastAsia="Times New Roman" w:hAnsi="Times New Roman" w:cs="Times New Roman"/>
                <w:sz w:val="24"/>
                <w:szCs w:val="28"/>
              </w:rPr>
              <w:t>-</w:t>
            </w:r>
          </w:p>
        </w:tc>
        <w:tc>
          <w:tcPr>
            <w:tcW w:w="1363" w:type="dxa"/>
            <w:tcBorders>
              <w:top w:val="single" w:sz="4" w:space="0" w:color="000000"/>
              <w:left w:val="single" w:sz="4" w:space="0" w:color="000000"/>
              <w:bottom w:val="single" w:sz="4" w:space="0" w:color="000000"/>
              <w:right w:val="single" w:sz="4" w:space="0" w:color="000000"/>
            </w:tcBorders>
          </w:tcPr>
          <w:p w:rsidR="00AF149D" w:rsidRPr="00B32392" w:rsidRDefault="00716C69" w:rsidP="00D747E3">
            <w:pPr>
              <w:spacing w:after="0" w:line="240" w:lineRule="auto"/>
              <w:jc w:val="center"/>
              <w:rPr>
                <w:rFonts w:ascii="Times New Roman" w:eastAsia="Times New Roman" w:hAnsi="Times New Roman" w:cs="Times New Roman"/>
                <w:sz w:val="24"/>
                <w:szCs w:val="28"/>
              </w:rPr>
            </w:pPr>
            <w:r w:rsidRPr="00B32392">
              <w:rPr>
                <w:rFonts w:ascii="Times New Roman" w:eastAsia="Times New Roman" w:hAnsi="Times New Roman" w:cs="Times New Roman"/>
                <w:sz w:val="24"/>
                <w:szCs w:val="28"/>
              </w:rPr>
              <w:t>-</w:t>
            </w:r>
          </w:p>
        </w:tc>
        <w:tc>
          <w:tcPr>
            <w:tcW w:w="1558" w:type="dxa"/>
            <w:tcBorders>
              <w:top w:val="single" w:sz="4" w:space="0" w:color="000000"/>
              <w:left w:val="single" w:sz="4" w:space="0" w:color="000000"/>
              <w:bottom w:val="single" w:sz="4" w:space="0" w:color="000000"/>
              <w:right w:val="single" w:sz="4" w:space="0" w:color="000000"/>
            </w:tcBorders>
          </w:tcPr>
          <w:p w:rsidR="00AF149D" w:rsidRPr="00B32392" w:rsidRDefault="00B60B99" w:rsidP="00D747E3">
            <w:pPr>
              <w:spacing w:after="0" w:line="240" w:lineRule="auto"/>
              <w:jc w:val="center"/>
              <w:rPr>
                <w:rFonts w:ascii="Times New Roman" w:eastAsia="Times New Roman" w:hAnsi="Times New Roman" w:cs="Times New Roman"/>
                <w:sz w:val="24"/>
                <w:szCs w:val="28"/>
              </w:rPr>
            </w:pPr>
            <w:r w:rsidRPr="00B32392">
              <w:rPr>
                <w:rFonts w:ascii="Times New Roman" w:eastAsia="Times New Roman" w:hAnsi="Times New Roman" w:cs="Times New Roman"/>
                <w:sz w:val="24"/>
                <w:szCs w:val="28"/>
              </w:rPr>
              <w:t>100%</w:t>
            </w:r>
          </w:p>
        </w:tc>
      </w:tr>
    </w:tbl>
    <w:p w:rsidR="002133E1" w:rsidRDefault="002133E1" w:rsidP="002D7622">
      <w:pPr>
        <w:rPr>
          <w:rFonts w:ascii="Times New Roman" w:hAnsi="Times New Roman" w:cs="Times New Roman"/>
          <w:sz w:val="28"/>
        </w:rPr>
      </w:pPr>
    </w:p>
    <w:p w:rsidR="002133E1" w:rsidRDefault="002133E1">
      <w:pPr>
        <w:rPr>
          <w:rFonts w:ascii="Times New Roman" w:hAnsi="Times New Roman" w:cs="Times New Roman"/>
          <w:sz w:val="28"/>
        </w:rPr>
      </w:pPr>
      <w:r>
        <w:rPr>
          <w:rFonts w:ascii="Times New Roman" w:hAnsi="Times New Roman" w:cs="Times New Roman"/>
          <w:sz w:val="28"/>
        </w:rPr>
        <w:br w:type="page"/>
      </w:r>
    </w:p>
    <w:tbl>
      <w:tblPr>
        <w:tblStyle w:val="a9"/>
        <w:tblW w:w="9638" w:type="dxa"/>
        <w:tblInd w:w="0" w:type="dxa"/>
        <w:tblLayout w:type="fixed"/>
        <w:tblLook w:val="0400" w:firstRow="0" w:lastRow="0" w:firstColumn="0" w:lastColumn="0" w:noHBand="0" w:noVBand="1"/>
      </w:tblPr>
      <w:tblGrid>
        <w:gridCol w:w="3211"/>
        <w:gridCol w:w="2885"/>
        <w:gridCol w:w="3542"/>
      </w:tblGrid>
      <w:tr w:rsidR="00D747E3" w:rsidRPr="00B32392" w:rsidTr="00D8248E">
        <w:tc>
          <w:tcPr>
            <w:tcW w:w="3211" w:type="dxa"/>
            <w:tcBorders>
              <w:top w:val="single" w:sz="6" w:space="0" w:color="000000"/>
              <w:left w:val="nil"/>
              <w:bottom w:val="single" w:sz="6" w:space="0" w:color="000000"/>
              <w:right w:val="single" w:sz="6" w:space="0" w:color="000000"/>
            </w:tcBorders>
          </w:tcPr>
          <w:p w:rsidR="00AF149D" w:rsidRPr="00B32392" w:rsidRDefault="00716C69" w:rsidP="00D747E3">
            <w:pPr>
              <w:spacing w:after="0" w:line="240" w:lineRule="auto"/>
              <w:jc w:val="center"/>
              <w:rPr>
                <w:rFonts w:ascii="Times New Roman" w:eastAsia="Times New Roman" w:hAnsi="Times New Roman" w:cs="Times New Roman"/>
                <w:sz w:val="24"/>
                <w:szCs w:val="28"/>
              </w:rPr>
            </w:pPr>
            <w:r w:rsidRPr="00B32392">
              <w:rPr>
                <w:rFonts w:ascii="Times New Roman" w:eastAsia="Times New Roman" w:hAnsi="Times New Roman" w:cs="Times New Roman"/>
                <w:sz w:val="24"/>
                <w:szCs w:val="28"/>
              </w:rPr>
              <w:lastRenderedPageBreak/>
              <w:t>Вид альтернативи</w:t>
            </w:r>
          </w:p>
        </w:tc>
        <w:tc>
          <w:tcPr>
            <w:tcW w:w="2885" w:type="dxa"/>
            <w:tcBorders>
              <w:top w:val="single" w:sz="6" w:space="0" w:color="000000"/>
              <w:left w:val="single" w:sz="6" w:space="0" w:color="000000"/>
              <w:bottom w:val="single" w:sz="6" w:space="0" w:color="000000"/>
              <w:right w:val="single" w:sz="6" w:space="0" w:color="000000"/>
            </w:tcBorders>
          </w:tcPr>
          <w:p w:rsidR="00AF149D" w:rsidRPr="00B32392" w:rsidRDefault="00716C69" w:rsidP="00D747E3">
            <w:pPr>
              <w:spacing w:after="0" w:line="240" w:lineRule="auto"/>
              <w:jc w:val="center"/>
              <w:rPr>
                <w:rFonts w:ascii="Times New Roman" w:eastAsia="Times New Roman" w:hAnsi="Times New Roman" w:cs="Times New Roman"/>
                <w:sz w:val="24"/>
                <w:szCs w:val="28"/>
              </w:rPr>
            </w:pPr>
            <w:r w:rsidRPr="00B32392">
              <w:rPr>
                <w:rFonts w:ascii="Times New Roman" w:eastAsia="Times New Roman" w:hAnsi="Times New Roman" w:cs="Times New Roman"/>
                <w:sz w:val="24"/>
                <w:szCs w:val="28"/>
              </w:rPr>
              <w:t>Вигоди</w:t>
            </w:r>
          </w:p>
        </w:tc>
        <w:tc>
          <w:tcPr>
            <w:tcW w:w="3542" w:type="dxa"/>
            <w:tcBorders>
              <w:top w:val="single" w:sz="6" w:space="0" w:color="000000"/>
              <w:left w:val="single" w:sz="6" w:space="0" w:color="000000"/>
              <w:bottom w:val="single" w:sz="6" w:space="0" w:color="000000"/>
              <w:right w:val="nil"/>
            </w:tcBorders>
          </w:tcPr>
          <w:p w:rsidR="00AF149D" w:rsidRPr="00B32392" w:rsidRDefault="00716C69" w:rsidP="00D747E3">
            <w:pPr>
              <w:spacing w:after="0" w:line="240" w:lineRule="auto"/>
              <w:jc w:val="center"/>
              <w:rPr>
                <w:rFonts w:ascii="Times New Roman" w:eastAsia="Times New Roman" w:hAnsi="Times New Roman" w:cs="Times New Roman"/>
                <w:sz w:val="24"/>
                <w:szCs w:val="28"/>
              </w:rPr>
            </w:pPr>
            <w:r w:rsidRPr="00B32392">
              <w:rPr>
                <w:rFonts w:ascii="Times New Roman" w:eastAsia="Times New Roman" w:hAnsi="Times New Roman" w:cs="Times New Roman"/>
                <w:sz w:val="24"/>
                <w:szCs w:val="28"/>
              </w:rPr>
              <w:t>Витрати</w:t>
            </w:r>
          </w:p>
        </w:tc>
      </w:tr>
      <w:tr w:rsidR="00D747E3" w:rsidRPr="00B32392" w:rsidTr="00D8248E">
        <w:tc>
          <w:tcPr>
            <w:tcW w:w="3211" w:type="dxa"/>
            <w:tcBorders>
              <w:top w:val="single" w:sz="6" w:space="0" w:color="000000"/>
              <w:left w:val="single" w:sz="4" w:space="0" w:color="000000"/>
              <w:bottom w:val="single" w:sz="4" w:space="0" w:color="000000"/>
              <w:right w:val="single" w:sz="4" w:space="0" w:color="000000"/>
            </w:tcBorders>
          </w:tcPr>
          <w:p w:rsidR="00AF149D" w:rsidRPr="00B32392" w:rsidRDefault="00716C69" w:rsidP="00D747E3">
            <w:pPr>
              <w:spacing w:after="0" w:line="240" w:lineRule="auto"/>
              <w:rPr>
                <w:rFonts w:ascii="Times New Roman" w:eastAsia="Times New Roman" w:hAnsi="Times New Roman" w:cs="Times New Roman"/>
                <w:sz w:val="24"/>
                <w:szCs w:val="28"/>
              </w:rPr>
            </w:pPr>
            <w:r w:rsidRPr="00B32392">
              <w:rPr>
                <w:rFonts w:ascii="Times New Roman" w:eastAsia="Times New Roman" w:hAnsi="Times New Roman" w:cs="Times New Roman"/>
                <w:sz w:val="24"/>
                <w:szCs w:val="28"/>
              </w:rPr>
              <w:t>Альтернатива 1</w:t>
            </w:r>
          </w:p>
        </w:tc>
        <w:tc>
          <w:tcPr>
            <w:tcW w:w="2885" w:type="dxa"/>
            <w:tcBorders>
              <w:top w:val="single" w:sz="6" w:space="0" w:color="000000"/>
              <w:left w:val="single" w:sz="4" w:space="0" w:color="000000"/>
              <w:bottom w:val="single" w:sz="4" w:space="0" w:color="000000"/>
              <w:right w:val="single" w:sz="4" w:space="0" w:color="000000"/>
            </w:tcBorders>
          </w:tcPr>
          <w:p w:rsidR="00AF149D" w:rsidRPr="00B32392" w:rsidRDefault="009725AC" w:rsidP="009725AC">
            <w:pPr>
              <w:spacing w:after="0" w:line="240" w:lineRule="auto"/>
              <w:ind w:left="37" w:right="121"/>
              <w:jc w:val="both"/>
              <w:rPr>
                <w:rFonts w:ascii="Times New Roman" w:eastAsia="Times New Roman" w:hAnsi="Times New Roman" w:cs="Times New Roman"/>
                <w:sz w:val="24"/>
                <w:szCs w:val="28"/>
              </w:rPr>
            </w:pPr>
            <w:r w:rsidRPr="009725AC">
              <w:rPr>
                <w:rFonts w:ascii="Times New Roman" w:eastAsia="Times New Roman" w:hAnsi="Times New Roman" w:cs="Times New Roman"/>
                <w:i/>
                <w:sz w:val="24"/>
                <w:szCs w:val="28"/>
              </w:rPr>
              <w:t>Вигоди відсутні</w:t>
            </w:r>
            <w:r w:rsidRPr="009725AC">
              <w:rPr>
                <w:rFonts w:ascii="Times New Roman" w:eastAsia="Times New Roman" w:hAnsi="Times New Roman" w:cs="Times New Roman"/>
                <w:sz w:val="24"/>
                <w:szCs w:val="28"/>
              </w:rPr>
              <w:t xml:space="preserve">. Суб’єкти господарювання (зокрема, підприємства, ЗВО, наукові установи) </w:t>
            </w:r>
            <w:r>
              <w:rPr>
                <w:rFonts w:ascii="Times New Roman" w:eastAsia="Times New Roman" w:hAnsi="Times New Roman" w:cs="Times New Roman"/>
                <w:sz w:val="24"/>
                <w:szCs w:val="28"/>
              </w:rPr>
              <w:t xml:space="preserve">та органи влади </w:t>
            </w:r>
            <w:r w:rsidRPr="009725AC">
              <w:rPr>
                <w:rFonts w:ascii="Times New Roman" w:eastAsia="Times New Roman" w:hAnsi="Times New Roman" w:cs="Times New Roman"/>
                <w:sz w:val="24"/>
                <w:szCs w:val="28"/>
              </w:rPr>
              <w:t>продовжують працювати в умовах фрагментарного, застарілого правового поля. Відсутність нових вимог у короткостроковій перспективі не потребує адаптації.</w:t>
            </w:r>
          </w:p>
        </w:tc>
        <w:tc>
          <w:tcPr>
            <w:tcW w:w="3542" w:type="dxa"/>
            <w:tcBorders>
              <w:top w:val="single" w:sz="6" w:space="0" w:color="000000"/>
              <w:left w:val="single" w:sz="4" w:space="0" w:color="000000"/>
              <w:bottom w:val="single" w:sz="4" w:space="0" w:color="000000"/>
              <w:right w:val="single" w:sz="4" w:space="0" w:color="000000"/>
            </w:tcBorders>
          </w:tcPr>
          <w:p w:rsidR="00AF149D" w:rsidRPr="00B32392" w:rsidRDefault="00AF0F98" w:rsidP="00AF0F98">
            <w:pPr>
              <w:spacing w:after="0" w:line="240" w:lineRule="auto"/>
              <w:ind w:left="37" w:right="121"/>
              <w:jc w:val="both"/>
              <w:rPr>
                <w:rFonts w:ascii="Times New Roman" w:eastAsia="Times New Roman" w:hAnsi="Times New Roman" w:cs="Times New Roman"/>
                <w:sz w:val="24"/>
                <w:szCs w:val="28"/>
              </w:rPr>
            </w:pPr>
            <w:r>
              <w:rPr>
                <w:rFonts w:ascii="Times New Roman" w:eastAsia="Times New Roman" w:hAnsi="Times New Roman" w:cs="Times New Roman"/>
                <w:sz w:val="24"/>
                <w:szCs w:val="28"/>
              </w:rPr>
              <w:t>Відсутність змін призведе до відсутно</w:t>
            </w:r>
            <w:r w:rsidRPr="00AF0F98">
              <w:rPr>
                <w:rFonts w:ascii="Times New Roman" w:eastAsia="Times New Roman" w:hAnsi="Times New Roman" w:cs="Times New Roman"/>
                <w:sz w:val="24"/>
                <w:szCs w:val="28"/>
              </w:rPr>
              <w:t>ст</w:t>
            </w:r>
            <w:r>
              <w:rPr>
                <w:rFonts w:ascii="Times New Roman" w:eastAsia="Times New Roman" w:hAnsi="Times New Roman" w:cs="Times New Roman"/>
                <w:sz w:val="24"/>
                <w:szCs w:val="28"/>
              </w:rPr>
              <w:t>і</w:t>
            </w:r>
            <w:r w:rsidRPr="00AF0F98">
              <w:rPr>
                <w:rFonts w:ascii="Times New Roman" w:eastAsia="Times New Roman" w:hAnsi="Times New Roman" w:cs="Times New Roman"/>
                <w:sz w:val="24"/>
                <w:szCs w:val="28"/>
              </w:rPr>
              <w:t xml:space="preserve"> стимулів до відкриття доступу до результатів досліджень, обмеження на повторне використання наукової інформації</w:t>
            </w:r>
            <w:r>
              <w:rPr>
                <w:rFonts w:ascii="Times New Roman" w:eastAsia="Times New Roman" w:hAnsi="Times New Roman" w:cs="Times New Roman"/>
                <w:sz w:val="24"/>
                <w:szCs w:val="28"/>
              </w:rPr>
              <w:t>, яка отримана за рахунок публічних коштів</w:t>
            </w:r>
            <w:r w:rsidRPr="00AF0F98">
              <w:rPr>
                <w:rFonts w:ascii="Times New Roman" w:eastAsia="Times New Roman" w:hAnsi="Times New Roman" w:cs="Times New Roman"/>
                <w:sz w:val="24"/>
                <w:szCs w:val="28"/>
              </w:rPr>
              <w:t xml:space="preserve">; збереження бар’єрів для інновацій; </w:t>
            </w:r>
            <w:r>
              <w:rPr>
                <w:rFonts w:ascii="Times New Roman" w:eastAsia="Times New Roman" w:hAnsi="Times New Roman" w:cs="Times New Roman"/>
                <w:sz w:val="24"/>
                <w:szCs w:val="28"/>
              </w:rPr>
              <w:t>відсутності факторів, що стимулюють зростання</w:t>
            </w:r>
            <w:r w:rsidRPr="00AF0F98">
              <w:rPr>
                <w:rFonts w:ascii="Times New Roman" w:eastAsia="Times New Roman" w:hAnsi="Times New Roman" w:cs="Times New Roman"/>
                <w:sz w:val="24"/>
                <w:szCs w:val="28"/>
              </w:rPr>
              <w:t xml:space="preserve"> конкурентоспроможності; ризик втрати фінансування в міжнародних програмах через невідповідність стандартам відкритої науки.</w:t>
            </w:r>
          </w:p>
        </w:tc>
      </w:tr>
      <w:tr w:rsidR="00D747E3" w:rsidRPr="00B32392" w:rsidTr="00D8248E">
        <w:tc>
          <w:tcPr>
            <w:tcW w:w="3211" w:type="dxa"/>
            <w:tcBorders>
              <w:top w:val="single" w:sz="4" w:space="0" w:color="000000"/>
              <w:left w:val="single" w:sz="4" w:space="0" w:color="000000"/>
              <w:bottom w:val="single" w:sz="4" w:space="0" w:color="000000"/>
              <w:right w:val="single" w:sz="4" w:space="0" w:color="000000"/>
            </w:tcBorders>
          </w:tcPr>
          <w:p w:rsidR="00AF149D" w:rsidRPr="00B32392" w:rsidRDefault="00716C69" w:rsidP="00D747E3">
            <w:pPr>
              <w:spacing w:after="0" w:line="240" w:lineRule="auto"/>
              <w:rPr>
                <w:rFonts w:ascii="Times New Roman" w:eastAsia="Times New Roman" w:hAnsi="Times New Roman" w:cs="Times New Roman"/>
                <w:sz w:val="24"/>
                <w:szCs w:val="28"/>
              </w:rPr>
            </w:pPr>
            <w:r w:rsidRPr="00B32392">
              <w:rPr>
                <w:rFonts w:ascii="Times New Roman" w:eastAsia="Times New Roman" w:hAnsi="Times New Roman" w:cs="Times New Roman"/>
                <w:sz w:val="24"/>
                <w:szCs w:val="28"/>
              </w:rPr>
              <w:t>Альтернатива 2</w:t>
            </w:r>
          </w:p>
        </w:tc>
        <w:tc>
          <w:tcPr>
            <w:tcW w:w="2885" w:type="dxa"/>
            <w:tcBorders>
              <w:top w:val="single" w:sz="4" w:space="0" w:color="000000"/>
              <w:left w:val="single" w:sz="4" w:space="0" w:color="000000"/>
              <w:bottom w:val="single" w:sz="4" w:space="0" w:color="000000"/>
              <w:right w:val="single" w:sz="4" w:space="0" w:color="000000"/>
            </w:tcBorders>
          </w:tcPr>
          <w:p w:rsidR="00AF149D" w:rsidRPr="00B32392" w:rsidRDefault="00AF0F98" w:rsidP="00AF0F98">
            <w:pPr>
              <w:spacing w:after="0" w:line="240" w:lineRule="auto"/>
              <w:ind w:left="37" w:right="121"/>
              <w:jc w:val="both"/>
              <w:rPr>
                <w:rFonts w:ascii="Times New Roman" w:eastAsia="Times New Roman" w:hAnsi="Times New Roman" w:cs="Times New Roman"/>
                <w:sz w:val="24"/>
                <w:szCs w:val="28"/>
              </w:rPr>
            </w:pPr>
            <w:proofErr w:type="spellStart"/>
            <w:r w:rsidRPr="00AF0F98">
              <w:rPr>
                <w:rFonts w:ascii="Times New Roman" w:eastAsia="Times New Roman" w:hAnsi="Times New Roman" w:cs="Times New Roman"/>
                <w:sz w:val="24"/>
                <w:szCs w:val="28"/>
              </w:rPr>
              <w:t>Законопроєкт</w:t>
            </w:r>
            <w:proofErr w:type="spellEnd"/>
            <w:r w:rsidRPr="00AF0F98">
              <w:rPr>
                <w:rFonts w:ascii="Times New Roman" w:eastAsia="Times New Roman" w:hAnsi="Times New Roman" w:cs="Times New Roman"/>
                <w:sz w:val="24"/>
                <w:szCs w:val="28"/>
              </w:rPr>
              <w:t xml:space="preserve"> формує правове середовище, у якому суб’єкти господарювання, що здійснюють наукові дослідження, діють за однаковими правилами, інтегрованими у державну політику відкритої науки. Це</w:t>
            </w:r>
            <w:r>
              <w:rPr>
                <w:rFonts w:ascii="Times New Roman" w:eastAsia="Times New Roman" w:hAnsi="Times New Roman" w:cs="Times New Roman"/>
                <w:sz w:val="24"/>
                <w:szCs w:val="28"/>
              </w:rPr>
              <w:t xml:space="preserve"> </w:t>
            </w:r>
            <w:r w:rsidRPr="00AF0F98">
              <w:rPr>
                <w:rFonts w:ascii="Times New Roman" w:eastAsia="Times New Roman" w:hAnsi="Times New Roman" w:cs="Times New Roman"/>
                <w:sz w:val="24"/>
                <w:szCs w:val="28"/>
              </w:rPr>
              <w:t>сприяє синхронізації з міжнародними стандартами</w:t>
            </w:r>
            <w:r>
              <w:rPr>
                <w:rFonts w:ascii="Times New Roman" w:eastAsia="Times New Roman" w:hAnsi="Times New Roman" w:cs="Times New Roman"/>
                <w:sz w:val="24"/>
                <w:szCs w:val="28"/>
              </w:rPr>
              <w:t xml:space="preserve">, </w:t>
            </w:r>
            <w:r w:rsidRPr="00AF0F98">
              <w:rPr>
                <w:rFonts w:ascii="Times New Roman" w:eastAsia="Times New Roman" w:hAnsi="Times New Roman" w:cs="Times New Roman"/>
                <w:sz w:val="24"/>
                <w:szCs w:val="28"/>
              </w:rPr>
              <w:t>дозволяє уникати правової невизначено</w:t>
            </w:r>
            <w:r>
              <w:rPr>
                <w:rFonts w:ascii="Times New Roman" w:eastAsia="Times New Roman" w:hAnsi="Times New Roman" w:cs="Times New Roman"/>
                <w:sz w:val="24"/>
                <w:szCs w:val="28"/>
              </w:rPr>
              <w:t xml:space="preserve">сті в питаннях доступу до даних, </w:t>
            </w:r>
            <w:r w:rsidRPr="00AF0F98">
              <w:rPr>
                <w:rFonts w:ascii="Times New Roman" w:eastAsia="Times New Roman" w:hAnsi="Times New Roman" w:cs="Times New Roman"/>
                <w:sz w:val="24"/>
                <w:szCs w:val="28"/>
              </w:rPr>
              <w:t xml:space="preserve">підтримує цифрову </w:t>
            </w:r>
            <w:r>
              <w:rPr>
                <w:rFonts w:ascii="Times New Roman" w:eastAsia="Times New Roman" w:hAnsi="Times New Roman" w:cs="Times New Roman"/>
                <w:sz w:val="24"/>
                <w:szCs w:val="28"/>
              </w:rPr>
              <w:t xml:space="preserve">трансформацію наукового сектору, </w:t>
            </w:r>
            <w:r w:rsidRPr="00AF0F98">
              <w:rPr>
                <w:rFonts w:ascii="Times New Roman" w:eastAsia="Times New Roman" w:hAnsi="Times New Roman" w:cs="Times New Roman"/>
                <w:sz w:val="24"/>
                <w:szCs w:val="28"/>
              </w:rPr>
              <w:t>зміцнює позиції українських організацій у глобальному конкурентному середовищі.</w:t>
            </w:r>
          </w:p>
        </w:tc>
        <w:tc>
          <w:tcPr>
            <w:tcW w:w="3542" w:type="dxa"/>
            <w:tcBorders>
              <w:top w:val="single" w:sz="4" w:space="0" w:color="000000"/>
              <w:left w:val="single" w:sz="4" w:space="0" w:color="000000"/>
              <w:bottom w:val="single" w:sz="4" w:space="0" w:color="000000"/>
              <w:right w:val="single" w:sz="4" w:space="0" w:color="000000"/>
            </w:tcBorders>
          </w:tcPr>
          <w:p w:rsidR="00CF57FE" w:rsidRPr="00B32392" w:rsidRDefault="00D8248E" w:rsidP="005C510D">
            <w:pPr>
              <w:spacing w:after="0" w:line="240" w:lineRule="auto"/>
              <w:ind w:left="37" w:right="121"/>
              <w:jc w:val="both"/>
              <w:rPr>
                <w:rFonts w:ascii="Times New Roman" w:eastAsia="Times New Roman" w:hAnsi="Times New Roman" w:cs="Times New Roman"/>
                <w:sz w:val="24"/>
                <w:szCs w:val="28"/>
              </w:rPr>
            </w:pPr>
            <w:r w:rsidRPr="00B32392">
              <w:rPr>
                <w:rFonts w:ascii="Times New Roman" w:eastAsia="Times New Roman" w:hAnsi="Times New Roman" w:cs="Times New Roman"/>
                <w:sz w:val="24"/>
                <w:szCs w:val="28"/>
              </w:rPr>
              <w:t xml:space="preserve">Прийняття </w:t>
            </w:r>
            <w:proofErr w:type="spellStart"/>
            <w:r w:rsidRPr="00B32392">
              <w:rPr>
                <w:rFonts w:ascii="Times New Roman" w:eastAsia="Times New Roman" w:hAnsi="Times New Roman" w:cs="Times New Roman"/>
                <w:sz w:val="24"/>
                <w:szCs w:val="28"/>
              </w:rPr>
              <w:t>законопроєкту</w:t>
            </w:r>
            <w:proofErr w:type="spellEnd"/>
            <w:r w:rsidRPr="00B32392">
              <w:rPr>
                <w:rFonts w:ascii="Times New Roman" w:eastAsia="Times New Roman" w:hAnsi="Times New Roman" w:cs="Times New Roman"/>
                <w:sz w:val="24"/>
                <w:szCs w:val="28"/>
              </w:rPr>
              <w:t xml:space="preserve"> не передбачає запровадження </w:t>
            </w:r>
            <w:r w:rsidR="00CE1957" w:rsidRPr="00CE1957">
              <w:rPr>
                <w:rFonts w:ascii="Times New Roman" w:eastAsia="Times New Roman" w:hAnsi="Times New Roman" w:cs="Times New Roman"/>
                <w:sz w:val="24"/>
                <w:szCs w:val="28"/>
              </w:rPr>
              <w:t>нових вимог</w:t>
            </w:r>
            <w:r w:rsidR="00CE1957">
              <w:rPr>
                <w:rFonts w:ascii="Times New Roman" w:eastAsia="Times New Roman" w:hAnsi="Times New Roman" w:cs="Times New Roman"/>
                <w:sz w:val="24"/>
                <w:szCs w:val="28"/>
              </w:rPr>
              <w:t>, що</w:t>
            </w:r>
            <w:r w:rsidR="00CE1957" w:rsidRPr="00CE1957">
              <w:rPr>
                <w:rFonts w:ascii="Times New Roman" w:eastAsia="Times New Roman" w:hAnsi="Times New Roman" w:cs="Times New Roman"/>
                <w:sz w:val="24"/>
                <w:szCs w:val="28"/>
              </w:rPr>
              <w:t xml:space="preserve"> не передбачає прямих економічних витрат для суб’єктів господарювання. Не потребується придбання додаткових інструментів, ліцензій або зміна систем управління. Імовірні витрати мають характер одноразової адаптації до оновлених процедур збереження і відкритого поширення результатів </w:t>
            </w:r>
            <w:r w:rsidR="00CE1957">
              <w:rPr>
                <w:rFonts w:ascii="Times New Roman" w:eastAsia="Times New Roman" w:hAnsi="Times New Roman" w:cs="Times New Roman"/>
                <w:sz w:val="24"/>
                <w:szCs w:val="28"/>
              </w:rPr>
              <w:t xml:space="preserve">наукових </w:t>
            </w:r>
            <w:r w:rsidR="00CE1957" w:rsidRPr="00CE1957">
              <w:rPr>
                <w:rFonts w:ascii="Times New Roman" w:eastAsia="Times New Roman" w:hAnsi="Times New Roman" w:cs="Times New Roman"/>
                <w:sz w:val="24"/>
                <w:szCs w:val="28"/>
              </w:rPr>
              <w:t>досліджень</w:t>
            </w:r>
            <w:r w:rsidR="00CE1957">
              <w:rPr>
                <w:rFonts w:ascii="Times New Roman" w:eastAsia="Times New Roman" w:hAnsi="Times New Roman" w:cs="Times New Roman"/>
                <w:sz w:val="24"/>
                <w:szCs w:val="28"/>
              </w:rPr>
              <w:t>, виконаних за бюджетні кошти</w:t>
            </w:r>
            <w:r w:rsidR="00CE1957" w:rsidRPr="00CE1957">
              <w:rPr>
                <w:rFonts w:ascii="Times New Roman" w:eastAsia="Times New Roman" w:hAnsi="Times New Roman" w:cs="Times New Roman"/>
                <w:sz w:val="24"/>
                <w:szCs w:val="28"/>
              </w:rPr>
              <w:t>, і можуть бути реалізовані без залучення додаткових коштів</w:t>
            </w:r>
            <w:r w:rsidR="005C510D">
              <w:rPr>
                <w:rFonts w:ascii="Times New Roman" w:eastAsia="Times New Roman" w:hAnsi="Times New Roman" w:cs="Times New Roman"/>
                <w:sz w:val="24"/>
                <w:szCs w:val="28"/>
              </w:rPr>
              <w:t>: ознайомлення з відповідними нормативно-правовими актами та інформування співробітників (1 особа х 2 години робочого часу х 616 суб’єктів господарювання = 2 х 48</w:t>
            </w:r>
            <w:r w:rsidR="005C510D" w:rsidRPr="005C510D">
              <w:rPr>
                <w:rFonts w:ascii="Times New Roman" w:eastAsia="Times New Roman" w:hAnsi="Times New Roman" w:cs="Times New Roman"/>
                <w:sz w:val="24"/>
                <w:szCs w:val="28"/>
                <w:vertAlign w:val="superscript"/>
              </w:rPr>
              <w:t>*</w:t>
            </w:r>
            <w:r w:rsidR="005C510D">
              <w:rPr>
                <w:rFonts w:ascii="Times New Roman" w:eastAsia="Times New Roman" w:hAnsi="Times New Roman" w:cs="Times New Roman"/>
                <w:sz w:val="24"/>
                <w:szCs w:val="28"/>
              </w:rPr>
              <w:t xml:space="preserve"> х 616 = 59 136 грн).</w:t>
            </w:r>
          </w:p>
        </w:tc>
      </w:tr>
    </w:tbl>
    <w:p w:rsidR="005C510D" w:rsidRPr="009C17BF" w:rsidRDefault="005C510D" w:rsidP="005C510D">
      <w:pPr>
        <w:spacing w:before="60" w:after="0" w:line="240" w:lineRule="auto"/>
        <w:ind w:right="142" w:firstLine="142"/>
        <w:jc w:val="both"/>
        <w:rPr>
          <w:rFonts w:ascii="Times New Roman" w:eastAsia="Times New Roman" w:hAnsi="Times New Roman" w:cs="Times New Roman"/>
          <w:sz w:val="20"/>
          <w:szCs w:val="20"/>
        </w:rPr>
      </w:pPr>
      <w:r w:rsidRPr="009C17BF">
        <w:rPr>
          <w:rFonts w:ascii="Times New Roman" w:eastAsia="Times New Roman" w:hAnsi="Times New Roman" w:cs="Times New Roman"/>
          <w:sz w:val="20"/>
          <w:szCs w:val="20"/>
        </w:rPr>
        <w:t>* Мінімальна заробітна плата визначається Законом про Державний бюджет на відповідний рік. Так, статтею 8 Закону України «Про Державний бюджет України на 2025 рік» з 1 січня 2025 року встановлено мінімальну заробітну плату у погодинному розмірі – 48 гривень.</w:t>
      </w:r>
    </w:p>
    <w:p w:rsidR="009725AC" w:rsidRPr="00B32392" w:rsidRDefault="009725AC" w:rsidP="00D747E3">
      <w:pPr>
        <w:shd w:val="clear" w:color="auto" w:fill="FFFFFF"/>
        <w:spacing w:after="0" w:line="240" w:lineRule="auto"/>
        <w:ind w:firstLine="709"/>
        <w:rPr>
          <w:rFonts w:ascii="Times New Roman" w:eastAsia="Times New Roman" w:hAnsi="Times New Roman" w:cs="Times New Roman"/>
          <w:sz w:val="28"/>
          <w:szCs w:val="28"/>
        </w:rPr>
      </w:pPr>
    </w:p>
    <w:p w:rsidR="00AF149D" w:rsidRPr="00B32392" w:rsidRDefault="00716C69" w:rsidP="00EE0211">
      <w:pPr>
        <w:shd w:val="clear" w:color="auto" w:fill="FFFFFF"/>
        <w:spacing w:after="0" w:line="240" w:lineRule="auto"/>
        <w:ind w:firstLine="709"/>
        <w:jc w:val="both"/>
        <w:rPr>
          <w:rFonts w:ascii="Times New Roman" w:eastAsia="Times New Roman" w:hAnsi="Times New Roman" w:cs="Times New Roman"/>
          <w:sz w:val="28"/>
          <w:szCs w:val="28"/>
        </w:rPr>
      </w:pPr>
      <w:r w:rsidRPr="00B32392">
        <w:rPr>
          <w:rFonts w:ascii="Times New Roman" w:eastAsia="Times New Roman" w:hAnsi="Times New Roman" w:cs="Times New Roman"/>
          <w:sz w:val="28"/>
          <w:szCs w:val="28"/>
        </w:rPr>
        <w:t>Оскільки зміни мають винятково законодавчо-системний характер і не містять норм прямої дії для суб’єктів господарювання, жоден тип підприємств не підпадає під дію норм, які б прямо впливали на витрати чи обов’язки бізнесу.</w:t>
      </w:r>
    </w:p>
    <w:p w:rsidR="00210328" w:rsidRPr="00B32392" w:rsidRDefault="00210328" w:rsidP="00D747E3">
      <w:pPr>
        <w:shd w:val="clear" w:color="auto" w:fill="FFFFFF"/>
        <w:spacing w:after="0" w:line="240" w:lineRule="auto"/>
        <w:ind w:firstLine="709"/>
        <w:rPr>
          <w:rFonts w:ascii="Times New Roman" w:eastAsia="Times New Roman" w:hAnsi="Times New Roman" w:cs="Times New Roman"/>
          <w:sz w:val="28"/>
          <w:szCs w:val="28"/>
        </w:rPr>
      </w:pPr>
    </w:p>
    <w:tbl>
      <w:tblPr>
        <w:tblStyle w:val="aa"/>
        <w:tblW w:w="9639" w:type="dxa"/>
        <w:tblInd w:w="0" w:type="dxa"/>
        <w:tblLayout w:type="fixed"/>
        <w:tblLook w:val="0400" w:firstRow="0" w:lastRow="0" w:firstColumn="0" w:lastColumn="0" w:noHBand="0" w:noVBand="1"/>
      </w:tblPr>
      <w:tblGrid>
        <w:gridCol w:w="3119"/>
        <w:gridCol w:w="6520"/>
      </w:tblGrid>
      <w:tr w:rsidR="00D747E3" w:rsidRPr="00B32392" w:rsidTr="00B60B99">
        <w:tc>
          <w:tcPr>
            <w:tcW w:w="3119" w:type="dxa"/>
            <w:tcBorders>
              <w:top w:val="single" w:sz="6" w:space="0" w:color="000000"/>
              <w:left w:val="nil"/>
              <w:bottom w:val="single" w:sz="6" w:space="0" w:color="000000"/>
              <w:right w:val="single" w:sz="6" w:space="0" w:color="000000"/>
            </w:tcBorders>
          </w:tcPr>
          <w:p w:rsidR="00AF149D" w:rsidRPr="00B32392" w:rsidRDefault="00716C69" w:rsidP="00AB1AF8">
            <w:pPr>
              <w:spacing w:after="0" w:line="240" w:lineRule="auto"/>
              <w:jc w:val="center"/>
              <w:rPr>
                <w:rFonts w:ascii="Times New Roman" w:eastAsia="Times New Roman" w:hAnsi="Times New Roman" w:cs="Times New Roman"/>
                <w:sz w:val="24"/>
                <w:szCs w:val="28"/>
              </w:rPr>
            </w:pPr>
            <w:r w:rsidRPr="00B32392">
              <w:rPr>
                <w:rFonts w:ascii="Times New Roman" w:eastAsia="Times New Roman" w:hAnsi="Times New Roman" w:cs="Times New Roman"/>
                <w:sz w:val="24"/>
                <w:szCs w:val="28"/>
              </w:rPr>
              <w:lastRenderedPageBreak/>
              <w:t>Сумарні витрати за альтернативами</w:t>
            </w:r>
          </w:p>
        </w:tc>
        <w:tc>
          <w:tcPr>
            <w:tcW w:w="6520" w:type="dxa"/>
            <w:tcBorders>
              <w:top w:val="single" w:sz="6" w:space="0" w:color="000000"/>
              <w:left w:val="single" w:sz="6" w:space="0" w:color="000000"/>
              <w:bottom w:val="single" w:sz="6" w:space="0" w:color="000000"/>
              <w:right w:val="nil"/>
            </w:tcBorders>
          </w:tcPr>
          <w:p w:rsidR="00AF149D" w:rsidRPr="00B32392" w:rsidRDefault="00716C69" w:rsidP="00AB1AF8">
            <w:pPr>
              <w:spacing w:after="0" w:line="240" w:lineRule="auto"/>
              <w:jc w:val="center"/>
              <w:rPr>
                <w:rFonts w:ascii="Times New Roman" w:eastAsia="Times New Roman" w:hAnsi="Times New Roman" w:cs="Times New Roman"/>
                <w:sz w:val="24"/>
                <w:szCs w:val="28"/>
              </w:rPr>
            </w:pPr>
            <w:r w:rsidRPr="00B32392">
              <w:rPr>
                <w:rFonts w:ascii="Times New Roman" w:eastAsia="Times New Roman" w:hAnsi="Times New Roman" w:cs="Times New Roman"/>
                <w:sz w:val="24"/>
                <w:szCs w:val="28"/>
              </w:rPr>
              <w:t>Сума витрат, гривень</w:t>
            </w:r>
          </w:p>
        </w:tc>
      </w:tr>
      <w:tr w:rsidR="00D747E3" w:rsidRPr="00B32392" w:rsidTr="00B60B99">
        <w:tc>
          <w:tcPr>
            <w:tcW w:w="3119" w:type="dxa"/>
            <w:tcBorders>
              <w:top w:val="single" w:sz="6" w:space="0" w:color="000000"/>
              <w:left w:val="single" w:sz="4" w:space="0" w:color="000000"/>
              <w:bottom w:val="single" w:sz="4" w:space="0" w:color="000000"/>
              <w:right w:val="single" w:sz="4" w:space="0" w:color="000000"/>
            </w:tcBorders>
          </w:tcPr>
          <w:p w:rsidR="00AF149D" w:rsidRPr="00B32392" w:rsidRDefault="00716C69" w:rsidP="00AB1AF8">
            <w:pPr>
              <w:spacing w:after="0" w:line="240" w:lineRule="auto"/>
              <w:rPr>
                <w:rFonts w:ascii="Times New Roman" w:eastAsia="Times New Roman" w:hAnsi="Times New Roman" w:cs="Times New Roman"/>
                <w:sz w:val="24"/>
                <w:szCs w:val="28"/>
              </w:rPr>
            </w:pPr>
            <w:r w:rsidRPr="00B32392">
              <w:rPr>
                <w:rFonts w:ascii="Times New Roman" w:eastAsia="Times New Roman" w:hAnsi="Times New Roman" w:cs="Times New Roman"/>
                <w:sz w:val="24"/>
                <w:szCs w:val="28"/>
              </w:rPr>
              <w:t xml:space="preserve">Альтернатива 1. </w:t>
            </w:r>
          </w:p>
        </w:tc>
        <w:tc>
          <w:tcPr>
            <w:tcW w:w="6520" w:type="dxa"/>
            <w:tcBorders>
              <w:top w:val="single" w:sz="6" w:space="0" w:color="000000"/>
              <w:left w:val="single" w:sz="4" w:space="0" w:color="000000"/>
              <w:bottom w:val="single" w:sz="4" w:space="0" w:color="000000"/>
              <w:right w:val="single" w:sz="4" w:space="0" w:color="000000"/>
            </w:tcBorders>
          </w:tcPr>
          <w:p w:rsidR="008A51B1" w:rsidRDefault="008A51B1" w:rsidP="008A51B1">
            <w:pPr>
              <w:spacing w:after="0" w:line="240" w:lineRule="auto"/>
              <w:ind w:left="127" w:right="133"/>
              <w:jc w:val="both"/>
              <w:rPr>
                <w:rFonts w:ascii="Times New Roman" w:eastAsia="Times New Roman" w:hAnsi="Times New Roman" w:cs="Times New Roman"/>
                <w:sz w:val="24"/>
                <w:szCs w:val="28"/>
              </w:rPr>
            </w:pPr>
            <w:r w:rsidRPr="00DC1FD5">
              <w:rPr>
                <w:rFonts w:ascii="Times New Roman" w:eastAsia="Times New Roman" w:hAnsi="Times New Roman" w:cs="Times New Roman"/>
                <w:i/>
                <w:sz w:val="24"/>
                <w:szCs w:val="28"/>
              </w:rPr>
              <w:t xml:space="preserve">Втрати важко оцінити кількісно, але вони проявляються у вигляді упущених </w:t>
            </w:r>
            <w:proofErr w:type="spellStart"/>
            <w:r w:rsidRPr="00DC1FD5">
              <w:rPr>
                <w:rFonts w:ascii="Times New Roman" w:eastAsia="Times New Roman" w:hAnsi="Times New Roman" w:cs="Times New Roman"/>
                <w:i/>
                <w:sz w:val="24"/>
                <w:szCs w:val="28"/>
              </w:rPr>
              <w:t>вигод</w:t>
            </w:r>
            <w:proofErr w:type="spellEnd"/>
            <w:r w:rsidRPr="00DC1FD5">
              <w:rPr>
                <w:rFonts w:ascii="Times New Roman" w:eastAsia="Times New Roman" w:hAnsi="Times New Roman" w:cs="Times New Roman"/>
                <w:i/>
                <w:sz w:val="24"/>
                <w:szCs w:val="28"/>
              </w:rPr>
              <w:t>, мають непрямий характер і включають</w:t>
            </w:r>
            <w:r w:rsidRPr="008A51B1">
              <w:rPr>
                <w:rFonts w:ascii="Times New Roman" w:eastAsia="Times New Roman" w:hAnsi="Times New Roman" w:cs="Times New Roman"/>
                <w:sz w:val="24"/>
                <w:szCs w:val="28"/>
              </w:rPr>
              <w:t>: упущені вигоди від повторного використання результатів досліджень, створених за публічні кошти</w:t>
            </w:r>
            <w:r>
              <w:rPr>
                <w:rFonts w:ascii="Times New Roman" w:eastAsia="Times New Roman" w:hAnsi="Times New Roman" w:cs="Times New Roman"/>
                <w:sz w:val="24"/>
                <w:szCs w:val="28"/>
              </w:rPr>
              <w:t xml:space="preserve">; </w:t>
            </w:r>
            <w:r w:rsidRPr="008A51B1">
              <w:rPr>
                <w:rFonts w:ascii="Times New Roman" w:eastAsia="Times New Roman" w:hAnsi="Times New Roman" w:cs="Times New Roman"/>
                <w:sz w:val="24"/>
                <w:szCs w:val="28"/>
              </w:rPr>
              <w:t>низьку ефективність бюджетних витрат на науку через дублювання досліджень;</w:t>
            </w:r>
            <w:r>
              <w:rPr>
                <w:rFonts w:ascii="Times New Roman" w:eastAsia="Times New Roman" w:hAnsi="Times New Roman" w:cs="Times New Roman"/>
                <w:sz w:val="24"/>
                <w:szCs w:val="28"/>
              </w:rPr>
              <w:t xml:space="preserve"> </w:t>
            </w:r>
            <w:r w:rsidRPr="008A51B1">
              <w:rPr>
                <w:rFonts w:ascii="Times New Roman" w:eastAsia="Times New Roman" w:hAnsi="Times New Roman" w:cs="Times New Roman"/>
                <w:sz w:val="24"/>
                <w:szCs w:val="28"/>
              </w:rPr>
              <w:t xml:space="preserve">неможливість участі у міжнародних програмах, де відкритий доступ є обов’язковою умовою (наприклад, </w:t>
            </w:r>
            <w:proofErr w:type="spellStart"/>
            <w:r w:rsidRPr="008A51B1">
              <w:rPr>
                <w:rFonts w:ascii="Times New Roman" w:eastAsia="Times New Roman" w:hAnsi="Times New Roman" w:cs="Times New Roman"/>
                <w:sz w:val="24"/>
                <w:szCs w:val="28"/>
              </w:rPr>
              <w:t>Horizon</w:t>
            </w:r>
            <w:proofErr w:type="spellEnd"/>
            <w:r w:rsidRPr="008A51B1">
              <w:rPr>
                <w:rFonts w:ascii="Times New Roman" w:eastAsia="Times New Roman" w:hAnsi="Times New Roman" w:cs="Times New Roman"/>
                <w:sz w:val="24"/>
                <w:szCs w:val="28"/>
              </w:rPr>
              <w:t xml:space="preserve"> </w:t>
            </w:r>
            <w:proofErr w:type="spellStart"/>
            <w:r w:rsidRPr="008A51B1">
              <w:rPr>
                <w:rFonts w:ascii="Times New Roman" w:eastAsia="Times New Roman" w:hAnsi="Times New Roman" w:cs="Times New Roman"/>
                <w:sz w:val="24"/>
                <w:szCs w:val="28"/>
              </w:rPr>
              <w:t>Europe</w:t>
            </w:r>
            <w:proofErr w:type="spellEnd"/>
            <w:r w:rsidRPr="008A51B1">
              <w:rPr>
                <w:rFonts w:ascii="Times New Roman" w:eastAsia="Times New Roman" w:hAnsi="Times New Roman" w:cs="Times New Roman"/>
                <w:sz w:val="24"/>
                <w:szCs w:val="28"/>
              </w:rPr>
              <w:t>);</w:t>
            </w:r>
            <w:r>
              <w:rPr>
                <w:rFonts w:ascii="Times New Roman" w:eastAsia="Times New Roman" w:hAnsi="Times New Roman" w:cs="Times New Roman"/>
                <w:sz w:val="24"/>
                <w:szCs w:val="28"/>
              </w:rPr>
              <w:t xml:space="preserve"> </w:t>
            </w:r>
            <w:r w:rsidRPr="008A51B1">
              <w:rPr>
                <w:rFonts w:ascii="Times New Roman" w:eastAsia="Times New Roman" w:hAnsi="Times New Roman" w:cs="Times New Roman"/>
                <w:sz w:val="24"/>
                <w:szCs w:val="28"/>
              </w:rPr>
              <w:t>втрати інноваційного потенціалу суб’єк</w:t>
            </w:r>
            <w:r w:rsidR="00DC1FD5">
              <w:rPr>
                <w:rFonts w:ascii="Times New Roman" w:eastAsia="Times New Roman" w:hAnsi="Times New Roman" w:cs="Times New Roman"/>
                <w:sz w:val="24"/>
                <w:szCs w:val="28"/>
              </w:rPr>
              <w:t>тів господарювання;</w:t>
            </w:r>
            <w:r>
              <w:rPr>
                <w:rFonts w:ascii="Times New Roman" w:eastAsia="Times New Roman" w:hAnsi="Times New Roman" w:cs="Times New Roman"/>
                <w:sz w:val="24"/>
                <w:szCs w:val="28"/>
              </w:rPr>
              <w:t xml:space="preserve"> </w:t>
            </w:r>
            <w:r w:rsidRPr="008A51B1">
              <w:rPr>
                <w:rFonts w:ascii="Times New Roman" w:eastAsia="Times New Roman" w:hAnsi="Times New Roman" w:cs="Times New Roman"/>
                <w:sz w:val="24"/>
                <w:szCs w:val="28"/>
              </w:rPr>
              <w:t>втрати для суспільства через обмеж</w:t>
            </w:r>
            <w:r>
              <w:rPr>
                <w:rFonts w:ascii="Times New Roman" w:eastAsia="Times New Roman" w:hAnsi="Times New Roman" w:cs="Times New Roman"/>
                <w:sz w:val="24"/>
                <w:szCs w:val="28"/>
              </w:rPr>
              <w:t xml:space="preserve">ення доступу до наукових знань; </w:t>
            </w:r>
            <w:r w:rsidRPr="008A51B1">
              <w:rPr>
                <w:rFonts w:ascii="Times New Roman" w:eastAsia="Times New Roman" w:hAnsi="Times New Roman" w:cs="Times New Roman"/>
                <w:sz w:val="24"/>
                <w:szCs w:val="28"/>
              </w:rPr>
              <w:t>зниження конкурентоспроможності наукових установ та економіки загалом</w:t>
            </w:r>
            <w:r>
              <w:rPr>
                <w:rFonts w:ascii="Times New Roman" w:eastAsia="Times New Roman" w:hAnsi="Times New Roman" w:cs="Times New Roman"/>
                <w:sz w:val="24"/>
                <w:szCs w:val="28"/>
              </w:rPr>
              <w:t>.</w:t>
            </w:r>
          </w:p>
          <w:p w:rsidR="008A51B1" w:rsidRDefault="008A51B1" w:rsidP="008A51B1">
            <w:pPr>
              <w:spacing w:after="0" w:line="240" w:lineRule="auto"/>
              <w:ind w:left="127" w:right="133"/>
              <w:jc w:val="both"/>
              <w:rPr>
                <w:rFonts w:ascii="Times New Roman" w:eastAsia="Times New Roman" w:hAnsi="Times New Roman" w:cs="Times New Roman"/>
                <w:sz w:val="24"/>
                <w:szCs w:val="28"/>
              </w:rPr>
            </w:pPr>
            <w:r w:rsidRPr="008A51B1">
              <w:rPr>
                <w:rFonts w:ascii="Times New Roman" w:eastAsia="Times New Roman" w:hAnsi="Times New Roman" w:cs="Times New Roman"/>
                <w:sz w:val="24"/>
                <w:szCs w:val="28"/>
              </w:rPr>
              <w:t>Інституційні втрати для суб’єктів господарювання</w:t>
            </w:r>
            <w:r>
              <w:rPr>
                <w:rFonts w:ascii="Times New Roman" w:eastAsia="Times New Roman" w:hAnsi="Times New Roman" w:cs="Times New Roman"/>
                <w:sz w:val="24"/>
                <w:szCs w:val="28"/>
              </w:rPr>
              <w:t xml:space="preserve"> є також важливим фактором. Так, в</w:t>
            </w:r>
            <w:r w:rsidRPr="008A51B1">
              <w:rPr>
                <w:rFonts w:ascii="Times New Roman" w:eastAsia="Times New Roman" w:hAnsi="Times New Roman" w:cs="Times New Roman"/>
                <w:sz w:val="24"/>
                <w:szCs w:val="28"/>
              </w:rPr>
              <w:t>ідсутність доступу до результатів досліджень</w:t>
            </w:r>
            <w:r>
              <w:rPr>
                <w:rFonts w:ascii="Times New Roman" w:eastAsia="Times New Roman" w:hAnsi="Times New Roman" w:cs="Times New Roman"/>
                <w:sz w:val="24"/>
                <w:szCs w:val="28"/>
              </w:rPr>
              <w:t>, отриманих за рахунок публічного фінансування,</w:t>
            </w:r>
            <w:r w:rsidRPr="008A51B1">
              <w:rPr>
                <w:rFonts w:ascii="Times New Roman" w:eastAsia="Times New Roman" w:hAnsi="Times New Roman" w:cs="Times New Roman"/>
                <w:sz w:val="24"/>
                <w:szCs w:val="28"/>
              </w:rPr>
              <w:t xml:space="preserve"> унеможливлює розвиток нових продуктів або бізнес-моделей, які базуються на відкритих даних (наприклад, в </w:t>
            </w:r>
            <w:proofErr w:type="spellStart"/>
            <w:r w:rsidRPr="008A51B1">
              <w:rPr>
                <w:rFonts w:ascii="Times New Roman" w:eastAsia="Times New Roman" w:hAnsi="Times New Roman" w:cs="Times New Roman"/>
                <w:sz w:val="24"/>
                <w:szCs w:val="28"/>
              </w:rPr>
              <w:t>агро</w:t>
            </w:r>
            <w:proofErr w:type="spellEnd"/>
            <w:r w:rsidRPr="008A51B1">
              <w:rPr>
                <w:rFonts w:ascii="Times New Roman" w:eastAsia="Times New Roman" w:hAnsi="Times New Roman" w:cs="Times New Roman"/>
                <w:sz w:val="24"/>
                <w:szCs w:val="28"/>
              </w:rPr>
              <w:t>-, медичному, ІТ-, освітньому секторах). Це стримує розвиток ринку послуг на основі наукової інформації, який у ЄС оцінюється в мільярди євро.</w:t>
            </w:r>
          </w:p>
          <w:p w:rsidR="008A51B1" w:rsidRPr="00B32392" w:rsidRDefault="008A51B1" w:rsidP="008A51B1">
            <w:pPr>
              <w:spacing w:after="0" w:line="240" w:lineRule="auto"/>
              <w:ind w:left="127" w:right="133"/>
              <w:jc w:val="both"/>
              <w:rPr>
                <w:rFonts w:ascii="Times New Roman" w:eastAsia="Times New Roman" w:hAnsi="Times New Roman" w:cs="Times New Roman"/>
                <w:sz w:val="24"/>
                <w:szCs w:val="28"/>
              </w:rPr>
            </w:pPr>
            <w:r w:rsidRPr="008A51B1">
              <w:rPr>
                <w:rFonts w:ascii="Times New Roman" w:eastAsia="Times New Roman" w:hAnsi="Times New Roman" w:cs="Times New Roman"/>
                <w:sz w:val="24"/>
                <w:szCs w:val="28"/>
              </w:rPr>
              <w:t>Прямих витрат немає, але системні втрати для економіки значні.</w:t>
            </w:r>
          </w:p>
        </w:tc>
      </w:tr>
      <w:tr w:rsidR="00D747E3" w:rsidRPr="00B32392" w:rsidTr="00B60B99">
        <w:tc>
          <w:tcPr>
            <w:tcW w:w="3119" w:type="dxa"/>
            <w:tcBorders>
              <w:top w:val="single" w:sz="4" w:space="0" w:color="000000"/>
              <w:left w:val="single" w:sz="4" w:space="0" w:color="000000"/>
              <w:bottom w:val="single" w:sz="4" w:space="0" w:color="000000"/>
              <w:right w:val="single" w:sz="4" w:space="0" w:color="000000"/>
            </w:tcBorders>
          </w:tcPr>
          <w:p w:rsidR="00AF149D" w:rsidRPr="00B32392" w:rsidRDefault="00716C69" w:rsidP="00AB1AF8">
            <w:pPr>
              <w:spacing w:after="0" w:line="240" w:lineRule="auto"/>
              <w:rPr>
                <w:rFonts w:ascii="Times New Roman" w:eastAsia="Times New Roman" w:hAnsi="Times New Roman" w:cs="Times New Roman"/>
                <w:sz w:val="24"/>
                <w:szCs w:val="28"/>
              </w:rPr>
            </w:pPr>
            <w:r w:rsidRPr="00B32392">
              <w:rPr>
                <w:rFonts w:ascii="Times New Roman" w:eastAsia="Times New Roman" w:hAnsi="Times New Roman" w:cs="Times New Roman"/>
                <w:sz w:val="24"/>
                <w:szCs w:val="28"/>
              </w:rPr>
              <w:t xml:space="preserve">Альтернатива 2. </w:t>
            </w:r>
          </w:p>
        </w:tc>
        <w:tc>
          <w:tcPr>
            <w:tcW w:w="6520" w:type="dxa"/>
            <w:tcBorders>
              <w:top w:val="single" w:sz="4" w:space="0" w:color="000000"/>
              <w:left w:val="single" w:sz="4" w:space="0" w:color="000000"/>
              <w:bottom w:val="single" w:sz="4" w:space="0" w:color="000000"/>
              <w:right w:val="single" w:sz="4" w:space="0" w:color="000000"/>
            </w:tcBorders>
          </w:tcPr>
          <w:p w:rsidR="00AF149D" w:rsidRPr="00B32392" w:rsidRDefault="00716C69" w:rsidP="00C90E21">
            <w:pPr>
              <w:spacing w:after="0" w:line="240" w:lineRule="auto"/>
              <w:ind w:left="127" w:right="133"/>
              <w:jc w:val="both"/>
              <w:rPr>
                <w:rFonts w:ascii="Times New Roman" w:eastAsia="Times New Roman" w:hAnsi="Times New Roman" w:cs="Times New Roman"/>
                <w:sz w:val="24"/>
                <w:szCs w:val="28"/>
              </w:rPr>
            </w:pPr>
            <w:r w:rsidRPr="00DC1FD5">
              <w:rPr>
                <w:rFonts w:ascii="Times New Roman" w:eastAsia="Times New Roman" w:hAnsi="Times New Roman" w:cs="Times New Roman"/>
                <w:i/>
                <w:sz w:val="24"/>
                <w:szCs w:val="28"/>
              </w:rPr>
              <w:t>Відсутні</w:t>
            </w:r>
            <w:r w:rsidR="00B60B99" w:rsidRPr="00B32392">
              <w:rPr>
                <w:rFonts w:ascii="Times New Roman" w:eastAsia="Times New Roman" w:hAnsi="Times New Roman" w:cs="Times New Roman"/>
                <w:sz w:val="24"/>
                <w:szCs w:val="28"/>
              </w:rPr>
              <w:t xml:space="preserve">. </w:t>
            </w:r>
            <w:proofErr w:type="spellStart"/>
            <w:r w:rsidR="00DC1FD5" w:rsidRPr="00DC1FD5">
              <w:rPr>
                <w:rFonts w:ascii="Times New Roman" w:eastAsia="Times New Roman" w:hAnsi="Times New Roman" w:cs="Times New Roman"/>
                <w:sz w:val="24"/>
                <w:szCs w:val="28"/>
              </w:rPr>
              <w:t>Проєкт</w:t>
            </w:r>
            <w:proofErr w:type="spellEnd"/>
            <w:r w:rsidR="00DC1FD5" w:rsidRPr="00DC1FD5">
              <w:rPr>
                <w:rFonts w:ascii="Times New Roman" w:eastAsia="Times New Roman" w:hAnsi="Times New Roman" w:cs="Times New Roman"/>
                <w:sz w:val="24"/>
                <w:szCs w:val="28"/>
              </w:rPr>
              <w:t xml:space="preserve"> закону встановлює вимоги лише щодо досліджень, виконаних за кошти державного або місцевого бюджету, і не поширюється на дослідження, що фінансуються приватно. Вимоги не передбачають закупівлі нового обладнання або створення нових ІТ-рішень, а лише регламентують порядок доступу до результатів. Більшість суб’єктів господарювання вже мають необхідні канали публікації </w:t>
            </w:r>
            <w:r w:rsidR="00DC1FD5">
              <w:rPr>
                <w:rFonts w:ascii="Times New Roman" w:eastAsia="Times New Roman" w:hAnsi="Times New Roman" w:cs="Times New Roman"/>
                <w:sz w:val="24"/>
                <w:szCs w:val="28"/>
              </w:rPr>
              <w:t>(</w:t>
            </w:r>
            <w:r w:rsidR="00DC1FD5" w:rsidRPr="00DC1FD5">
              <w:rPr>
                <w:rFonts w:ascii="Times New Roman" w:eastAsia="Times New Roman" w:hAnsi="Times New Roman" w:cs="Times New Roman"/>
                <w:sz w:val="24"/>
                <w:szCs w:val="28"/>
              </w:rPr>
              <w:t>зокрема</w:t>
            </w:r>
            <w:r w:rsidR="001D1B3F">
              <w:rPr>
                <w:rFonts w:ascii="Times New Roman" w:eastAsia="Times New Roman" w:hAnsi="Times New Roman" w:cs="Times New Roman"/>
                <w:sz w:val="24"/>
                <w:szCs w:val="28"/>
              </w:rPr>
              <w:t>,</w:t>
            </w:r>
            <w:r w:rsidR="00DC1FD5" w:rsidRPr="00DC1FD5">
              <w:rPr>
                <w:rFonts w:ascii="Times New Roman" w:eastAsia="Times New Roman" w:hAnsi="Times New Roman" w:cs="Times New Roman"/>
                <w:sz w:val="24"/>
                <w:szCs w:val="28"/>
              </w:rPr>
              <w:t xml:space="preserve"> Національний </w:t>
            </w:r>
            <w:proofErr w:type="spellStart"/>
            <w:r w:rsidR="00DC1FD5" w:rsidRPr="00DC1FD5">
              <w:rPr>
                <w:rFonts w:ascii="Times New Roman" w:eastAsia="Times New Roman" w:hAnsi="Times New Roman" w:cs="Times New Roman"/>
                <w:sz w:val="24"/>
                <w:szCs w:val="28"/>
              </w:rPr>
              <w:t>репозитарій</w:t>
            </w:r>
            <w:proofErr w:type="spellEnd"/>
            <w:r w:rsidR="00DC1FD5" w:rsidRPr="00DC1FD5">
              <w:rPr>
                <w:rFonts w:ascii="Times New Roman" w:eastAsia="Times New Roman" w:hAnsi="Times New Roman" w:cs="Times New Roman"/>
                <w:sz w:val="24"/>
                <w:szCs w:val="28"/>
              </w:rPr>
              <w:t xml:space="preserve"> академічних текстів, </w:t>
            </w:r>
            <w:proofErr w:type="spellStart"/>
            <w:r w:rsidR="00DC1FD5" w:rsidRPr="00DC1FD5">
              <w:rPr>
                <w:rFonts w:ascii="Times New Roman" w:eastAsia="Times New Roman" w:hAnsi="Times New Roman" w:cs="Times New Roman"/>
                <w:sz w:val="24"/>
                <w:szCs w:val="28"/>
              </w:rPr>
              <w:t>репозитарії</w:t>
            </w:r>
            <w:proofErr w:type="spellEnd"/>
            <w:r w:rsidR="00DC1FD5" w:rsidRPr="00DC1FD5">
              <w:rPr>
                <w:rFonts w:ascii="Times New Roman" w:eastAsia="Times New Roman" w:hAnsi="Times New Roman" w:cs="Times New Roman"/>
                <w:sz w:val="24"/>
                <w:szCs w:val="28"/>
              </w:rPr>
              <w:t xml:space="preserve"> закладів вищої освіти та наукових установ</w:t>
            </w:r>
            <w:r w:rsidR="00DC1FD5">
              <w:rPr>
                <w:rFonts w:ascii="Times New Roman" w:eastAsia="Times New Roman" w:hAnsi="Times New Roman" w:cs="Times New Roman"/>
                <w:sz w:val="24"/>
                <w:szCs w:val="28"/>
              </w:rPr>
              <w:t xml:space="preserve">, </w:t>
            </w:r>
            <w:proofErr w:type="spellStart"/>
            <w:r w:rsidR="00DC1FD5">
              <w:rPr>
                <w:rFonts w:ascii="Times New Roman" w:eastAsia="Times New Roman" w:hAnsi="Times New Roman" w:cs="Times New Roman"/>
                <w:sz w:val="24"/>
                <w:szCs w:val="28"/>
              </w:rPr>
              <w:t>р</w:t>
            </w:r>
            <w:r w:rsidR="00DC1FD5" w:rsidRPr="00DC1FD5">
              <w:rPr>
                <w:rFonts w:ascii="Times New Roman" w:eastAsia="Times New Roman" w:hAnsi="Times New Roman" w:cs="Times New Roman"/>
                <w:sz w:val="24"/>
                <w:szCs w:val="28"/>
              </w:rPr>
              <w:t>епозитарій</w:t>
            </w:r>
            <w:proofErr w:type="spellEnd"/>
            <w:r w:rsidR="00DC1FD5" w:rsidRPr="00DC1FD5">
              <w:rPr>
                <w:rFonts w:ascii="Times New Roman" w:eastAsia="Times New Roman" w:hAnsi="Times New Roman" w:cs="Times New Roman"/>
                <w:sz w:val="24"/>
                <w:szCs w:val="28"/>
              </w:rPr>
              <w:t xml:space="preserve"> відкритих даних досліджень НАН України</w:t>
            </w:r>
            <w:r w:rsidR="001D1B3F">
              <w:rPr>
                <w:rFonts w:ascii="Times New Roman" w:eastAsia="Times New Roman" w:hAnsi="Times New Roman" w:cs="Times New Roman"/>
                <w:sz w:val="24"/>
                <w:szCs w:val="28"/>
              </w:rPr>
              <w:t xml:space="preserve">, міжнародні </w:t>
            </w:r>
            <w:r w:rsidR="00C90E21">
              <w:rPr>
                <w:rFonts w:ascii="Times New Roman" w:eastAsia="Times New Roman" w:hAnsi="Times New Roman" w:cs="Times New Roman"/>
                <w:sz w:val="24"/>
                <w:szCs w:val="28"/>
              </w:rPr>
              <w:t>ресурси відкритої науки та відкритих</w:t>
            </w:r>
            <w:r w:rsidR="001D1B3F">
              <w:rPr>
                <w:rFonts w:ascii="Times New Roman" w:eastAsia="Times New Roman" w:hAnsi="Times New Roman" w:cs="Times New Roman"/>
                <w:sz w:val="24"/>
                <w:szCs w:val="28"/>
              </w:rPr>
              <w:t xml:space="preserve"> наукових даних, наприклад, </w:t>
            </w:r>
            <w:r w:rsidR="00C90E21">
              <w:rPr>
                <w:rFonts w:ascii="Times New Roman" w:eastAsia="Times New Roman" w:hAnsi="Times New Roman" w:cs="Times New Roman"/>
                <w:sz w:val="24"/>
                <w:szCs w:val="28"/>
              </w:rPr>
              <w:t xml:space="preserve">портал </w:t>
            </w:r>
            <w:proofErr w:type="spellStart"/>
            <w:r w:rsidR="001D1B3F" w:rsidRPr="001D1B3F">
              <w:rPr>
                <w:rFonts w:ascii="Times New Roman" w:eastAsia="Times New Roman" w:hAnsi="Times New Roman" w:cs="Times New Roman"/>
                <w:sz w:val="24"/>
                <w:szCs w:val="28"/>
              </w:rPr>
              <w:t>Zenodo</w:t>
            </w:r>
            <w:proofErr w:type="spellEnd"/>
            <w:r w:rsidR="00DC1FD5">
              <w:rPr>
                <w:rFonts w:ascii="Times New Roman" w:eastAsia="Times New Roman" w:hAnsi="Times New Roman" w:cs="Times New Roman"/>
                <w:sz w:val="24"/>
                <w:szCs w:val="28"/>
              </w:rPr>
              <w:t xml:space="preserve">) </w:t>
            </w:r>
            <w:r w:rsidR="00DC1FD5" w:rsidRPr="00DC1FD5">
              <w:rPr>
                <w:rFonts w:ascii="Times New Roman" w:eastAsia="Times New Roman" w:hAnsi="Times New Roman" w:cs="Times New Roman"/>
                <w:sz w:val="24"/>
                <w:szCs w:val="28"/>
              </w:rPr>
              <w:t>та персонал для адміністрування наукової інформації. У зв’язку з цим фінансові витрати відсутні.</w:t>
            </w:r>
          </w:p>
        </w:tc>
      </w:tr>
    </w:tbl>
    <w:p w:rsidR="00AB1AF8" w:rsidRDefault="00AB1AF8" w:rsidP="00D747E3">
      <w:pPr>
        <w:shd w:val="clear" w:color="auto" w:fill="FFFFFF"/>
        <w:spacing w:after="0" w:line="240" w:lineRule="auto"/>
        <w:ind w:firstLine="709"/>
        <w:jc w:val="center"/>
        <w:rPr>
          <w:rFonts w:ascii="Times New Roman" w:eastAsia="Times New Roman" w:hAnsi="Times New Roman" w:cs="Times New Roman"/>
          <w:sz w:val="28"/>
          <w:szCs w:val="28"/>
        </w:rPr>
      </w:pPr>
    </w:p>
    <w:p w:rsidR="00AF149D" w:rsidRPr="00B32392" w:rsidRDefault="00716C69" w:rsidP="00AB1AF8">
      <w:pPr>
        <w:shd w:val="clear" w:color="auto" w:fill="FFFFFF"/>
        <w:spacing w:after="0" w:line="240" w:lineRule="auto"/>
        <w:jc w:val="center"/>
        <w:rPr>
          <w:rFonts w:ascii="Times New Roman" w:eastAsia="Times New Roman" w:hAnsi="Times New Roman" w:cs="Times New Roman"/>
          <w:b/>
          <w:sz w:val="28"/>
          <w:szCs w:val="28"/>
        </w:rPr>
      </w:pPr>
      <w:r w:rsidRPr="00B32392">
        <w:rPr>
          <w:rFonts w:ascii="Times New Roman" w:eastAsia="Times New Roman" w:hAnsi="Times New Roman" w:cs="Times New Roman"/>
          <w:b/>
          <w:sz w:val="28"/>
          <w:szCs w:val="28"/>
        </w:rPr>
        <w:t>IV. Вибір найбільш оптимального альтернативного способу досягнення цілей</w:t>
      </w:r>
    </w:p>
    <w:p w:rsidR="00AB1AF8" w:rsidRPr="00B32392" w:rsidRDefault="00AB1AF8" w:rsidP="00D747E3">
      <w:pPr>
        <w:shd w:val="clear" w:color="auto" w:fill="FFFFFF"/>
        <w:spacing w:after="0" w:line="240" w:lineRule="auto"/>
        <w:ind w:firstLine="709"/>
        <w:jc w:val="center"/>
        <w:rPr>
          <w:rFonts w:ascii="Times New Roman" w:eastAsia="Times New Roman" w:hAnsi="Times New Roman" w:cs="Times New Roman"/>
          <w:sz w:val="28"/>
          <w:szCs w:val="28"/>
        </w:rPr>
      </w:pPr>
    </w:p>
    <w:tbl>
      <w:tblPr>
        <w:tblStyle w:val="ab"/>
        <w:tblW w:w="9498" w:type="dxa"/>
        <w:jc w:val="center"/>
        <w:tblInd w:w="0" w:type="dxa"/>
        <w:tblLayout w:type="fixed"/>
        <w:tblLook w:val="0400" w:firstRow="0" w:lastRow="0" w:firstColumn="0" w:lastColumn="0" w:noHBand="0" w:noVBand="1"/>
      </w:tblPr>
      <w:tblGrid>
        <w:gridCol w:w="3119"/>
        <w:gridCol w:w="2835"/>
        <w:gridCol w:w="3544"/>
      </w:tblGrid>
      <w:tr w:rsidR="00D747E3" w:rsidRPr="00B32392" w:rsidTr="00DC1FD5">
        <w:trPr>
          <w:jc w:val="center"/>
        </w:trPr>
        <w:tc>
          <w:tcPr>
            <w:tcW w:w="3119" w:type="dxa"/>
            <w:tcBorders>
              <w:top w:val="single" w:sz="6" w:space="0" w:color="000000"/>
              <w:left w:val="nil"/>
              <w:bottom w:val="single" w:sz="6" w:space="0" w:color="000000"/>
              <w:right w:val="single" w:sz="6" w:space="0" w:color="000000"/>
            </w:tcBorders>
          </w:tcPr>
          <w:p w:rsidR="00AF149D" w:rsidRPr="00B32392" w:rsidRDefault="00716C69" w:rsidP="00AB1AF8">
            <w:pPr>
              <w:spacing w:after="0" w:line="240" w:lineRule="auto"/>
              <w:jc w:val="center"/>
              <w:rPr>
                <w:rFonts w:ascii="Times New Roman" w:eastAsia="Times New Roman" w:hAnsi="Times New Roman" w:cs="Times New Roman"/>
                <w:sz w:val="24"/>
                <w:szCs w:val="28"/>
              </w:rPr>
            </w:pPr>
            <w:r w:rsidRPr="00B32392">
              <w:rPr>
                <w:rFonts w:ascii="Times New Roman" w:eastAsia="Times New Roman" w:hAnsi="Times New Roman" w:cs="Times New Roman"/>
                <w:sz w:val="24"/>
                <w:szCs w:val="28"/>
              </w:rPr>
              <w:t>Рейтинг результативності (досягнення цілей під час вирішення проблеми)</w:t>
            </w:r>
          </w:p>
        </w:tc>
        <w:tc>
          <w:tcPr>
            <w:tcW w:w="2835" w:type="dxa"/>
            <w:tcBorders>
              <w:top w:val="single" w:sz="6" w:space="0" w:color="000000"/>
              <w:left w:val="single" w:sz="6" w:space="0" w:color="000000"/>
              <w:bottom w:val="single" w:sz="6" w:space="0" w:color="000000"/>
              <w:right w:val="single" w:sz="6" w:space="0" w:color="000000"/>
            </w:tcBorders>
          </w:tcPr>
          <w:p w:rsidR="00AF149D" w:rsidRPr="00B32392" w:rsidRDefault="00716C69" w:rsidP="00AB1AF8">
            <w:pPr>
              <w:spacing w:after="0" w:line="240" w:lineRule="auto"/>
              <w:jc w:val="center"/>
              <w:rPr>
                <w:rFonts w:ascii="Times New Roman" w:eastAsia="Times New Roman" w:hAnsi="Times New Roman" w:cs="Times New Roman"/>
                <w:sz w:val="24"/>
                <w:szCs w:val="28"/>
              </w:rPr>
            </w:pPr>
            <w:r w:rsidRPr="00B32392">
              <w:rPr>
                <w:rFonts w:ascii="Times New Roman" w:eastAsia="Times New Roman" w:hAnsi="Times New Roman" w:cs="Times New Roman"/>
                <w:sz w:val="24"/>
                <w:szCs w:val="28"/>
              </w:rPr>
              <w:t>Бал результативності (за чотирибальною системою оцінки)</w:t>
            </w:r>
          </w:p>
        </w:tc>
        <w:tc>
          <w:tcPr>
            <w:tcW w:w="3544" w:type="dxa"/>
            <w:tcBorders>
              <w:top w:val="single" w:sz="6" w:space="0" w:color="000000"/>
              <w:left w:val="single" w:sz="6" w:space="0" w:color="000000"/>
              <w:bottom w:val="single" w:sz="6" w:space="0" w:color="000000"/>
              <w:right w:val="nil"/>
            </w:tcBorders>
          </w:tcPr>
          <w:p w:rsidR="00AF149D" w:rsidRPr="00B32392" w:rsidRDefault="00716C69" w:rsidP="00AB1AF8">
            <w:pPr>
              <w:spacing w:after="0" w:line="240" w:lineRule="auto"/>
              <w:jc w:val="center"/>
              <w:rPr>
                <w:rFonts w:ascii="Times New Roman" w:eastAsia="Times New Roman" w:hAnsi="Times New Roman" w:cs="Times New Roman"/>
                <w:sz w:val="24"/>
                <w:szCs w:val="28"/>
              </w:rPr>
            </w:pPr>
            <w:r w:rsidRPr="00B32392">
              <w:rPr>
                <w:rFonts w:ascii="Times New Roman" w:eastAsia="Times New Roman" w:hAnsi="Times New Roman" w:cs="Times New Roman"/>
                <w:sz w:val="24"/>
                <w:szCs w:val="28"/>
              </w:rPr>
              <w:t xml:space="preserve">Коментарі щодо присвоєння відповідного </w:t>
            </w:r>
            <w:proofErr w:type="spellStart"/>
            <w:r w:rsidRPr="00B32392">
              <w:rPr>
                <w:rFonts w:ascii="Times New Roman" w:eastAsia="Times New Roman" w:hAnsi="Times New Roman" w:cs="Times New Roman"/>
                <w:sz w:val="24"/>
                <w:szCs w:val="28"/>
              </w:rPr>
              <w:t>бала</w:t>
            </w:r>
            <w:proofErr w:type="spellEnd"/>
          </w:p>
        </w:tc>
      </w:tr>
      <w:tr w:rsidR="00D747E3" w:rsidRPr="00B32392" w:rsidTr="00DC1FD5">
        <w:trPr>
          <w:jc w:val="center"/>
        </w:trPr>
        <w:tc>
          <w:tcPr>
            <w:tcW w:w="3119" w:type="dxa"/>
            <w:tcBorders>
              <w:top w:val="single" w:sz="6" w:space="0" w:color="000000"/>
              <w:left w:val="single" w:sz="4" w:space="0" w:color="000000"/>
              <w:bottom w:val="single" w:sz="4" w:space="0" w:color="000000"/>
              <w:right w:val="single" w:sz="4" w:space="0" w:color="000000"/>
            </w:tcBorders>
          </w:tcPr>
          <w:p w:rsidR="00AF149D" w:rsidRPr="00B32392" w:rsidRDefault="00716C69" w:rsidP="00AB1AF8">
            <w:pPr>
              <w:spacing w:after="0" w:line="240" w:lineRule="auto"/>
              <w:rPr>
                <w:rFonts w:ascii="Times New Roman" w:eastAsia="Times New Roman" w:hAnsi="Times New Roman" w:cs="Times New Roman"/>
                <w:sz w:val="24"/>
                <w:szCs w:val="28"/>
              </w:rPr>
            </w:pPr>
            <w:r w:rsidRPr="00B32392">
              <w:rPr>
                <w:rFonts w:ascii="Times New Roman" w:eastAsia="Times New Roman" w:hAnsi="Times New Roman" w:cs="Times New Roman"/>
                <w:sz w:val="24"/>
                <w:szCs w:val="28"/>
              </w:rPr>
              <w:t>Альтернатива 1</w:t>
            </w:r>
          </w:p>
        </w:tc>
        <w:tc>
          <w:tcPr>
            <w:tcW w:w="2835" w:type="dxa"/>
            <w:tcBorders>
              <w:top w:val="single" w:sz="6" w:space="0" w:color="000000"/>
              <w:left w:val="single" w:sz="4" w:space="0" w:color="000000"/>
              <w:bottom w:val="single" w:sz="4" w:space="0" w:color="000000"/>
              <w:right w:val="single" w:sz="4" w:space="0" w:color="000000"/>
            </w:tcBorders>
          </w:tcPr>
          <w:p w:rsidR="00AF149D" w:rsidRPr="00B32392" w:rsidRDefault="00716C69" w:rsidP="00AB1AF8">
            <w:pPr>
              <w:spacing w:after="0" w:line="240" w:lineRule="auto"/>
              <w:jc w:val="center"/>
              <w:rPr>
                <w:rFonts w:ascii="Times New Roman" w:eastAsia="Times New Roman" w:hAnsi="Times New Roman" w:cs="Times New Roman"/>
                <w:sz w:val="24"/>
                <w:szCs w:val="28"/>
              </w:rPr>
            </w:pPr>
            <w:r w:rsidRPr="00B32392">
              <w:rPr>
                <w:rFonts w:ascii="Times New Roman" w:eastAsia="Times New Roman" w:hAnsi="Times New Roman" w:cs="Times New Roman"/>
                <w:sz w:val="24"/>
                <w:szCs w:val="28"/>
              </w:rPr>
              <w:t>1</w:t>
            </w:r>
          </w:p>
        </w:tc>
        <w:tc>
          <w:tcPr>
            <w:tcW w:w="3544" w:type="dxa"/>
            <w:tcBorders>
              <w:top w:val="single" w:sz="6" w:space="0" w:color="000000"/>
              <w:left w:val="single" w:sz="4" w:space="0" w:color="000000"/>
              <w:bottom w:val="single" w:sz="4" w:space="0" w:color="000000"/>
              <w:right w:val="single" w:sz="4" w:space="0" w:color="000000"/>
            </w:tcBorders>
          </w:tcPr>
          <w:p w:rsidR="00AF149D" w:rsidRPr="00B32392" w:rsidRDefault="00DC1FD5" w:rsidP="00DC1FD5">
            <w:pPr>
              <w:spacing w:after="0" w:line="240" w:lineRule="auto"/>
              <w:ind w:left="124" w:right="133"/>
              <w:jc w:val="both"/>
              <w:rPr>
                <w:rFonts w:ascii="Times New Roman" w:eastAsia="Times New Roman" w:hAnsi="Times New Roman" w:cs="Times New Roman"/>
                <w:sz w:val="24"/>
                <w:szCs w:val="28"/>
              </w:rPr>
            </w:pPr>
            <w:r w:rsidRPr="0073605A">
              <w:rPr>
                <w:rFonts w:ascii="Times New Roman" w:eastAsia="Times New Roman" w:hAnsi="Times New Roman" w:cs="Times New Roman"/>
                <w:i/>
                <w:sz w:val="24"/>
                <w:szCs w:val="28"/>
              </w:rPr>
              <w:t>Альтернатива не дозволяє вирішити проблему</w:t>
            </w:r>
            <w:r w:rsidRPr="00DC1FD5">
              <w:rPr>
                <w:rFonts w:ascii="Times New Roman" w:eastAsia="Times New Roman" w:hAnsi="Times New Roman" w:cs="Times New Roman"/>
                <w:sz w:val="24"/>
                <w:szCs w:val="28"/>
              </w:rPr>
              <w:t xml:space="preserve">: правове поле залишається </w:t>
            </w:r>
            <w:r w:rsidRPr="00DC1FD5">
              <w:rPr>
                <w:rFonts w:ascii="Times New Roman" w:eastAsia="Times New Roman" w:hAnsi="Times New Roman" w:cs="Times New Roman"/>
                <w:sz w:val="24"/>
                <w:szCs w:val="28"/>
              </w:rPr>
              <w:lastRenderedPageBreak/>
              <w:t xml:space="preserve">фрагментарним, положення про відкриту науку </w:t>
            </w:r>
            <w:r>
              <w:rPr>
                <w:rFonts w:ascii="Times New Roman" w:eastAsia="Times New Roman" w:hAnsi="Times New Roman" w:cs="Times New Roman"/>
                <w:sz w:val="24"/>
                <w:szCs w:val="28"/>
              </w:rPr>
              <w:t>–</w:t>
            </w:r>
            <w:r w:rsidRPr="00DC1FD5">
              <w:rPr>
                <w:rFonts w:ascii="Times New Roman" w:eastAsia="Times New Roman" w:hAnsi="Times New Roman" w:cs="Times New Roman"/>
                <w:sz w:val="24"/>
                <w:szCs w:val="28"/>
              </w:rPr>
              <w:t xml:space="preserve"> не закріплені, доступ до результатів публічно фінансованих досліджень </w:t>
            </w:r>
            <w:r>
              <w:rPr>
                <w:rFonts w:ascii="Times New Roman" w:eastAsia="Times New Roman" w:hAnsi="Times New Roman" w:cs="Times New Roman"/>
                <w:sz w:val="24"/>
                <w:szCs w:val="28"/>
              </w:rPr>
              <w:t>–</w:t>
            </w:r>
            <w:r w:rsidRPr="00DC1FD5">
              <w:rPr>
                <w:rFonts w:ascii="Times New Roman" w:eastAsia="Times New Roman" w:hAnsi="Times New Roman" w:cs="Times New Roman"/>
                <w:sz w:val="24"/>
                <w:szCs w:val="28"/>
              </w:rPr>
              <w:t xml:space="preserve"> обмежений. Зберігається невідповідність міжнародним зобов’язанням України, зокрема у межах інтеграції до Європейського дослідницького простору (ERA) та участі у програмах ЄС.</w:t>
            </w:r>
          </w:p>
        </w:tc>
      </w:tr>
      <w:tr w:rsidR="00D747E3" w:rsidRPr="00B32392" w:rsidTr="00DC1FD5">
        <w:trPr>
          <w:jc w:val="center"/>
        </w:trPr>
        <w:tc>
          <w:tcPr>
            <w:tcW w:w="3119" w:type="dxa"/>
            <w:tcBorders>
              <w:top w:val="single" w:sz="4" w:space="0" w:color="000000"/>
              <w:left w:val="single" w:sz="4" w:space="0" w:color="000000"/>
              <w:bottom w:val="single" w:sz="4" w:space="0" w:color="000000"/>
              <w:right w:val="single" w:sz="4" w:space="0" w:color="000000"/>
            </w:tcBorders>
          </w:tcPr>
          <w:p w:rsidR="00AF149D" w:rsidRPr="00B32392" w:rsidRDefault="00716C69" w:rsidP="00AB1AF8">
            <w:pPr>
              <w:spacing w:after="0" w:line="240" w:lineRule="auto"/>
              <w:rPr>
                <w:rFonts w:ascii="Times New Roman" w:eastAsia="Times New Roman" w:hAnsi="Times New Roman" w:cs="Times New Roman"/>
                <w:sz w:val="24"/>
                <w:szCs w:val="28"/>
              </w:rPr>
            </w:pPr>
            <w:r w:rsidRPr="00B32392">
              <w:rPr>
                <w:rFonts w:ascii="Times New Roman" w:eastAsia="Times New Roman" w:hAnsi="Times New Roman" w:cs="Times New Roman"/>
                <w:sz w:val="24"/>
                <w:szCs w:val="28"/>
              </w:rPr>
              <w:lastRenderedPageBreak/>
              <w:t>Альтернатива 2</w:t>
            </w:r>
          </w:p>
        </w:tc>
        <w:tc>
          <w:tcPr>
            <w:tcW w:w="2835" w:type="dxa"/>
            <w:tcBorders>
              <w:top w:val="single" w:sz="4" w:space="0" w:color="000000"/>
              <w:left w:val="single" w:sz="4" w:space="0" w:color="000000"/>
              <w:bottom w:val="single" w:sz="4" w:space="0" w:color="000000"/>
              <w:right w:val="single" w:sz="4" w:space="0" w:color="000000"/>
            </w:tcBorders>
          </w:tcPr>
          <w:p w:rsidR="00AF149D" w:rsidRPr="00B32392" w:rsidRDefault="00716C69" w:rsidP="00AB1AF8">
            <w:pPr>
              <w:spacing w:after="0" w:line="240" w:lineRule="auto"/>
              <w:jc w:val="center"/>
              <w:rPr>
                <w:rFonts w:ascii="Times New Roman" w:eastAsia="Times New Roman" w:hAnsi="Times New Roman" w:cs="Times New Roman"/>
                <w:sz w:val="24"/>
                <w:szCs w:val="28"/>
              </w:rPr>
            </w:pPr>
            <w:r w:rsidRPr="00B32392">
              <w:rPr>
                <w:rFonts w:ascii="Times New Roman" w:eastAsia="Times New Roman" w:hAnsi="Times New Roman" w:cs="Times New Roman"/>
                <w:sz w:val="24"/>
                <w:szCs w:val="28"/>
              </w:rPr>
              <w:t>4</w:t>
            </w:r>
          </w:p>
        </w:tc>
        <w:tc>
          <w:tcPr>
            <w:tcW w:w="3544" w:type="dxa"/>
            <w:tcBorders>
              <w:top w:val="single" w:sz="4" w:space="0" w:color="000000"/>
              <w:left w:val="single" w:sz="4" w:space="0" w:color="000000"/>
              <w:bottom w:val="single" w:sz="4" w:space="0" w:color="000000"/>
              <w:right w:val="single" w:sz="4" w:space="0" w:color="000000"/>
            </w:tcBorders>
          </w:tcPr>
          <w:p w:rsidR="00AF149D" w:rsidRPr="00B32392" w:rsidRDefault="00B60B99" w:rsidP="00DC1FD5">
            <w:pPr>
              <w:ind w:left="124" w:right="133"/>
              <w:jc w:val="both"/>
              <w:rPr>
                <w:rFonts w:ascii="Times New Roman" w:eastAsia="Times New Roman" w:hAnsi="Times New Roman" w:cs="Times New Roman"/>
                <w:sz w:val="24"/>
                <w:szCs w:val="28"/>
              </w:rPr>
            </w:pPr>
            <w:r w:rsidRPr="0073605A">
              <w:rPr>
                <w:rFonts w:ascii="Times New Roman" w:eastAsia="Times New Roman" w:hAnsi="Times New Roman" w:cs="Times New Roman"/>
                <w:i/>
                <w:sz w:val="24"/>
                <w:szCs w:val="28"/>
              </w:rPr>
              <w:t>Альтернатива повністю відповідає задекларованим цілям</w:t>
            </w:r>
            <w:r w:rsidRPr="00B32392">
              <w:rPr>
                <w:rFonts w:ascii="Times New Roman" w:eastAsia="Times New Roman" w:hAnsi="Times New Roman" w:cs="Times New Roman"/>
                <w:sz w:val="24"/>
                <w:szCs w:val="28"/>
              </w:rPr>
              <w:t xml:space="preserve">. </w:t>
            </w:r>
            <w:r w:rsidR="00DC1FD5" w:rsidRPr="00DC1FD5">
              <w:rPr>
                <w:rFonts w:ascii="Times New Roman" w:eastAsia="Times New Roman" w:hAnsi="Times New Roman" w:cs="Times New Roman"/>
                <w:sz w:val="24"/>
                <w:szCs w:val="28"/>
              </w:rPr>
              <w:t xml:space="preserve">Прийняття закону </w:t>
            </w:r>
            <w:r w:rsidR="00DC1FD5">
              <w:rPr>
                <w:rFonts w:ascii="Times New Roman" w:eastAsia="Times New Roman" w:hAnsi="Times New Roman" w:cs="Times New Roman"/>
                <w:sz w:val="24"/>
                <w:szCs w:val="28"/>
              </w:rPr>
              <w:t>забезпечить</w:t>
            </w:r>
            <w:r w:rsidR="00DC1FD5" w:rsidRPr="00DC1FD5">
              <w:rPr>
                <w:rFonts w:ascii="Times New Roman" w:eastAsia="Times New Roman" w:hAnsi="Times New Roman" w:cs="Times New Roman"/>
                <w:sz w:val="24"/>
                <w:szCs w:val="28"/>
              </w:rPr>
              <w:t xml:space="preserve">: системне нормативне закріплення принципів відкритої науки, забезпечення </w:t>
            </w:r>
            <w:r w:rsidR="00DC1FD5">
              <w:rPr>
                <w:rFonts w:ascii="Times New Roman" w:eastAsia="Times New Roman" w:hAnsi="Times New Roman" w:cs="Times New Roman"/>
                <w:sz w:val="24"/>
                <w:szCs w:val="28"/>
              </w:rPr>
              <w:t>відкритого</w:t>
            </w:r>
            <w:r w:rsidR="00DC1FD5" w:rsidRPr="00DC1FD5">
              <w:rPr>
                <w:rFonts w:ascii="Times New Roman" w:eastAsia="Times New Roman" w:hAnsi="Times New Roman" w:cs="Times New Roman"/>
                <w:sz w:val="24"/>
                <w:szCs w:val="28"/>
              </w:rPr>
              <w:t xml:space="preserve"> доступу до результатів досліджень, виконаних за бюджетні кошти; створення умов для впровадження відкритих інституційних політик. Альтернатива сприяє інтеграції у міжнародний науковий простір, розвитку інновацій та ефективному використанню державного фінансування на науку.</w:t>
            </w:r>
          </w:p>
        </w:tc>
      </w:tr>
    </w:tbl>
    <w:p w:rsidR="00AB1AF8" w:rsidRDefault="00AB1AF8">
      <w:pPr>
        <w:rPr>
          <w:rFonts w:ascii="Times New Roman" w:hAnsi="Times New Roman" w:cs="Times New Roman"/>
          <w:sz w:val="28"/>
        </w:rPr>
      </w:pPr>
    </w:p>
    <w:tbl>
      <w:tblPr>
        <w:tblStyle w:val="ab"/>
        <w:tblW w:w="9639" w:type="dxa"/>
        <w:jc w:val="center"/>
        <w:tblInd w:w="0" w:type="dxa"/>
        <w:tblLayout w:type="fixed"/>
        <w:tblLook w:val="0400" w:firstRow="0" w:lastRow="0" w:firstColumn="0" w:lastColumn="0" w:noHBand="0" w:noVBand="1"/>
      </w:tblPr>
      <w:tblGrid>
        <w:gridCol w:w="2434"/>
        <w:gridCol w:w="2044"/>
        <w:gridCol w:w="1947"/>
        <w:gridCol w:w="3214"/>
      </w:tblGrid>
      <w:tr w:rsidR="00D747E3" w:rsidRPr="00B32392">
        <w:trPr>
          <w:jc w:val="center"/>
        </w:trPr>
        <w:tc>
          <w:tcPr>
            <w:tcW w:w="2434" w:type="dxa"/>
            <w:tcBorders>
              <w:top w:val="single" w:sz="6" w:space="0" w:color="000000"/>
              <w:left w:val="nil"/>
              <w:bottom w:val="single" w:sz="6" w:space="0" w:color="000000"/>
              <w:right w:val="single" w:sz="6" w:space="0" w:color="000000"/>
            </w:tcBorders>
          </w:tcPr>
          <w:p w:rsidR="00AF149D" w:rsidRPr="00B32392" w:rsidRDefault="00716C69" w:rsidP="00AB1AF8">
            <w:pPr>
              <w:spacing w:after="0" w:line="240" w:lineRule="auto"/>
              <w:jc w:val="center"/>
              <w:rPr>
                <w:rFonts w:ascii="Times New Roman" w:eastAsia="Times New Roman" w:hAnsi="Times New Roman" w:cs="Times New Roman"/>
                <w:sz w:val="24"/>
                <w:szCs w:val="28"/>
              </w:rPr>
            </w:pPr>
            <w:r w:rsidRPr="00B32392">
              <w:rPr>
                <w:rFonts w:ascii="Times New Roman" w:eastAsia="Times New Roman" w:hAnsi="Times New Roman" w:cs="Times New Roman"/>
                <w:sz w:val="24"/>
                <w:szCs w:val="28"/>
              </w:rPr>
              <w:t>Рейтинг результативності</w:t>
            </w:r>
          </w:p>
        </w:tc>
        <w:tc>
          <w:tcPr>
            <w:tcW w:w="2044" w:type="dxa"/>
            <w:tcBorders>
              <w:top w:val="single" w:sz="6" w:space="0" w:color="000000"/>
              <w:left w:val="single" w:sz="6" w:space="0" w:color="000000"/>
              <w:bottom w:val="single" w:sz="6" w:space="0" w:color="000000"/>
              <w:right w:val="single" w:sz="6" w:space="0" w:color="000000"/>
            </w:tcBorders>
          </w:tcPr>
          <w:p w:rsidR="00AF149D" w:rsidRPr="00B32392" w:rsidRDefault="00716C69" w:rsidP="00AB1AF8">
            <w:pPr>
              <w:spacing w:after="0" w:line="240" w:lineRule="auto"/>
              <w:jc w:val="center"/>
              <w:rPr>
                <w:rFonts w:ascii="Times New Roman" w:eastAsia="Times New Roman" w:hAnsi="Times New Roman" w:cs="Times New Roman"/>
                <w:sz w:val="24"/>
                <w:szCs w:val="28"/>
              </w:rPr>
            </w:pPr>
            <w:r w:rsidRPr="00B32392">
              <w:rPr>
                <w:rFonts w:ascii="Times New Roman" w:eastAsia="Times New Roman" w:hAnsi="Times New Roman" w:cs="Times New Roman"/>
                <w:sz w:val="24"/>
                <w:szCs w:val="28"/>
              </w:rPr>
              <w:t>Вигоди (підсумок)</w:t>
            </w:r>
          </w:p>
        </w:tc>
        <w:tc>
          <w:tcPr>
            <w:tcW w:w="1947" w:type="dxa"/>
            <w:tcBorders>
              <w:top w:val="single" w:sz="6" w:space="0" w:color="000000"/>
              <w:left w:val="single" w:sz="6" w:space="0" w:color="000000"/>
              <w:bottom w:val="single" w:sz="6" w:space="0" w:color="000000"/>
              <w:right w:val="single" w:sz="6" w:space="0" w:color="000000"/>
            </w:tcBorders>
          </w:tcPr>
          <w:p w:rsidR="00AF149D" w:rsidRPr="00B32392" w:rsidRDefault="00716C69" w:rsidP="00AB1AF8">
            <w:pPr>
              <w:spacing w:after="0" w:line="240" w:lineRule="auto"/>
              <w:jc w:val="center"/>
              <w:rPr>
                <w:rFonts w:ascii="Times New Roman" w:eastAsia="Times New Roman" w:hAnsi="Times New Roman" w:cs="Times New Roman"/>
                <w:sz w:val="24"/>
                <w:szCs w:val="28"/>
              </w:rPr>
            </w:pPr>
            <w:r w:rsidRPr="00B32392">
              <w:rPr>
                <w:rFonts w:ascii="Times New Roman" w:eastAsia="Times New Roman" w:hAnsi="Times New Roman" w:cs="Times New Roman"/>
                <w:sz w:val="24"/>
                <w:szCs w:val="28"/>
              </w:rPr>
              <w:t>Витрати (підсумок)</w:t>
            </w:r>
          </w:p>
        </w:tc>
        <w:tc>
          <w:tcPr>
            <w:tcW w:w="3214" w:type="dxa"/>
            <w:tcBorders>
              <w:top w:val="single" w:sz="6" w:space="0" w:color="000000"/>
              <w:left w:val="single" w:sz="6" w:space="0" w:color="000000"/>
              <w:bottom w:val="single" w:sz="6" w:space="0" w:color="000000"/>
              <w:right w:val="nil"/>
            </w:tcBorders>
          </w:tcPr>
          <w:p w:rsidR="00AF149D" w:rsidRPr="00B32392" w:rsidRDefault="00716C69" w:rsidP="00AB1AF8">
            <w:pPr>
              <w:spacing w:after="0" w:line="240" w:lineRule="auto"/>
              <w:jc w:val="center"/>
              <w:rPr>
                <w:rFonts w:ascii="Times New Roman" w:eastAsia="Times New Roman" w:hAnsi="Times New Roman" w:cs="Times New Roman"/>
                <w:sz w:val="24"/>
                <w:szCs w:val="28"/>
              </w:rPr>
            </w:pPr>
            <w:r w:rsidRPr="00B32392">
              <w:rPr>
                <w:rFonts w:ascii="Times New Roman" w:eastAsia="Times New Roman" w:hAnsi="Times New Roman" w:cs="Times New Roman"/>
                <w:sz w:val="24"/>
                <w:szCs w:val="28"/>
              </w:rPr>
              <w:t>Обґрунтування відповідного місця альтернативи у рейтингу</w:t>
            </w:r>
          </w:p>
        </w:tc>
      </w:tr>
      <w:tr w:rsidR="00D747E3" w:rsidRPr="00B32392">
        <w:trPr>
          <w:jc w:val="center"/>
        </w:trPr>
        <w:tc>
          <w:tcPr>
            <w:tcW w:w="2434" w:type="dxa"/>
            <w:tcBorders>
              <w:top w:val="single" w:sz="6" w:space="0" w:color="000000"/>
              <w:left w:val="single" w:sz="4" w:space="0" w:color="000000"/>
              <w:bottom w:val="single" w:sz="4" w:space="0" w:color="000000"/>
              <w:right w:val="single" w:sz="4" w:space="0" w:color="000000"/>
            </w:tcBorders>
          </w:tcPr>
          <w:p w:rsidR="00AF149D" w:rsidRPr="00B32392" w:rsidRDefault="00716C69" w:rsidP="00AB1AF8">
            <w:pPr>
              <w:spacing w:after="0" w:line="240" w:lineRule="auto"/>
              <w:rPr>
                <w:rFonts w:ascii="Times New Roman" w:eastAsia="Times New Roman" w:hAnsi="Times New Roman" w:cs="Times New Roman"/>
                <w:sz w:val="24"/>
                <w:szCs w:val="28"/>
              </w:rPr>
            </w:pPr>
            <w:r w:rsidRPr="00B32392">
              <w:rPr>
                <w:rFonts w:ascii="Times New Roman" w:eastAsia="Times New Roman" w:hAnsi="Times New Roman" w:cs="Times New Roman"/>
                <w:sz w:val="24"/>
                <w:szCs w:val="28"/>
              </w:rPr>
              <w:t>Альтернатива 1</w:t>
            </w:r>
          </w:p>
        </w:tc>
        <w:tc>
          <w:tcPr>
            <w:tcW w:w="2044" w:type="dxa"/>
            <w:tcBorders>
              <w:top w:val="single" w:sz="6" w:space="0" w:color="000000"/>
              <w:left w:val="single" w:sz="4" w:space="0" w:color="000000"/>
              <w:bottom w:val="single" w:sz="4" w:space="0" w:color="000000"/>
              <w:right w:val="single" w:sz="4" w:space="0" w:color="000000"/>
            </w:tcBorders>
          </w:tcPr>
          <w:p w:rsidR="00AF149D" w:rsidRPr="00B32392" w:rsidRDefault="001D1B3F" w:rsidP="001D1B3F">
            <w:pPr>
              <w:spacing w:after="0" w:line="240" w:lineRule="auto"/>
              <w:ind w:left="108" w:right="75"/>
              <w:jc w:val="both"/>
              <w:rPr>
                <w:rFonts w:ascii="Times New Roman" w:eastAsia="Times New Roman" w:hAnsi="Times New Roman" w:cs="Times New Roman"/>
                <w:sz w:val="24"/>
                <w:szCs w:val="28"/>
              </w:rPr>
            </w:pPr>
            <w:r w:rsidRPr="001D1B3F">
              <w:rPr>
                <w:rFonts w:ascii="Times New Roman" w:eastAsia="Times New Roman" w:hAnsi="Times New Roman" w:cs="Times New Roman"/>
                <w:sz w:val="24"/>
                <w:szCs w:val="28"/>
              </w:rPr>
              <w:t>Вигоди відсутні або мінімальні. Зберігається чинна ситуація із фрагментарним правовим полем та обмеженим доступом до результатів досліджень.</w:t>
            </w:r>
          </w:p>
        </w:tc>
        <w:tc>
          <w:tcPr>
            <w:tcW w:w="1947" w:type="dxa"/>
            <w:tcBorders>
              <w:top w:val="single" w:sz="6" w:space="0" w:color="000000"/>
              <w:left w:val="single" w:sz="4" w:space="0" w:color="000000"/>
              <w:bottom w:val="single" w:sz="4" w:space="0" w:color="000000"/>
              <w:right w:val="single" w:sz="4" w:space="0" w:color="000000"/>
            </w:tcBorders>
          </w:tcPr>
          <w:p w:rsidR="00AF149D" w:rsidRPr="00B32392" w:rsidRDefault="001D1B3F" w:rsidP="001D1B3F">
            <w:pPr>
              <w:spacing w:after="0" w:line="240" w:lineRule="auto"/>
              <w:ind w:left="108" w:right="75"/>
              <w:jc w:val="both"/>
              <w:rPr>
                <w:rFonts w:ascii="Times New Roman" w:eastAsia="Times New Roman" w:hAnsi="Times New Roman" w:cs="Times New Roman"/>
                <w:sz w:val="24"/>
                <w:szCs w:val="28"/>
              </w:rPr>
            </w:pPr>
            <w:r w:rsidRPr="001D1B3F">
              <w:rPr>
                <w:rFonts w:ascii="Times New Roman" w:eastAsia="Times New Roman" w:hAnsi="Times New Roman" w:cs="Times New Roman"/>
                <w:sz w:val="24"/>
                <w:szCs w:val="28"/>
              </w:rPr>
              <w:t xml:space="preserve">Прямі витрати відсутні, але мають місце значні непрямі втрати: упущені можливості для інновацій, неефективне використання бюджетних коштів, дублювання досліджень, бар’єри для </w:t>
            </w:r>
            <w:r w:rsidRPr="001D1B3F">
              <w:rPr>
                <w:rFonts w:ascii="Times New Roman" w:eastAsia="Times New Roman" w:hAnsi="Times New Roman" w:cs="Times New Roman"/>
                <w:sz w:val="24"/>
                <w:szCs w:val="28"/>
              </w:rPr>
              <w:lastRenderedPageBreak/>
              <w:t>бізнесу, зниження міжнародної привабливості української науки.</w:t>
            </w:r>
          </w:p>
        </w:tc>
        <w:tc>
          <w:tcPr>
            <w:tcW w:w="3214" w:type="dxa"/>
            <w:tcBorders>
              <w:top w:val="single" w:sz="6" w:space="0" w:color="000000"/>
              <w:left w:val="single" w:sz="4" w:space="0" w:color="000000"/>
              <w:bottom w:val="single" w:sz="4" w:space="0" w:color="000000"/>
              <w:right w:val="single" w:sz="4" w:space="0" w:color="000000"/>
            </w:tcBorders>
          </w:tcPr>
          <w:p w:rsidR="00AF149D" w:rsidRPr="00B32392" w:rsidRDefault="001D1B3F" w:rsidP="001D1B3F">
            <w:pPr>
              <w:spacing w:after="0" w:line="240" w:lineRule="auto"/>
              <w:ind w:left="108" w:right="75"/>
              <w:jc w:val="both"/>
              <w:rPr>
                <w:rFonts w:ascii="Times New Roman" w:eastAsia="Times New Roman" w:hAnsi="Times New Roman" w:cs="Times New Roman"/>
                <w:sz w:val="24"/>
                <w:szCs w:val="28"/>
              </w:rPr>
            </w:pPr>
            <w:r w:rsidRPr="001D1B3F">
              <w:rPr>
                <w:rFonts w:ascii="Times New Roman" w:eastAsia="Times New Roman" w:hAnsi="Times New Roman" w:cs="Times New Roman"/>
                <w:sz w:val="24"/>
                <w:szCs w:val="28"/>
              </w:rPr>
              <w:lastRenderedPageBreak/>
              <w:t>Альтернатива не забезпечує досягнення цілей державної політики у сфері відкритої науки, не вирішує проблему правового регулювання. Відсутній прогрес у напрямі інтеграції до Європейського дослідницького простору. Рейтинг низький.</w:t>
            </w:r>
          </w:p>
        </w:tc>
      </w:tr>
      <w:tr w:rsidR="00D747E3" w:rsidRPr="00B32392">
        <w:trPr>
          <w:jc w:val="center"/>
        </w:trPr>
        <w:tc>
          <w:tcPr>
            <w:tcW w:w="2434" w:type="dxa"/>
            <w:tcBorders>
              <w:top w:val="single" w:sz="4" w:space="0" w:color="000000"/>
              <w:left w:val="single" w:sz="4" w:space="0" w:color="000000"/>
              <w:bottom w:val="single" w:sz="4" w:space="0" w:color="000000"/>
              <w:right w:val="single" w:sz="4" w:space="0" w:color="000000"/>
            </w:tcBorders>
          </w:tcPr>
          <w:p w:rsidR="00AF149D" w:rsidRPr="00B32392" w:rsidRDefault="00716C69" w:rsidP="00AB1AF8">
            <w:pPr>
              <w:spacing w:after="0" w:line="240" w:lineRule="auto"/>
              <w:rPr>
                <w:rFonts w:ascii="Times New Roman" w:eastAsia="Times New Roman" w:hAnsi="Times New Roman" w:cs="Times New Roman"/>
                <w:sz w:val="24"/>
                <w:szCs w:val="28"/>
              </w:rPr>
            </w:pPr>
            <w:r w:rsidRPr="00B32392">
              <w:rPr>
                <w:rFonts w:ascii="Times New Roman" w:eastAsia="Times New Roman" w:hAnsi="Times New Roman" w:cs="Times New Roman"/>
                <w:sz w:val="24"/>
                <w:szCs w:val="28"/>
              </w:rPr>
              <w:t>Альтернатива 2</w:t>
            </w:r>
          </w:p>
        </w:tc>
        <w:tc>
          <w:tcPr>
            <w:tcW w:w="2044" w:type="dxa"/>
            <w:tcBorders>
              <w:top w:val="single" w:sz="4" w:space="0" w:color="000000"/>
              <w:left w:val="single" w:sz="4" w:space="0" w:color="000000"/>
              <w:bottom w:val="single" w:sz="4" w:space="0" w:color="000000"/>
              <w:right w:val="single" w:sz="4" w:space="0" w:color="000000"/>
            </w:tcBorders>
          </w:tcPr>
          <w:p w:rsidR="00AF149D" w:rsidRPr="00B32392" w:rsidRDefault="001D1B3F" w:rsidP="001D1B3F">
            <w:pPr>
              <w:spacing w:after="0" w:line="240" w:lineRule="auto"/>
              <w:ind w:left="108" w:right="75"/>
              <w:jc w:val="both"/>
              <w:rPr>
                <w:rFonts w:ascii="Times New Roman" w:eastAsia="Times New Roman" w:hAnsi="Times New Roman" w:cs="Times New Roman"/>
                <w:sz w:val="24"/>
                <w:szCs w:val="28"/>
              </w:rPr>
            </w:pPr>
            <w:r w:rsidRPr="001D1B3F">
              <w:rPr>
                <w:rFonts w:ascii="Times New Roman" w:eastAsia="Times New Roman" w:hAnsi="Times New Roman" w:cs="Times New Roman"/>
                <w:sz w:val="24"/>
                <w:szCs w:val="28"/>
              </w:rPr>
              <w:t xml:space="preserve">Високий рівень </w:t>
            </w:r>
            <w:proofErr w:type="spellStart"/>
            <w:r w:rsidRPr="001D1B3F">
              <w:rPr>
                <w:rFonts w:ascii="Times New Roman" w:eastAsia="Times New Roman" w:hAnsi="Times New Roman" w:cs="Times New Roman"/>
                <w:sz w:val="24"/>
                <w:szCs w:val="28"/>
              </w:rPr>
              <w:t>вигод</w:t>
            </w:r>
            <w:proofErr w:type="spellEnd"/>
            <w:r w:rsidRPr="001D1B3F">
              <w:rPr>
                <w:rFonts w:ascii="Times New Roman" w:eastAsia="Times New Roman" w:hAnsi="Times New Roman" w:cs="Times New Roman"/>
                <w:sz w:val="24"/>
                <w:szCs w:val="28"/>
              </w:rPr>
              <w:t xml:space="preserve"> для держави, громадян і суб’єктів господарювання: правова визначеність, відкритість результатів досліджень, нові можливості для інновацій, зростання ефективності науки.</w:t>
            </w:r>
          </w:p>
        </w:tc>
        <w:tc>
          <w:tcPr>
            <w:tcW w:w="1947" w:type="dxa"/>
            <w:tcBorders>
              <w:top w:val="single" w:sz="4" w:space="0" w:color="000000"/>
              <w:left w:val="single" w:sz="4" w:space="0" w:color="000000"/>
              <w:bottom w:val="single" w:sz="4" w:space="0" w:color="000000"/>
              <w:right w:val="single" w:sz="4" w:space="0" w:color="000000"/>
            </w:tcBorders>
          </w:tcPr>
          <w:p w:rsidR="00AF149D" w:rsidRPr="00B32392" w:rsidRDefault="001D1B3F" w:rsidP="001D1B3F">
            <w:pPr>
              <w:spacing w:after="0" w:line="240" w:lineRule="auto"/>
              <w:ind w:left="37" w:right="26"/>
              <w:jc w:val="both"/>
              <w:rPr>
                <w:rFonts w:ascii="Times New Roman" w:eastAsia="Times New Roman" w:hAnsi="Times New Roman" w:cs="Times New Roman"/>
                <w:sz w:val="24"/>
                <w:szCs w:val="28"/>
              </w:rPr>
            </w:pPr>
            <w:r w:rsidRPr="001D1B3F">
              <w:rPr>
                <w:rFonts w:ascii="Times New Roman" w:eastAsia="Times New Roman" w:hAnsi="Times New Roman" w:cs="Times New Roman"/>
                <w:sz w:val="24"/>
                <w:szCs w:val="28"/>
              </w:rPr>
              <w:t>Прямі витрати відсутні. Організаційні адаптації можуть вимагати мінімального ресурсу, але здійснюються в межах наявних можливостей установ.</w:t>
            </w:r>
          </w:p>
        </w:tc>
        <w:tc>
          <w:tcPr>
            <w:tcW w:w="3214" w:type="dxa"/>
            <w:tcBorders>
              <w:top w:val="single" w:sz="4" w:space="0" w:color="000000"/>
              <w:left w:val="single" w:sz="4" w:space="0" w:color="000000"/>
              <w:bottom w:val="single" w:sz="4" w:space="0" w:color="000000"/>
              <w:right w:val="single" w:sz="4" w:space="0" w:color="000000"/>
            </w:tcBorders>
          </w:tcPr>
          <w:p w:rsidR="00AF149D" w:rsidRPr="00B32392" w:rsidRDefault="00C90E21" w:rsidP="00C90E21">
            <w:pPr>
              <w:spacing w:after="0" w:line="240" w:lineRule="auto"/>
              <w:ind w:left="87" w:right="133"/>
              <w:jc w:val="both"/>
              <w:rPr>
                <w:rFonts w:ascii="Times New Roman" w:eastAsia="Times New Roman" w:hAnsi="Times New Roman" w:cs="Times New Roman"/>
                <w:sz w:val="24"/>
                <w:szCs w:val="28"/>
              </w:rPr>
            </w:pPr>
            <w:r w:rsidRPr="00C90E21">
              <w:rPr>
                <w:rFonts w:ascii="Times New Roman" w:eastAsia="Times New Roman" w:hAnsi="Times New Roman" w:cs="Times New Roman"/>
                <w:sz w:val="24"/>
                <w:szCs w:val="28"/>
              </w:rPr>
              <w:t>Альтернатива повністю відповідає стратегічним цілям: формує правові умови для реалізації принципів відкритої науки, забезпечує прозорість і доступність результатів досліджень, відповідає міжнародним зобов’язанням України. Забезпечує високий рівень результативності.</w:t>
            </w:r>
          </w:p>
        </w:tc>
      </w:tr>
    </w:tbl>
    <w:p w:rsidR="00C90E21" w:rsidRDefault="00C90E21" w:rsidP="00D747E3">
      <w:pPr>
        <w:widowControl w:val="0"/>
        <w:pBdr>
          <w:top w:val="nil"/>
          <w:left w:val="nil"/>
          <w:bottom w:val="nil"/>
          <w:right w:val="nil"/>
          <w:between w:val="nil"/>
        </w:pBdr>
        <w:spacing w:after="0" w:line="240" w:lineRule="auto"/>
        <w:ind w:firstLine="709"/>
        <w:rPr>
          <w:rFonts w:ascii="Times New Roman" w:eastAsia="Times New Roman" w:hAnsi="Times New Roman" w:cs="Times New Roman"/>
          <w:sz w:val="28"/>
          <w:szCs w:val="28"/>
        </w:rPr>
      </w:pPr>
    </w:p>
    <w:tbl>
      <w:tblPr>
        <w:tblStyle w:val="ac"/>
        <w:tblW w:w="9639" w:type="dxa"/>
        <w:tblInd w:w="0" w:type="dxa"/>
        <w:tblLayout w:type="fixed"/>
        <w:tblLook w:val="0400" w:firstRow="0" w:lastRow="0" w:firstColumn="0" w:lastColumn="0" w:noHBand="0" w:noVBand="1"/>
      </w:tblPr>
      <w:tblGrid>
        <w:gridCol w:w="2239"/>
        <w:gridCol w:w="4186"/>
        <w:gridCol w:w="3214"/>
      </w:tblGrid>
      <w:tr w:rsidR="00D747E3" w:rsidRPr="00B32392">
        <w:tc>
          <w:tcPr>
            <w:tcW w:w="2239" w:type="dxa"/>
            <w:tcBorders>
              <w:top w:val="single" w:sz="6" w:space="0" w:color="000000"/>
              <w:left w:val="nil"/>
              <w:bottom w:val="single" w:sz="6" w:space="0" w:color="000000"/>
              <w:right w:val="single" w:sz="6" w:space="0" w:color="000000"/>
            </w:tcBorders>
          </w:tcPr>
          <w:p w:rsidR="00AF149D" w:rsidRPr="00B32392" w:rsidRDefault="00716C69" w:rsidP="00210328">
            <w:pPr>
              <w:spacing w:after="0" w:line="240" w:lineRule="auto"/>
              <w:ind w:hanging="14"/>
              <w:jc w:val="center"/>
              <w:rPr>
                <w:rFonts w:ascii="Times New Roman" w:eastAsia="Times New Roman" w:hAnsi="Times New Roman" w:cs="Times New Roman"/>
                <w:sz w:val="24"/>
                <w:szCs w:val="28"/>
              </w:rPr>
            </w:pPr>
            <w:r w:rsidRPr="00B32392">
              <w:rPr>
                <w:rFonts w:ascii="Times New Roman" w:eastAsia="Times New Roman" w:hAnsi="Times New Roman" w:cs="Times New Roman"/>
                <w:sz w:val="24"/>
                <w:szCs w:val="28"/>
              </w:rPr>
              <w:t>Рейтинг</w:t>
            </w:r>
          </w:p>
        </w:tc>
        <w:tc>
          <w:tcPr>
            <w:tcW w:w="4186" w:type="dxa"/>
            <w:tcBorders>
              <w:top w:val="single" w:sz="6" w:space="0" w:color="000000"/>
              <w:left w:val="single" w:sz="6" w:space="0" w:color="000000"/>
              <w:bottom w:val="single" w:sz="6" w:space="0" w:color="000000"/>
              <w:right w:val="single" w:sz="6" w:space="0" w:color="000000"/>
            </w:tcBorders>
          </w:tcPr>
          <w:p w:rsidR="00AF149D" w:rsidRPr="00B32392" w:rsidRDefault="00716C69" w:rsidP="00210328">
            <w:pPr>
              <w:spacing w:after="0" w:line="240" w:lineRule="auto"/>
              <w:ind w:hanging="14"/>
              <w:jc w:val="center"/>
              <w:rPr>
                <w:rFonts w:ascii="Times New Roman" w:eastAsia="Times New Roman" w:hAnsi="Times New Roman" w:cs="Times New Roman"/>
                <w:sz w:val="24"/>
                <w:szCs w:val="28"/>
              </w:rPr>
            </w:pPr>
            <w:r w:rsidRPr="00B32392">
              <w:rPr>
                <w:rFonts w:ascii="Times New Roman" w:eastAsia="Times New Roman" w:hAnsi="Times New Roman" w:cs="Times New Roman"/>
                <w:sz w:val="24"/>
                <w:szCs w:val="28"/>
              </w:rPr>
              <w:t>Аргументи щодо переваги обраної альтернативи/причини відмови від альтернативи</w:t>
            </w:r>
          </w:p>
        </w:tc>
        <w:tc>
          <w:tcPr>
            <w:tcW w:w="3214" w:type="dxa"/>
            <w:tcBorders>
              <w:top w:val="single" w:sz="6" w:space="0" w:color="000000"/>
              <w:left w:val="single" w:sz="6" w:space="0" w:color="000000"/>
              <w:bottom w:val="single" w:sz="6" w:space="0" w:color="000000"/>
              <w:right w:val="nil"/>
            </w:tcBorders>
          </w:tcPr>
          <w:p w:rsidR="00AF149D" w:rsidRPr="00B32392" w:rsidRDefault="00716C69" w:rsidP="00210328">
            <w:pPr>
              <w:spacing w:after="0" w:line="240" w:lineRule="auto"/>
              <w:ind w:hanging="14"/>
              <w:jc w:val="center"/>
              <w:rPr>
                <w:rFonts w:ascii="Times New Roman" w:eastAsia="Times New Roman" w:hAnsi="Times New Roman" w:cs="Times New Roman"/>
                <w:sz w:val="24"/>
                <w:szCs w:val="28"/>
              </w:rPr>
            </w:pPr>
            <w:r w:rsidRPr="00B32392">
              <w:rPr>
                <w:rFonts w:ascii="Times New Roman" w:eastAsia="Times New Roman" w:hAnsi="Times New Roman" w:cs="Times New Roman"/>
                <w:sz w:val="24"/>
                <w:szCs w:val="28"/>
              </w:rPr>
              <w:t xml:space="preserve">Оцінка ризику зовнішніх чинників на дію запропонованого регуляторного </w:t>
            </w:r>
            <w:proofErr w:type="spellStart"/>
            <w:r w:rsidRPr="00B32392">
              <w:rPr>
                <w:rFonts w:ascii="Times New Roman" w:eastAsia="Times New Roman" w:hAnsi="Times New Roman" w:cs="Times New Roman"/>
                <w:sz w:val="24"/>
                <w:szCs w:val="28"/>
              </w:rPr>
              <w:t>акта</w:t>
            </w:r>
            <w:proofErr w:type="spellEnd"/>
          </w:p>
        </w:tc>
      </w:tr>
      <w:tr w:rsidR="00D747E3" w:rsidRPr="00B32392">
        <w:tc>
          <w:tcPr>
            <w:tcW w:w="2239" w:type="dxa"/>
            <w:tcBorders>
              <w:top w:val="single" w:sz="6" w:space="0" w:color="000000"/>
              <w:left w:val="single" w:sz="4" w:space="0" w:color="000000"/>
              <w:bottom w:val="single" w:sz="4" w:space="0" w:color="000000"/>
              <w:right w:val="single" w:sz="4" w:space="0" w:color="000000"/>
            </w:tcBorders>
          </w:tcPr>
          <w:p w:rsidR="00AF149D" w:rsidRPr="00B32392" w:rsidRDefault="00716C69" w:rsidP="00AB1AF8">
            <w:pPr>
              <w:spacing w:after="0" w:line="240" w:lineRule="auto"/>
              <w:ind w:hanging="14"/>
              <w:rPr>
                <w:rFonts w:ascii="Times New Roman" w:eastAsia="Times New Roman" w:hAnsi="Times New Roman" w:cs="Times New Roman"/>
                <w:sz w:val="24"/>
                <w:szCs w:val="28"/>
              </w:rPr>
            </w:pPr>
            <w:r w:rsidRPr="00B32392">
              <w:rPr>
                <w:rFonts w:ascii="Times New Roman" w:eastAsia="Times New Roman" w:hAnsi="Times New Roman" w:cs="Times New Roman"/>
                <w:sz w:val="24"/>
                <w:szCs w:val="28"/>
              </w:rPr>
              <w:t>Альтернатива 1</w:t>
            </w:r>
          </w:p>
        </w:tc>
        <w:tc>
          <w:tcPr>
            <w:tcW w:w="4186" w:type="dxa"/>
            <w:tcBorders>
              <w:top w:val="single" w:sz="6" w:space="0" w:color="000000"/>
              <w:left w:val="single" w:sz="4" w:space="0" w:color="000000"/>
              <w:bottom w:val="single" w:sz="4" w:space="0" w:color="000000"/>
              <w:right w:val="single" w:sz="4" w:space="0" w:color="000000"/>
            </w:tcBorders>
          </w:tcPr>
          <w:p w:rsidR="00AF149D" w:rsidRPr="00B32392" w:rsidRDefault="00B60B99" w:rsidP="00C90E21">
            <w:pPr>
              <w:spacing w:after="0" w:line="240" w:lineRule="auto"/>
              <w:ind w:left="161" w:right="168" w:hanging="14"/>
              <w:jc w:val="both"/>
              <w:rPr>
                <w:rFonts w:ascii="Times New Roman" w:eastAsia="Times New Roman" w:hAnsi="Times New Roman" w:cs="Times New Roman"/>
                <w:sz w:val="24"/>
                <w:szCs w:val="28"/>
              </w:rPr>
            </w:pPr>
            <w:r w:rsidRPr="00B32392">
              <w:rPr>
                <w:rFonts w:ascii="Times New Roman" w:eastAsia="Times New Roman" w:hAnsi="Times New Roman" w:cs="Times New Roman"/>
                <w:sz w:val="24"/>
                <w:szCs w:val="28"/>
              </w:rPr>
              <w:t>Альтернатива відхилена</w:t>
            </w:r>
            <w:r w:rsidR="00C90E21">
              <w:rPr>
                <w:rFonts w:ascii="Times New Roman" w:eastAsia="Times New Roman" w:hAnsi="Times New Roman" w:cs="Times New Roman"/>
                <w:sz w:val="24"/>
                <w:szCs w:val="28"/>
              </w:rPr>
              <w:t xml:space="preserve"> як така, що</w:t>
            </w:r>
            <w:r w:rsidRPr="00B32392">
              <w:rPr>
                <w:rFonts w:ascii="Times New Roman" w:eastAsia="Times New Roman" w:hAnsi="Times New Roman" w:cs="Times New Roman"/>
                <w:sz w:val="24"/>
                <w:szCs w:val="28"/>
              </w:rPr>
              <w:t xml:space="preserve"> </w:t>
            </w:r>
            <w:r w:rsidR="00C90E21">
              <w:rPr>
                <w:rFonts w:ascii="Times New Roman" w:eastAsia="Times New Roman" w:hAnsi="Times New Roman" w:cs="Times New Roman"/>
                <w:sz w:val="24"/>
                <w:szCs w:val="28"/>
              </w:rPr>
              <w:t>н</w:t>
            </w:r>
            <w:r w:rsidR="00C90E21" w:rsidRPr="00C90E21">
              <w:rPr>
                <w:rFonts w:ascii="Times New Roman" w:eastAsia="Times New Roman" w:hAnsi="Times New Roman" w:cs="Times New Roman"/>
                <w:sz w:val="24"/>
                <w:szCs w:val="28"/>
              </w:rPr>
              <w:t xml:space="preserve">е дозволяє розв’язати ідентифіковану проблему. Зберігає правову невизначеність у сфері відкритої науки, не забезпечує </w:t>
            </w:r>
            <w:r w:rsidR="00C90E21">
              <w:rPr>
                <w:rFonts w:ascii="Times New Roman" w:eastAsia="Times New Roman" w:hAnsi="Times New Roman" w:cs="Times New Roman"/>
                <w:sz w:val="24"/>
                <w:szCs w:val="28"/>
              </w:rPr>
              <w:t>відкритого</w:t>
            </w:r>
            <w:r w:rsidR="00C90E21" w:rsidRPr="00C90E21">
              <w:rPr>
                <w:rFonts w:ascii="Times New Roman" w:eastAsia="Times New Roman" w:hAnsi="Times New Roman" w:cs="Times New Roman"/>
                <w:sz w:val="24"/>
                <w:szCs w:val="28"/>
              </w:rPr>
              <w:t xml:space="preserve"> доступу до результатів досліджень, створених за публічні кошти. Стримує інноваційний розвиток та інтеграцію до Європейського дослідницького простору.</w:t>
            </w:r>
          </w:p>
        </w:tc>
        <w:tc>
          <w:tcPr>
            <w:tcW w:w="3214" w:type="dxa"/>
            <w:tcBorders>
              <w:top w:val="single" w:sz="6" w:space="0" w:color="000000"/>
              <w:left w:val="single" w:sz="4" w:space="0" w:color="000000"/>
              <w:bottom w:val="single" w:sz="4" w:space="0" w:color="000000"/>
              <w:right w:val="single" w:sz="4" w:space="0" w:color="000000"/>
            </w:tcBorders>
          </w:tcPr>
          <w:p w:rsidR="00AF149D" w:rsidRPr="00B32392" w:rsidRDefault="00C90E21" w:rsidP="00C90E21">
            <w:pPr>
              <w:spacing w:after="0" w:line="240" w:lineRule="auto"/>
              <w:ind w:left="87" w:right="133" w:hanging="14"/>
              <w:jc w:val="both"/>
              <w:rPr>
                <w:rFonts w:ascii="Times New Roman" w:eastAsia="Times New Roman" w:hAnsi="Times New Roman" w:cs="Times New Roman"/>
                <w:sz w:val="24"/>
                <w:szCs w:val="28"/>
              </w:rPr>
            </w:pPr>
            <w:r w:rsidRPr="00C90E21">
              <w:rPr>
                <w:rFonts w:ascii="Times New Roman" w:eastAsia="Times New Roman" w:hAnsi="Times New Roman" w:cs="Times New Roman"/>
                <w:sz w:val="24"/>
                <w:szCs w:val="28"/>
              </w:rPr>
              <w:t xml:space="preserve">Ризиків немає, однак збереження чинного регулювання призводить до подальшого зростання технологічного та інформаційного відставання, а також </w:t>
            </w:r>
            <w:r>
              <w:rPr>
                <w:rFonts w:ascii="Times New Roman" w:eastAsia="Times New Roman" w:hAnsi="Times New Roman" w:cs="Times New Roman"/>
                <w:sz w:val="24"/>
                <w:szCs w:val="28"/>
              </w:rPr>
              <w:t xml:space="preserve">можливої </w:t>
            </w:r>
            <w:r w:rsidRPr="00C90E21">
              <w:rPr>
                <w:rFonts w:ascii="Times New Roman" w:eastAsia="Times New Roman" w:hAnsi="Times New Roman" w:cs="Times New Roman"/>
                <w:sz w:val="24"/>
                <w:szCs w:val="28"/>
              </w:rPr>
              <w:t>втрати міжнародн</w:t>
            </w:r>
            <w:r>
              <w:rPr>
                <w:rFonts w:ascii="Times New Roman" w:eastAsia="Times New Roman" w:hAnsi="Times New Roman" w:cs="Times New Roman"/>
                <w:sz w:val="24"/>
                <w:szCs w:val="28"/>
              </w:rPr>
              <w:t>их</w:t>
            </w:r>
            <w:r w:rsidRPr="00C90E21">
              <w:rPr>
                <w:rFonts w:ascii="Times New Roman" w:eastAsia="Times New Roman" w:hAnsi="Times New Roman" w:cs="Times New Roman"/>
                <w:sz w:val="24"/>
                <w:szCs w:val="28"/>
              </w:rPr>
              <w:t xml:space="preserve"> науков</w:t>
            </w:r>
            <w:r>
              <w:rPr>
                <w:rFonts w:ascii="Times New Roman" w:eastAsia="Times New Roman" w:hAnsi="Times New Roman" w:cs="Times New Roman"/>
                <w:sz w:val="24"/>
                <w:szCs w:val="28"/>
              </w:rPr>
              <w:t>их</w:t>
            </w:r>
            <w:r w:rsidRPr="00C90E21">
              <w:rPr>
                <w:rFonts w:ascii="Times New Roman" w:eastAsia="Times New Roman" w:hAnsi="Times New Roman" w:cs="Times New Roman"/>
                <w:sz w:val="24"/>
                <w:szCs w:val="28"/>
              </w:rPr>
              <w:t xml:space="preserve"> </w:t>
            </w:r>
            <w:proofErr w:type="spellStart"/>
            <w:r w:rsidRPr="00C90E21">
              <w:rPr>
                <w:rFonts w:ascii="Times New Roman" w:eastAsia="Times New Roman" w:hAnsi="Times New Roman" w:cs="Times New Roman"/>
                <w:sz w:val="24"/>
                <w:szCs w:val="28"/>
              </w:rPr>
              <w:t>партнерств</w:t>
            </w:r>
            <w:proofErr w:type="spellEnd"/>
            <w:r w:rsidRPr="00C90E21">
              <w:rPr>
                <w:rFonts w:ascii="Times New Roman" w:eastAsia="Times New Roman" w:hAnsi="Times New Roman" w:cs="Times New Roman"/>
                <w:sz w:val="24"/>
                <w:szCs w:val="28"/>
              </w:rPr>
              <w:t xml:space="preserve"> через невідповідність сучасним стандартам.</w:t>
            </w:r>
          </w:p>
        </w:tc>
      </w:tr>
      <w:tr w:rsidR="00D747E3" w:rsidRPr="00B32392">
        <w:tc>
          <w:tcPr>
            <w:tcW w:w="2239" w:type="dxa"/>
            <w:tcBorders>
              <w:top w:val="single" w:sz="4" w:space="0" w:color="000000"/>
              <w:left w:val="single" w:sz="4" w:space="0" w:color="000000"/>
              <w:bottom w:val="single" w:sz="4" w:space="0" w:color="000000"/>
              <w:right w:val="single" w:sz="4" w:space="0" w:color="000000"/>
            </w:tcBorders>
          </w:tcPr>
          <w:p w:rsidR="00AF149D" w:rsidRPr="00B32392" w:rsidRDefault="00716C69" w:rsidP="00AB1AF8">
            <w:pPr>
              <w:spacing w:after="0" w:line="240" w:lineRule="auto"/>
              <w:ind w:hanging="14"/>
              <w:rPr>
                <w:rFonts w:ascii="Times New Roman" w:eastAsia="Times New Roman" w:hAnsi="Times New Roman" w:cs="Times New Roman"/>
                <w:sz w:val="24"/>
                <w:szCs w:val="28"/>
              </w:rPr>
            </w:pPr>
            <w:r w:rsidRPr="00B32392">
              <w:rPr>
                <w:rFonts w:ascii="Times New Roman" w:eastAsia="Times New Roman" w:hAnsi="Times New Roman" w:cs="Times New Roman"/>
                <w:sz w:val="24"/>
                <w:szCs w:val="28"/>
              </w:rPr>
              <w:t>Альтернатива 2</w:t>
            </w:r>
          </w:p>
        </w:tc>
        <w:tc>
          <w:tcPr>
            <w:tcW w:w="4186" w:type="dxa"/>
            <w:tcBorders>
              <w:top w:val="single" w:sz="4" w:space="0" w:color="000000"/>
              <w:left w:val="single" w:sz="4" w:space="0" w:color="000000"/>
              <w:bottom w:val="single" w:sz="4" w:space="0" w:color="000000"/>
              <w:right w:val="single" w:sz="4" w:space="0" w:color="000000"/>
            </w:tcBorders>
          </w:tcPr>
          <w:p w:rsidR="00AF149D" w:rsidRPr="00B32392" w:rsidRDefault="00B60B99" w:rsidP="00C90E21">
            <w:pPr>
              <w:spacing w:after="0" w:line="240" w:lineRule="auto"/>
              <w:ind w:left="161" w:right="168"/>
              <w:jc w:val="both"/>
              <w:rPr>
                <w:rFonts w:ascii="Times New Roman" w:eastAsia="Times New Roman" w:hAnsi="Times New Roman" w:cs="Times New Roman"/>
                <w:sz w:val="24"/>
                <w:szCs w:val="28"/>
              </w:rPr>
            </w:pPr>
            <w:r w:rsidRPr="00B32392">
              <w:rPr>
                <w:rFonts w:ascii="Times New Roman" w:eastAsia="Times New Roman" w:hAnsi="Times New Roman" w:cs="Times New Roman"/>
                <w:sz w:val="24"/>
                <w:szCs w:val="28"/>
              </w:rPr>
              <w:t xml:space="preserve">Обрана як найбільш ефективна альтернатива. </w:t>
            </w:r>
            <w:proofErr w:type="spellStart"/>
            <w:r w:rsidRPr="00B32392">
              <w:rPr>
                <w:rFonts w:ascii="Times New Roman" w:eastAsia="Times New Roman" w:hAnsi="Times New Roman" w:cs="Times New Roman"/>
                <w:sz w:val="24"/>
                <w:szCs w:val="28"/>
              </w:rPr>
              <w:t>Законопроєкт</w:t>
            </w:r>
            <w:proofErr w:type="spellEnd"/>
            <w:r w:rsidRPr="00B32392">
              <w:rPr>
                <w:rFonts w:ascii="Times New Roman" w:eastAsia="Times New Roman" w:hAnsi="Times New Roman" w:cs="Times New Roman"/>
                <w:sz w:val="24"/>
                <w:szCs w:val="28"/>
              </w:rPr>
              <w:t xml:space="preserve"> </w:t>
            </w:r>
            <w:r w:rsidR="00C90E21">
              <w:rPr>
                <w:rFonts w:ascii="Times New Roman" w:eastAsia="Times New Roman" w:hAnsi="Times New Roman" w:cs="Times New Roman"/>
                <w:sz w:val="24"/>
                <w:szCs w:val="28"/>
              </w:rPr>
              <w:t>з</w:t>
            </w:r>
            <w:r w:rsidR="00C90E21" w:rsidRPr="00C90E21">
              <w:rPr>
                <w:rFonts w:ascii="Times New Roman" w:eastAsia="Times New Roman" w:hAnsi="Times New Roman" w:cs="Times New Roman"/>
                <w:sz w:val="24"/>
                <w:szCs w:val="28"/>
              </w:rPr>
              <w:t xml:space="preserve">абезпечує системне нормативне врегулювання принципів відкритої науки. Сприяє прозорості, ефективному використанню бюджетних коштів, інституційному розвитку науки, підвищенню міжнародної довіри до результатів українських досліджень. Створює </w:t>
            </w:r>
            <w:r w:rsidR="00C90E21" w:rsidRPr="00C90E21">
              <w:rPr>
                <w:rFonts w:ascii="Times New Roman" w:eastAsia="Times New Roman" w:hAnsi="Times New Roman" w:cs="Times New Roman"/>
                <w:sz w:val="24"/>
                <w:szCs w:val="28"/>
              </w:rPr>
              <w:lastRenderedPageBreak/>
              <w:t>сприятливі умови для інновацій та участі в міжнародних програмах.</w:t>
            </w:r>
          </w:p>
        </w:tc>
        <w:tc>
          <w:tcPr>
            <w:tcW w:w="3214" w:type="dxa"/>
            <w:tcBorders>
              <w:top w:val="single" w:sz="4" w:space="0" w:color="000000"/>
              <w:left w:val="single" w:sz="4" w:space="0" w:color="000000"/>
              <w:bottom w:val="single" w:sz="4" w:space="0" w:color="000000"/>
              <w:right w:val="single" w:sz="4" w:space="0" w:color="000000"/>
            </w:tcBorders>
          </w:tcPr>
          <w:p w:rsidR="00AF149D" w:rsidRPr="00B32392" w:rsidRDefault="00C90E21" w:rsidP="00C90E21">
            <w:pPr>
              <w:spacing w:after="0" w:line="240" w:lineRule="auto"/>
              <w:ind w:left="87" w:right="133" w:hanging="14"/>
              <w:jc w:val="both"/>
              <w:rPr>
                <w:rFonts w:ascii="Times New Roman" w:eastAsia="Times New Roman" w:hAnsi="Times New Roman" w:cs="Times New Roman"/>
                <w:sz w:val="24"/>
                <w:szCs w:val="28"/>
              </w:rPr>
            </w:pPr>
            <w:r w:rsidRPr="00C90E21">
              <w:rPr>
                <w:rFonts w:ascii="Times New Roman" w:eastAsia="Times New Roman" w:hAnsi="Times New Roman" w:cs="Times New Roman"/>
                <w:sz w:val="24"/>
                <w:szCs w:val="28"/>
              </w:rPr>
              <w:lastRenderedPageBreak/>
              <w:t xml:space="preserve">Існують помірні ризики, пов’язані з повільною адаптацією окремих установ до нових вимог (особливо на етапі впровадження), можливими кадровими або інфраструктурними обмеженнями. Однак ризики є прогнозованими та можуть бути мінімізовані шляхом надання методичних </w:t>
            </w:r>
            <w:r w:rsidRPr="00C90E21">
              <w:rPr>
                <w:rFonts w:ascii="Times New Roman" w:eastAsia="Times New Roman" w:hAnsi="Times New Roman" w:cs="Times New Roman"/>
                <w:sz w:val="24"/>
                <w:szCs w:val="28"/>
              </w:rPr>
              <w:lastRenderedPageBreak/>
              <w:t>рекомендацій, поетапного впровадження та підтримки з боку держави.</w:t>
            </w:r>
          </w:p>
        </w:tc>
      </w:tr>
    </w:tbl>
    <w:p w:rsidR="00AB1AF8" w:rsidRDefault="00AB1AF8" w:rsidP="00D747E3">
      <w:pPr>
        <w:shd w:val="clear" w:color="auto" w:fill="FFFFFF"/>
        <w:spacing w:after="0" w:line="240" w:lineRule="auto"/>
        <w:ind w:firstLine="709"/>
        <w:jc w:val="both"/>
        <w:rPr>
          <w:rFonts w:ascii="Times New Roman" w:eastAsia="Times New Roman" w:hAnsi="Times New Roman" w:cs="Times New Roman"/>
          <w:sz w:val="28"/>
          <w:szCs w:val="28"/>
        </w:rPr>
      </w:pPr>
    </w:p>
    <w:p w:rsidR="00AF149D" w:rsidRPr="00B32392" w:rsidRDefault="00716C69" w:rsidP="00D747E3">
      <w:pPr>
        <w:shd w:val="clear" w:color="auto" w:fill="FFFFFF"/>
        <w:spacing w:after="0" w:line="240" w:lineRule="auto"/>
        <w:ind w:firstLine="709"/>
        <w:jc w:val="both"/>
        <w:rPr>
          <w:rFonts w:ascii="Times New Roman" w:eastAsia="Times New Roman" w:hAnsi="Times New Roman" w:cs="Times New Roman"/>
          <w:sz w:val="28"/>
          <w:szCs w:val="28"/>
        </w:rPr>
      </w:pPr>
      <w:r w:rsidRPr="00B32392">
        <w:rPr>
          <w:rFonts w:ascii="Times New Roman" w:eastAsia="Times New Roman" w:hAnsi="Times New Roman" w:cs="Times New Roman"/>
          <w:sz w:val="28"/>
          <w:szCs w:val="28"/>
        </w:rPr>
        <w:t xml:space="preserve">Таким чином, оптимальним варіантом є Альтернатива 2 — ухвалення </w:t>
      </w:r>
      <w:proofErr w:type="spellStart"/>
      <w:r w:rsidRPr="00B32392">
        <w:rPr>
          <w:rFonts w:ascii="Times New Roman" w:eastAsia="Times New Roman" w:hAnsi="Times New Roman" w:cs="Times New Roman"/>
          <w:sz w:val="28"/>
          <w:szCs w:val="28"/>
        </w:rPr>
        <w:t>проєкту</w:t>
      </w:r>
      <w:proofErr w:type="spellEnd"/>
      <w:r w:rsidRPr="00B32392">
        <w:rPr>
          <w:rFonts w:ascii="Times New Roman" w:eastAsia="Times New Roman" w:hAnsi="Times New Roman" w:cs="Times New Roman"/>
          <w:sz w:val="28"/>
          <w:szCs w:val="28"/>
        </w:rPr>
        <w:t xml:space="preserve"> регуляторного </w:t>
      </w:r>
      <w:proofErr w:type="spellStart"/>
      <w:r w:rsidRPr="00B32392">
        <w:rPr>
          <w:rFonts w:ascii="Times New Roman" w:eastAsia="Times New Roman" w:hAnsi="Times New Roman" w:cs="Times New Roman"/>
          <w:sz w:val="28"/>
          <w:szCs w:val="28"/>
        </w:rPr>
        <w:t>акта</w:t>
      </w:r>
      <w:proofErr w:type="spellEnd"/>
      <w:r w:rsidRPr="00B32392">
        <w:rPr>
          <w:rFonts w:ascii="Times New Roman" w:eastAsia="Times New Roman" w:hAnsi="Times New Roman" w:cs="Times New Roman"/>
          <w:sz w:val="28"/>
          <w:szCs w:val="28"/>
        </w:rPr>
        <w:t xml:space="preserve"> у запропонованій редакції, яка забезпечує правову визначеність, ефективність та відповідність чинному законодавству.</w:t>
      </w:r>
    </w:p>
    <w:p w:rsidR="00C60A7D" w:rsidRPr="00B32392" w:rsidRDefault="00C60A7D" w:rsidP="00D747E3">
      <w:pPr>
        <w:shd w:val="clear" w:color="auto" w:fill="FFFFFF"/>
        <w:spacing w:after="0" w:line="240" w:lineRule="auto"/>
        <w:ind w:firstLine="709"/>
        <w:jc w:val="both"/>
        <w:rPr>
          <w:rFonts w:ascii="Times New Roman" w:eastAsia="Times New Roman" w:hAnsi="Times New Roman" w:cs="Times New Roman"/>
          <w:sz w:val="28"/>
          <w:szCs w:val="28"/>
        </w:rPr>
      </w:pPr>
    </w:p>
    <w:p w:rsidR="00AF149D" w:rsidRPr="00561511" w:rsidRDefault="00716C69" w:rsidP="00AB1AF8">
      <w:pPr>
        <w:shd w:val="clear" w:color="auto" w:fill="FFFFFF"/>
        <w:spacing w:after="0" w:line="240" w:lineRule="auto"/>
        <w:jc w:val="center"/>
        <w:rPr>
          <w:rFonts w:ascii="Times New Roman" w:eastAsia="Times New Roman" w:hAnsi="Times New Roman" w:cs="Times New Roman"/>
          <w:b/>
          <w:sz w:val="28"/>
          <w:szCs w:val="28"/>
        </w:rPr>
      </w:pPr>
      <w:r w:rsidRPr="00561511">
        <w:rPr>
          <w:rFonts w:ascii="Times New Roman" w:eastAsia="Times New Roman" w:hAnsi="Times New Roman" w:cs="Times New Roman"/>
          <w:b/>
          <w:sz w:val="28"/>
          <w:szCs w:val="28"/>
        </w:rPr>
        <w:t>V. Механізми та заходи, які забезпечать розв’язання визначеної проблеми</w:t>
      </w:r>
    </w:p>
    <w:p w:rsidR="00230252" w:rsidRPr="00230252" w:rsidRDefault="00230252" w:rsidP="00230252">
      <w:pPr>
        <w:shd w:val="clear" w:color="auto" w:fill="FFFFFF"/>
        <w:spacing w:after="0" w:line="240" w:lineRule="auto"/>
        <w:ind w:firstLine="709"/>
        <w:jc w:val="both"/>
        <w:rPr>
          <w:rFonts w:ascii="Times New Roman" w:hAnsi="Times New Roman" w:cs="Times New Roman"/>
          <w:sz w:val="28"/>
          <w:szCs w:val="28"/>
        </w:rPr>
      </w:pPr>
      <w:r w:rsidRPr="00230252">
        <w:rPr>
          <w:rFonts w:ascii="Times New Roman" w:hAnsi="Times New Roman" w:cs="Times New Roman"/>
          <w:sz w:val="28"/>
          <w:szCs w:val="28"/>
        </w:rPr>
        <w:t xml:space="preserve">Для вирішення проблем, визначених у розділі першому, та досягнення цілей, визначених у розділі другому цього аналізу регуляторного впливу, </w:t>
      </w:r>
      <w:proofErr w:type="spellStart"/>
      <w:r w:rsidRPr="00230252">
        <w:rPr>
          <w:rFonts w:ascii="Times New Roman" w:hAnsi="Times New Roman" w:cs="Times New Roman"/>
          <w:sz w:val="28"/>
          <w:szCs w:val="28"/>
        </w:rPr>
        <w:t>проєктом</w:t>
      </w:r>
      <w:proofErr w:type="spellEnd"/>
      <w:r w:rsidRPr="00230252">
        <w:rPr>
          <w:rFonts w:ascii="Times New Roman" w:hAnsi="Times New Roman" w:cs="Times New Roman"/>
          <w:sz w:val="28"/>
          <w:szCs w:val="28"/>
        </w:rPr>
        <w:t xml:space="preserve"> </w:t>
      </w:r>
      <w:proofErr w:type="spellStart"/>
      <w:r w:rsidRPr="00230252">
        <w:rPr>
          <w:rFonts w:ascii="Times New Roman" w:hAnsi="Times New Roman" w:cs="Times New Roman"/>
          <w:sz w:val="28"/>
          <w:szCs w:val="28"/>
        </w:rPr>
        <w:t>акта</w:t>
      </w:r>
      <w:proofErr w:type="spellEnd"/>
      <w:r w:rsidRPr="00230252">
        <w:rPr>
          <w:rFonts w:ascii="Times New Roman" w:hAnsi="Times New Roman" w:cs="Times New Roman"/>
          <w:sz w:val="28"/>
          <w:szCs w:val="28"/>
        </w:rPr>
        <w:t xml:space="preserve"> передбачено механізм розв’язання проблеми шляхом його прийняття.</w:t>
      </w:r>
    </w:p>
    <w:p w:rsidR="00230252" w:rsidRPr="00230252" w:rsidRDefault="00230252" w:rsidP="00230252">
      <w:pPr>
        <w:shd w:val="clear" w:color="auto" w:fill="FFFFFF"/>
        <w:spacing w:after="0" w:line="240" w:lineRule="auto"/>
        <w:ind w:firstLine="709"/>
        <w:jc w:val="both"/>
        <w:rPr>
          <w:rFonts w:ascii="Times New Roman" w:hAnsi="Times New Roman" w:cs="Times New Roman"/>
          <w:sz w:val="28"/>
          <w:szCs w:val="28"/>
        </w:rPr>
      </w:pPr>
      <w:r w:rsidRPr="00230252">
        <w:rPr>
          <w:rFonts w:ascii="Times New Roman" w:hAnsi="Times New Roman" w:cs="Times New Roman"/>
          <w:sz w:val="28"/>
          <w:szCs w:val="28"/>
        </w:rPr>
        <w:t xml:space="preserve">Прийняття Закону України «Про внесення змін до деяких законів України щодо реалізації принципів відкритої науки» забезпечить формування нормативної основи для впровадження відкритої науки як комплексної державної політики. </w:t>
      </w:r>
      <w:proofErr w:type="spellStart"/>
      <w:r w:rsidRPr="00230252">
        <w:rPr>
          <w:rFonts w:ascii="Times New Roman" w:hAnsi="Times New Roman" w:cs="Times New Roman"/>
          <w:sz w:val="28"/>
          <w:szCs w:val="28"/>
        </w:rPr>
        <w:t>Законопроєкт</w:t>
      </w:r>
      <w:proofErr w:type="spellEnd"/>
      <w:r w:rsidRPr="00230252">
        <w:rPr>
          <w:rFonts w:ascii="Times New Roman" w:hAnsi="Times New Roman" w:cs="Times New Roman"/>
          <w:sz w:val="28"/>
          <w:szCs w:val="28"/>
        </w:rPr>
        <w:t xml:space="preserve"> містить зміни до базових законів у сфері науки, що визначають понятійний апарат, принципи, інституційні обов’язки та вимоги щодо відкритого доступу до результатів досліджень, виконаних за кошти державного та місцевих бюджетів.</w:t>
      </w:r>
    </w:p>
    <w:p w:rsidR="00230252" w:rsidRPr="00230252" w:rsidRDefault="00230252" w:rsidP="00230252">
      <w:pPr>
        <w:shd w:val="clear" w:color="auto" w:fill="FFFFFF"/>
        <w:spacing w:after="0" w:line="240" w:lineRule="auto"/>
        <w:ind w:firstLine="709"/>
        <w:jc w:val="both"/>
        <w:rPr>
          <w:rFonts w:ascii="Times New Roman" w:hAnsi="Times New Roman" w:cs="Times New Roman"/>
          <w:sz w:val="28"/>
          <w:szCs w:val="28"/>
        </w:rPr>
      </w:pPr>
      <w:r w:rsidRPr="00230252">
        <w:rPr>
          <w:rFonts w:ascii="Times New Roman" w:hAnsi="Times New Roman" w:cs="Times New Roman"/>
          <w:sz w:val="28"/>
          <w:szCs w:val="28"/>
        </w:rPr>
        <w:t>Механізми реалізації передбачають:</w:t>
      </w:r>
    </w:p>
    <w:p w:rsidR="00230252" w:rsidRPr="00230252" w:rsidRDefault="00230252" w:rsidP="00230252">
      <w:pPr>
        <w:pStyle w:val="ad"/>
        <w:numPr>
          <w:ilvl w:val="0"/>
          <w:numId w:val="2"/>
        </w:numPr>
        <w:shd w:val="clear" w:color="auto" w:fill="FFFFFF"/>
        <w:tabs>
          <w:tab w:val="left" w:pos="993"/>
        </w:tabs>
        <w:spacing w:after="0" w:line="240" w:lineRule="auto"/>
        <w:ind w:left="0" w:firstLine="709"/>
        <w:jc w:val="both"/>
        <w:rPr>
          <w:rFonts w:ascii="Times New Roman" w:hAnsi="Times New Roman" w:cs="Times New Roman"/>
          <w:sz w:val="28"/>
          <w:szCs w:val="28"/>
        </w:rPr>
      </w:pPr>
      <w:r w:rsidRPr="00230252">
        <w:rPr>
          <w:rFonts w:ascii="Times New Roman" w:hAnsi="Times New Roman" w:cs="Times New Roman"/>
          <w:sz w:val="28"/>
          <w:szCs w:val="28"/>
        </w:rPr>
        <w:t>нормативне закріплення принципів відкритої науки, зокрема вимог щодо відкритого доступу до результатів публічно фінансованих досліджень;</w:t>
      </w:r>
    </w:p>
    <w:p w:rsidR="00230252" w:rsidRPr="00230252" w:rsidRDefault="00230252" w:rsidP="00230252">
      <w:pPr>
        <w:pStyle w:val="ad"/>
        <w:numPr>
          <w:ilvl w:val="0"/>
          <w:numId w:val="2"/>
        </w:numPr>
        <w:shd w:val="clear" w:color="auto" w:fill="FFFFFF"/>
        <w:tabs>
          <w:tab w:val="left" w:pos="993"/>
        </w:tabs>
        <w:spacing w:after="0" w:line="240" w:lineRule="auto"/>
        <w:ind w:left="0" w:firstLine="709"/>
        <w:jc w:val="both"/>
        <w:rPr>
          <w:rFonts w:ascii="Times New Roman" w:hAnsi="Times New Roman" w:cs="Times New Roman"/>
          <w:sz w:val="28"/>
          <w:szCs w:val="28"/>
        </w:rPr>
      </w:pPr>
      <w:r w:rsidRPr="00230252">
        <w:rPr>
          <w:rFonts w:ascii="Times New Roman" w:hAnsi="Times New Roman" w:cs="Times New Roman"/>
          <w:sz w:val="28"/>
          <w:szCs w:val="28"/>
        </w:rPr>
        <w:t>впровадження інституційних політик відкритої науки в діяльність наукових установ, закладів вищої освіти та інших отримувачів бюджетного фінансування;</w:t>
      </w:r>
    </w:p>
    <w:p w:rsidR="00230252" w:rsidRPr="00230252" w:rsidRDefault="00230252" w:rsidP="00230252">
      <w:pPr>
        <w:pStyle w:val="ad"/>
        <w:numPr>
          <w:ilvl w:val="0"/>
          <w:numId w:val="2"/>
        </w:numPr>
        <w:shd w:val="clear" w:color="auto" w:fill="FFFFFF"/>
        <w:tabs>
          <w:tab w:val="left" w:pos="993"/>
        </w:tabs>
        <w:spacing w:after="0" w:line="240" w:lineRule="auto"/>
        <w:ind w:left="0" w:firstLine="709"/>
        <w:jc w:val="both"/>
        <w:rPr>
          <w:rFonts w:ascii="Times New Roman" w:hAnsi="Times New Roman" w:cs="Times New Roman"/>
          <w:sz w:val="28"/>
          <w:szCs w:val="28"/>
        </w:rPr>
      </w:pPr>
      <w:r w:rsidRPr="00230252">
        <w:rPr>
          <w:rFonts w:ascii="Times New Roman" w:hAnsi="Times New Roman" w:cs="Times New Roman"/>
          <w:sz w:val="28"/>
          <w:szCs w:val="28"/>
        </w:rPr>
        <w:t xml:space="preserve">розвиток і підтримку цифрової інфраструктури відкритої науки, включаючи Національний </w:t>
      </w:r>
      <w:proofErr w:type="spellStart"/>
      <w:r w:rsidRPr="00230252">
        <w:rPr>
          <w:rFonts w:ascii="Times New Roman" w:hAnsi="Times New Roman" w:cs="Times New Roman"/>
          <w:sz w:val="28"/>
          <w:szCs w:val="28"/>
        </w:rPr>
        <w:t>репозитарій</w:t>
      </w:r>
      <w:proofErr w:type="spellEnd"/>
      <w:r w:rsidRPr="00230252">
        <w:rPr>
          <w:rFonts w:ascii="Times New Roman" w:hAnsi="Times New Roman" w:cs="Times New Roman"/>
          <w:sz w:val="28"/>
          <w:szCs w:val="28"/>
        </w:rPr>
        <w:t xml:space="preserve"> академічних текстів, інституційні </w:t>
      </w:r>
      <w:proofErr w:type="spellStart"/>
      <w:r w:rsidRPr="00230252">
        <w:rPr>
          <w:rFonts w:ascii="Times New Roman" w:hAnsi="Times New Roman" w:cs="Times New Roman"/>
          <w:sz w:val="28"/>
          <w:szCs w:val="28"/>
        </w:rPr>
        <w:t>репозитарії</w:t>
      </w:r>
      <w:proofErr w:type="spellEnd"/>
      <w:r w:rsidRPr="00230252">
        <w:rPr>
          <w:rFonts w:ascii="Times New Roman" w:hAnsi="Times New Roman" w:cs="Times New Roman"/>
          <w:sz w:val="28"/>
          <w:szCs w:val="28"/>
        </w:rPr>
        <w:t xml:space="preserve">, системи збереження ідентифікаторів наукових результатів, </w:t>
      </w:r>
      <w:proofErr w:type="spellStart"/>
      <w:r w:rsidRPr="00230252">
        <w:rPr>
          <w:rFonts w:ascii="Times New Roman" w:hAnsi="Times New Roman" w:cs="Times New Roman"/>
          <w:sz w:val="28"/>
          <w:szCs w:val="28"/>
        </w:rPr>
        <w:t>агрегатори</w:t>
      </w:r>
      <w:proofErr w:type="spellEnd"/>
      <w:r w:rsidRPr="00230252">
        <w:rPr>
          <w:rFonts w:ascii="Times New Roman" w:hAnsi="Times New Roman" w:cs="Times New Roman"/>
          <w:sz w:val="28"/>
          <w:szCs w:val="28"/>
        </w:rPr>
        <w:t xml:space="preserve"> метаданих;</w:t>
      </w:r>
    </w:p>
    <w:p w:rsidR="00230252" w:rsidRPr="00230252" w:rsidRDefault="00230252" w:rsidP="00230252">
      <w:pPr>
        <w:pStyle w:val="ad"/>
        <w:numPr>
          <w:ilvl w:val="0"/>
          <w:numId w:val="2"/>
        </w:numPr>
        <w:shd w:val="clear" w:color="auto" w:fill="FFFFFF"/>
        <w:tabs>
          <w:tab w:val="left" w:pos="993"/>
        </w:tabs>
        <w:spacing w:after="0" w:line="240" w:lineRule="auto"/>
        <w:ind w:left="0" w:firstLine="709"/>
        <w:jc w:val="both"/>
        <w:rPr>
          <w:rFonts w:ascii="Times New Roman" w:hAnsi="Times New Roman" w:cs="Times New Roman"/>
          <w:sz w:val="28"/>
          <w:szCs w:val="28"/>
        </w:rPr>
      </w:pPr>
      <w:r w:rsidRPr="00230252">
        <w:rPr>
          <w:rFonts w:ascii="Times New Roman" w:hAnsi="Times New Roman" w:cs="Times New Roman"/>
          <w:sz w:val="28"/>
          <w:szCs w:val="28"/>
        </w:rPr>
        <w:t xml:space="preserve">створення умов для повторного використання результатів досліджень, у тому числі шляхом дотримання міжнародних стандартів відкритості (зокрема принципів FAIR – </w:t>
      </w:r>
      <w:proofErr w:type="spellStart"/>
      <w:r w:rsidRPr="00230252">
        <w:rPr>
          <w:rFonts w:ascii="Times New Roman" w:hAnsi="Times New Roman" w:cs="Times New Roman"/>
          <w:sz w:val="28"/>
          <w:szCs w:val="28"/>
        </w:rPr>
        <w:t>Findable</w:t>
      </w:r>
      <w:proofErr w:type="spellEnd"/>
      <w:r w:rsidRPr="00230252">
        <w:rPr>
          <w:rFonts w:ascii="Times New Roman" w:hAnsi="Times New Roman" w:cs="Times New Roman"/>
          <w:sz w:val="28"/>
          <w:szCs w:val="28"/>
        </w:rPr>
        <w:t xml:space="preserve">, </w:t>
      </w:r>
      <w:proofErr w:type="spellStart"/>
      <w:r w:rsidRPr="00230252">
        <w:rPr>
          <w:rFonts w:ascii="Times New Roman" w:hAnsi="Times New Roman" w:cs="Times New Roman"/>
          <w:sz w:val="28"/>
          <w:szCs w:val="28"/>
        </w:rPr>
        <w:t>Accessible</w:t>
      </w:r>
      <w:proofErr w:type="spellEnd"/>
      <w:r w:rsidRPr="00230252">
        <w:rPr>
          <w:rFonts w:ascii="Times New Roman" w:hAnsi="Times New Roman" w:cs="Times New Roman"/>
          <w:sz w:val="28"/>
          <w:szCs w:val="28"/>
        </w:rPr>
        <w:t xml:space="preserve">, </w:t>
      </w:r>
      <w:proofErr w:type="spellStart"/>
      <w:r w:rsidRPr="00230252">
        <w:rPr>
          <w:rFonts w:ascii="Times New Roman" w:hAnsi="Times New Roman" w:cs="Times New Roman"/>
          <w:sz w:val="28"/>
          <w:szCs w:val="28"/>
        </w:rPr>
        <w:t>Interoperable</w:t>
      </w:r>
      <w:proofErr w:type="spellEnd"/>
      <w:r w:rsidRPr="00230252">
        <w:rPr>
          <w:rFonts w:ascii="Times New Roman" w:hAnsi="Times New Roman" w:cs="Times New Roman"/>
          <w:sz w:val="28"/>
          <w:szCs w:val="28"/>
        </w:rPr>
        <w:t xml:space="preserve">, </w:t>
      </w:r>
      <w:proofErr w:type="spellStart"/>
      <w:r w:rsidRPr="00230252">
        <w:rPr>
          <w:rFonts w:ascii="Times New Roman" w:hAnsi="Times New Roman" w:cs="Times New Roman"/>
          <w:sz w:val="28"/>
          <w:szCs w:val="28"/>
        </w:rPr>
        <w:t>Reusable</w:t>
      </w:r>
      <w:proofErr w:type="spellEnd"/>
      <w:r w:rsidRPr="00230252">
        <w:rPr>
          <w:rFonts w:ascii="Times New Roman" w:hAnsi="Times New Roman" w:cs="Times New Roman"/>
          <w:sz w:val="28"/>
          <w:szCs w:val="28"/>
        </w:rPr>
        <w:t>);</w:t>
      </w:r>
    </w:p>
    <w:p w:rsidR="00AB1AF8" w:rsidRPr="00230252" w:rsidRDefault="00230252" w:rsidP="00230252">
      <w:pPr>
        <w:pStyle w:val="ad"/>
        <w:numPr>
          <w:ilvl w:val="0"/>
          <w:numId w:val="2"/>
        </w:numPr>
        <w:shd w:val="clear" w:color="auto" w:fill="FFFFFF"/>
        <w:tabs>
          <w:tab w:val="left" w:pos="993"/>
        </w:tabs>
        <w:spacing w:after="0" w:line="240" w:lineRule="auto"/>
        <w:ind w:left="0" w:firstLine="709"/>
        <w:jc w:val="both"/>
        <w:rPr>
          <w:rFonts w:ascii="Times New Roman" w:hAnsi="Times New Roman" w:cs="Times New Roman"/>
          <w:sz w:val="28"/>
          <w:szCs w:val="28"/>
        </w:rPr>
      </w:pPr>
      <w:r w:rsidRPr="00230252">
        <w:rPr>
          <w:rFonts w:ascii="Times New Roman" w:hAnsi="Times New Roman" w:cs="Times New Roman"/>
          <w:sz w:val="28"/>
          <w:szCs w:val="28"/>
        </w:rPr>
        <w:t>інтеграцію принципів відкритої науки у державну політику наукової, освітньої, інноваційної та цифрової сфер.</w:t>
      </w:r>
    </w:p>
    <w:p w:rsidR="00D8248E" w:rsidRPr="00B32392" w:rsidRDefault="00D8248E" w:rsidP="00D8248E">
      <w:pPr>
        <w:shd w:val="clear" w:color="auto" w:fill="FFFFFF"/>
        <w:spacing w:after="0" w:line="240" w:lineRule="auto"/>
        <w:ind w:firstLine="709"/>
        <w:jc w:val="both"/>
        <w:rPr>
          <w:rFonts w:ascii="Times New Roman" w:eastAsia="Times New Roman" w:hAnsi="Times New Roman" w:cs="Times New Roman"/>
          <w:sz w:val="28"/>
          <w:szCs w:val="28"/>
        </w:rPr>
      </w:pPr>
      <w:r w:rsidRPr="00561511">
        <w:rPr>
          <w:rFonts w:ascii="Times New Roman" w:eastAsia="Times New Roman" w:hAnsi="Times New Roman" w:cs="Times New Roman"/>
          <w:sz w:val="28"/>
          <w:szCs w:val="28"/>
        </w:rPr>
        <w:t>Для забезпечення</w:t>
      </w:r>
      <w:r w:rsidRPr="00B32392">
        <w:rPr>
          <w:rFonts w:ascii="Times New Roman" w:eastAsia="Times New Roman" w:hAnsi="Times New Roman" w:cs="Times New Roman"/>
          <w:sz w:val="28"/>
          <w:szCs w:val="28"/>
        </w:rPr>
        <w:t xml:space="preserve"> впровадження запропонованих змін органи державної влади повинні здійснити такі дії:</w:t>
      </w:r>
    </w:p>
    <w:p w:rsidR="00D8248E" w:rsidRDefault="00D8248E" w:rsidP="00D8248E">
      <w:pPr>
        <w:shd w:val="clear" w:color="auto" w:fill="FFFFFF"/>
        <w:spacing w:after="0" w:line="240" w:lineRule="auto"/>
        <w:ind w:firstLine="709"/>
        <w:jc w:val="both"/>
        <w:rPr>
          <w:rFonts w:ascii="Times New Roman" w:eastAsia="Times New Roman" w:hAnsi="Times New Roman" w:cs="Times New Roman"/>
          <w:sz w:val="28"/>
          <w:szCs w:val="28"/>
        </w:rPr>
      </w:pPr>
      <w:r w:rsidRPr="00B32392">
        <w:rPr>
          <w:rFonts w:ascii="Times New Roman" w:eastAsia="Times New Roman" w:hAnsi="Times New Roman" w:cs="Times New Roman"/>
          <w:sz w:val="28"/>
          <w:szCs w:val="28"/>
        </w:rPr>
        <w:t xml:space="preserve">- оприлюднення прийнятого закону на офіційних </w:t>
      </w:r>
      <w:proofErr w:type="spellStart"/>
      <w:r w:rsidRPr="00B32392">
        <w:rPr>
          <w:rFonts w:ascii="Times New Roman" w:eastAsia="Times New Roman" w:hAnsi="Times New Roman" w:cs="Times New Roman"/>
          <w:sz w:val="28"/>
          <w:szCs w:val="28"/>
        </w:rPr>
        <w:t>вебсайтах</w:t>
      </w:r>
      <w:proofErr w:type="spellEnd"/>
      <w:r w:rsidRPr="00B32392">
        <w:rPr>
          <w:rFonts w:ascii="Times New Roman" w:eastAsia="Times New Roman" w:hAnsi="Times New Roman" w:cs="Times New Roman"/>
          <w:sz w:val="28"/>
          <w:szCs w:val="28"/>
        </w:rPr>
        <w:t xml:space="preserve"> (Верховної Ради України, Міністерства освіти і науки України, інших дотичних ЦОВВ);</w:t>
      </w:r>
    </w:p>
    <w:p w:rsidR="00230252" w:rsidRPr="00230252" w:rsidRDefault="00230252" w:rsidP="00230252">
      <w:pPr>
        <w:shd w:val="clear" w:color="auto" w:fill="FFFFFF"/>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w:t>
      </w:r>
      <w:r w:rsidRPr="00230252">
        <w:rPr>
          <w:rFonts w:ascii="Times New Roman" w:eastAsia="Times New Roman" w:hAnsi="Times New Roman" w:cs="Times New Roman"/>
          <w:sz w:val="28"/>
          <w:szCs w:val="28"/>
        </w:rPr>
        <w:t xml:space="preserve">підготовка та поширення офіційних роз’яснень щодо внесених змін для цільових аудиторій </w:t>
      </w:r>
      <w:r>
        <w:rPr>
          <w:rFonts w:ascii="Times New Roman" w:eastAsia="Times New Roman" w:hAnsi="Times New Roman" w:cs="Times New Roman"/>
          <w:sz w:val="28"/>
          <w:szCs w:val="28"/>
        </w:rPr>
        <w:t>–</w:t>
      </w:r>
      <w:r w:rsidRPr="00230252">
        <w:rPr>
          <w:rFonts w:ascii="Times New Roman" w:eastAsia="Times New Roman" w:hAnsi="Times New Roman" w:cs="Times New Roman"/>
          <w:sz w:val="28"/>
          <w:szCs w:val="28"/>
        </w:rPr>
        <w:t xml:space="preserve"> закладів вищої освіти, наукових установ, органів управління, </w:t>
      </w:r>
      <w:proofErr w:type="spellStart"/>
      <w:r w:rsidRPr="00230252">
        <w:rPr>
          <w:rFonts w:ascii="Times New Roman" w:eastAsia="Times New Roman" w:hAnsi="Times New Roman" w:cs="Times New Roman"/>
          <w:sz w:val="28"/>
          <w:szCs w:val="28"/>
        </w:rPr>
        <w:t>грантодавців</w:t>
      </w:r>
      <w:proofErr w:type="spellEnd"/>
      <w:r w:rsidRPr="00230252">
        <w:rPr>
          <w:rFonts w:ascii="Times New Roman" w:eastAsia="Times New Roman" w:hAnsi="Times New Roman" w:cs="Times New Roman"/>
          <w:sz w:val="28"/>
          <w:szCs w:val="28"/>
        </w:rPr>
        <w:t xml:space="preserve">, організацій, що виконують </w:t>
      </w:r>
      <w:r>
        <w:rPr>
          <w:rFonts w:ascii="Times New Roman" w:eastAsia="Times New Roman" w:hAnsi="Times New Roman" w:cs="Times New Roman"/>
          <w:sz w:val="28"/>
          <w:szCs w:val="28"/>
        </w:rPr>
        <w:t>наукові та науково-дослідні роботи</w:t>
      </w:r>
      <w:r w:rsidRPr="00230252">
        <w:rPr>
          <w:rFonts w:ascii="Times New Roman" w:eastAsia="Times New Roman" w:hAnsi="Times New Roman" w:cs="Times New Roman"/>
          <w:sz w:val="28"/>
          <w:szCs w:val="28"/>
        </w:rPr>
        <w:t xml:space="preserve"> за публічні кошти;</w:t>
      </w:r>
    </w:p>
    <w:p w:rsidR="00230252" w:rsidRPr="00230252" w:rsidRDefault="00230252" w:rsidP="00230252">
      <w:pPr>
        <w:shd w:val="clear" w:color="auto" w:fill="FFFFFF"/>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w:t>
      </w:r>
      <w:r w:rsidRPr="00230252">
        <w:rPr>
          <w:rFonts w:ascii="Times New Roman" w:eastAsia="Times New Roman" w:hAnsi="Times New Roman" w:cs="Times New Roman"/>
          <w:sz w:val="28"/>
          <w:szCs w:val="28"/>
        </w:rPr>
        <w:t>доведення змін до відома керівників закладів освіти, наукових установ та профільних підрозділів ЦОВВ, які реалізують державну політику у сферах освіти, науки, інновацій;</w:t>
      </w:r>
    </w:p>
    <w:p w:rsidR="00230252" w:rsidRPr="00230252" w:rsidRDefault="00DB0804" w:rsidP="00230252">
      <w:pPr>
        <w:shd w:val="clear" w:color="auto" w:fill="FFFFFF"/>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w:t>
      </w:r>
      <w:r w:rsidR="00230252" w:rsidRPr="00230252">
        <w:rPr>
          <w:rFonts w:ascii="Times New Roman" w:eastAsia="Times New Roman" w:hAnsi="Times New Roman" w:cs="Times New Roman"/>
          <w:sz w:val="28"/>
          <w:szCs w:val="28"/>
        </w:rPr>
        <w:t xml:space="preserve">розробка та затвердження методичних рекомендацій і порядків, зокрема вимог до відкритих </w:t>
      </w:r>
      <w:proofErr w:type="spellStart"/>
      <w:r w:rsidR="00230252" w:rsidRPr="00230252">
        <w:rPr>
          <w:rFonts w:ascii="Times New Roman" w:eastAsia="Times New Roman" w:hAnsi="Times New Roman" w:cs="Times New Roman"/>
          <w:sz w:val="28"/>
          <w:szCs w:val="28"/>
        </w:rPr>
        <w:t>репозитаріїв</w:t>
      </w:r>
      <w:proofErr w:type="spellEnd"/>
      <w:r w:rsidR="00230252" w:rsidRPr="00230252">
        <w:rPr>
          <w:rFonts w:ascii="Times New Roman" w:eastAsia="Times New Roman" w:hAnsi="Times New Roman" w:cs="Times New Roman"/>
          <w:sz w:val="28"/>
          <w:szCs w:val="28"/>
        </w:rPr>
        <w:t>, типових політик відкритого доступу;</w:t>
      </w:r>
    </w:p>
    <w:p w:rsidR="00230252" w:rsidRPr="00230252" w:rsidRDefault="00DB0804" w:rsidP="00230252">
      <w:pPr>
        <w:shd w:val="clear" w:color="auto" w:fill="FFFFFF"/>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w:t>
      </w:r>
      <w:r w:rsidR="00230252" w:rsidRPr="00230252">
        <w:rPr>
          <w:rFonts w:ascii="Times New Roman" w:eastAsia="Times New Roman" w:hAnsi="Times New Roman" w:cs="Times New Roman"/>
          <w:sz w:val="28"/>
          <w:szCs w:val="28"/>
        </w:rPr>
        <w:t xml:space="preserve">інтеграція принципів відкритої науки в нормативні документи, що регламентують державне фінансування досліджень, оцінювання результатів </w:t>
      </w:r>
      <w:r>
        <w:rPr>
          <w:rFonts w:ascii="Times New Roman" w:eastAsia="Times New Roman" w:hAnsi="Times New Roman" w:cs="Times New Roman"/>
          <w:sz w:val="28"/>
          <w:szCs w:val="28"/>
        </w:rPr>
        <w:t>науково-дослідних робіт</w:t>
      </w:r>
      <w:r w:rsidR="00230252" w:rsidRPr="00230252">
        <w:rPr>
          <w:rFonts w:ascii="Times New Roman" w:eastAsia="Times New Roman" w:hAnsi="Times New Roman" w:cs="Times New Roman"/>
          <w:sz w:val="28"/>
          <w:szCs w:val="28"/>
        </w:rPr>
        <w:t>, надання грантів і державних замовлень;</w:t>
      </w:r>
    </w:p>
    <w:p w:rsidR="00230252" w:rsidRPr="00230252" w:rsidRDefault="00DB0804" w:rsidP="00230252">
      <w:pPr>
        <w:shd w:val="clear" w:color="auto" w:fill="FFFFFF"/>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w:t>
      </w:r>
      <w:r w:rsidR="00230252" w:rsidRPr="00230252">
        <w:rPr>
          <w:rFonts w:ascii="Times New Roman" w:eastAsia="Times New Roman" w:hAnsi="Times New Roman" w:cs="Times New Roman"/>
          <w:sz w:val="28"/>
          <w:szCs w:val="28"/>
        </w:rPr>
        <w:t>забезпечення функціонування цифрової інфраструктури відкритої науки (у т</w:t>
      </w:r>
      <w:r>
        <w:rPr>
          <w:rFonts w:ascii="Times New Roman" w:eastAsia="Times New Roman" w:hAnsi="Times New Roman" w:cs="Times New Roman"/>
          <w:sz w:val="28"/>
          <w:szCs w:val="28"/>
        </w:rPr>
        <w:t xml:space="preserve">ому </w:t>
      </w:r>
      <w:r w:rsidR="00230252" w:rsidRPr="00230252">
        <w:rPr>
          <w:rFonts w:ascii="Times New Roman" w:eastAsia="Times New Roman" w:hAnsi="Times New Roman" w:cs="Times New Roman"/>
          <w:sz w:val="28"/>
          <w:szCs w:val="28"/>
        </w:rPr>
        <w:t>ч</w:t>
      </w:r>
      <w:r>
        <w:rPr>
          <w:rFonts w:ascii="Times New Roman" w:eastAsia="Times New Roman" w:hAnsi="Times New Roman" w:cs="Times New Roman"/>
          <w:sz w:val="28"/>
          <w:szCs w:val="28"/>
        </w:rPr>
        <w:t>ислі,</w:t>
      </w:r>
      <w:r w:rsidR="00230252" w:rsidRPr="00230252">
        <w:rPr>
          <w:rFonts w:ascii="Times New Roman" w:eastAsia="Times New Roman" w:hAnsi="Times New Roman" w:cs="Times New Roman"/>
          <w:sz w:val="28"/>
          <w:szCs w:val="28"/>
        </w:rPr>
        <w:t xml:space="preserve"> розвиток Національного </w:t>
      </w:r>
      <w:proofErr w:type="spellStart"/>
      <w:r w:rsidR="00230252" w:rsidRPr="00230252">
        <w:rPr>
          <w:rFonts w:ascii="Times New Roman" w:eastAsia="Times New Roman" w:hAnsi="Times New Roman" w:cs="Times New Roman"/>
          <w:sz w:val="28"/>
          <w:szCs w:val="28"/>
        </w:rPr>
        <w:t>репозитарію</w:t>
      </w:r>
      <w:proofErr w:type="spellEnd"/>
      <w:r w:rsidR="00230252" w:rsidRPr="00230252">
        <w:rPr>
          <w:rFonts w:ascii="Times New Roman" w:eastAsia="Times New Roman" w:hAnsi="Times New Roman" w:cs="Times New Roman"/>
          <w:sz w:val="28"/>
          <w:szCs w:val="28"/>
        </w:rPr>
        <w:t xml:space="preserve"> академічних текстів</w:t>
      </w:r>
      <w:r>
        <w:rPr>
          <w:rFonts w:ascii="Times New Roman" w:eastAsia="Times New Roman" w:hAnsi="Times New Roman" w:cs="Times New Roman"/>
          <w:sz w:val="28"/>
          <w:szCs w:val="28"/>
        </w:rPr>
        <w:t xml:space="preserve"> та </w:t>
      </w:r>
      <w:r w:rsidRPr="00DB0804">
        <w:rPr>
          <w:rFonts w:ascii="Times New Roman" w:eastAsia="Times New Roman" w:hAnsi="Times New Roman" w:cs="Times New Roman"/>
          <w:sz w:val="28"/>
          <w:szCs w:val="28"/>
        </w:rPr>
        <w:t>Національн</w:t>
      </w:r>
      <w:r>
        <w:rPr>
          <w:rFonts w:ascii="Times New Roman" w:eastAsia="Times New Roman" w:hAnsi="Times New Roman" w:cs="Times New Roman"/>
          <w:sz w:val="28"/>
          <w:szCs w:val="28"/>
        </w:rPr>
        <w:t>ої</w:t>
      </w:r>
      <w:r w:rsidRPr="00DB0804">
        <w:rPr>
          <w:rFonts w:ascii="Times New Roman" w:eastAsia="Times New Roman" w:hAnsi="Times New Roman" w:cs="Times New Roman"/>
          <w:sz w:val="28"/>
          <w:szCs w:val="28"/>
        </w:rPr>
        <w:t xml:space="preserve"> електронн</w:t>
      </w:r>
      <w:r>
        <w:rPr>
          <w:rFonts w:ascii="Times New Roman" w:eastAsia="Times New Roman" w:hAnsi="Times New Roman" w:cs="Times New Roman"/>
          <w:sz w:val="28"/>
          <w:szCs w:val="28"/>
        </w:rPr>
        <w:t>ої</w:t>
      </w:r>
      <w:r w:rsidRPr="00DB0804">
        <w:rPr>
          <w:rFonts w:ascii="Times New Roman" w:eastAsia="Times New Roman" w:hAnsi="Times New Roman" w:cs="Times New Roman"/>
          <w:sz w:val="28"/>
          <w:szCs w:val="28"/>
        </w:rPr>
        <w:t xml:space="preserve"> науково-інформаційн</w:t>
      </w:r>
      <w:r>
        <w:rPr>
          <w:rFonts w:ascii="Times New Roman" w:eastAsia="Times New Roman" w:hAnsi="Times New Roman" w:cs="Times New Roman"/>
          <w:sz w:val="28"/>
          <w:szCs w:val="28"/>
        </w:rPr>
        <w:t>ої</w:t>
      </w:r>
      <w:r w:rsidRPr="00DB0804">
        <w:rPr>
          <w:rFonts w:ascii="Times New Roman" w:eastAsia="Times New Roman" w:hAnsi="Times New Roman" w:cs="Times New Roman"/>
          <w:sz w:val="28"/>
          <w:szCs w:val="28"/>
        </w:rPr>
        <w:t xml:space="preserve"> систем</w:t>
      </w:r>
      <w:r>
        <w:rPr>
          <w:rFonts w:ascii="Times New Roman" w:eastAsia="Times New Roman" w:hAnsi="Times New Roman" w:cs="Times New Roman"/>
          <w:sz w:val="28"/>
          <w:szCs w:val="28"/>
        </w:rPr>
        <w:t>и</w:t>
      </w:r>
      <w:r w:rsidRPr="00DB0804">
        <w:rPr>
          <w:rFonts w:ascii="Times New Roman" w:eastAsia="Times New Roman" w:hAnsi="Times New Roman" w:cs="Times New Roman"/>
          <w:sz w:val="28"/>
          <w:szCs w:val="28"/>
        </w:rPr>
        <w:t xml:space="preserve"> “URIS”</w:t>
      </w:r>
      <w:r w:rsidR="00230252" w:rsidRPr="00230252">
        <w:rPr>
          <w:rFonts w:ascii="Times New Roman" w:eastAsia="Times New Roman" w:hAnsi="Times New Roman" w:cs="Times New Roman"/>
          <w:sz w:val="28"/>
          <w:szCs w:val="28"/>
        </w:rPr>
        <w:t>), її інтеграції до європейських та світових екосистем (наприклад, EOSC);</w:t>
      </w:r>
    </w:p>
    <w:p w:rsidR="00230252" w:rsidRDefault="00DB0804" w:rsidP="00230252">
      <w:pPr>
        <w:shd w:val="clear" w:color="auto" w:fill="FFFFFF"/>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w:t>
      </w:r>
      <w:r w:rsidR="00230252" w:rsidRPr="00230252">
        <w:rPr>
          <w:rFonts w:ascii="Times New Roman" w:eastAsia="Times New Roman" w:hAnsi="Times New Roman" w:cs="Times New Roman"/>
          <w:sz w:val="28"/>
          <w:szCs w:val="28"/>
        </w:rPr>
        <w:t>моніторинг виконання вимог відкритості у межах державного фінансування наукової діяльності та розробка механізмів відповідальності у разі їх недотримання.</w:t>
      </w:r>
    </w:p>
    <w:p w:rsidR="00D8248E" w:rsidRPr="00B32392" w:rsidRDefault="00DB0804" w:rsidP="00D8248E">
      <w:pPr>
        <w:shd w:val="clear" w:color="auto" w:fill="FFFFFF"/>
        <w:spacing w:after="0" w:line="240" w:lineRule="auto"/>
        <w:ind w:firstLine="709"/>
        <w:jc w:val="both"/>
        <w:rPr>
          <w:rFonts w:ascii="Times New Roman" w:eastAsia="Times New Roman" w:hAnsi="Times New Roman" w:cs="Times New Roman"/>
          <w:sz w:val="28"/>
          <w:szCs w:val="28"/>
        </w:rPr>
      </w:pPr>
      <w:r w:rsidRPr="00DB0804">
        <w:rPr>
          <w:rFonts w:ascii="Times New Roman" w:eastAsia="Times New Roman" w:hAnsi="Times New Roman" w:cs="Times New Roman"/>
          <w:sz w:val="28"/>
          <w:szCs w:val="28"/>
        </w:rPr>
        <w:t>Зазначені заходи не потребують додаткового бюджетного фінансування та здійснюються в межах повноважень органів виконавчої влади як елемент реалізації нормотворчої, координаційної та інформаційної по</w:t>
      </w:r>
      <w:r>
        <w:rPr>
          <w:rFonts w:ascii="Times New Roman" w:eastAsia="Times New Roman" w:hAnsi="Times New Roman" w:cs="Times New Roman"/>
          <w:sz w:val="28"/>
          <w:szCs w:val="28"/>
        </w:rPr>
        <w:t>літики держави у сфері наукової, науково-технічної та</w:t>
      </w:r>
      <w:r w:rsidRPr="00DB0804">
        <w:rPr>
          <w:rFonts w:ascii="Times New Roman" w:eastAsia="Times New Roman" w:hAnsi="Times New Roman" w:cs="Times New Roman"/>
          <w:sz w:val="28"/>
          <w:szCs w:val="28"/>
        </w:rPr>
        <w:t xml:space="preserve"> інновацій</w:t>
      </w:r>
      <w:r>
        <w:rPr>
          <w:rFonts w:ascii="Times New Roman" w:eastAsia="Times New Roman" w:hAnsi="Times New Roman" w:cs="Times New Roman"/>
          <w:sz w:val="28"/>
          <w:szCs w:val="28"/>
        </w:rPr>
        <w:t>ної діяльності</w:t>
      </w:r>
      <w:r w:rsidR="00D8248E" w:rsidRPr="00B32392">
        <w:rPr>
          <w:rFonts w:ascii="Times New Roman" w:eastAsia="Times New Roman" w:hAnsi="Times New Roman" w:cs="Times New Roman"/>
          <w:sz w:val="28"/>
          <w:szCs w:val="28"/>
        </w:rPr>
        <w:t>.</w:t>
      </w:r>
    </w:p>
    <w:p w:rsidR="00AF149D" w:rsidRPr="00B32392" w:rsidRDefault="00AF149D" w:rsidP="00D747E3">
      <w:pPr>
        <w:shd w:val="clear" w:color="auto" w:fill="FFFFFF"/>
        <w:spacing w:after="0" w:line="240" w:lineRule="auto"/>
        <w:ind w:firstLine="709"/>
        <w:jc w:val="both"/>
        <w:rPr>
          <w:rFonts w:ascii="Times New Roman" w:eastAsia="Times New Roman" w:hAnsi="Times New Roman" w:cs="Times New Roman"/>
          <w:sz w:val="28"/>
          <w:szCs w:val="28"/>
        </w:rPr>
      </w:pPr>
    </w:p>
    <w:p w:rsidR="00AF149D" w:rsidRPr="00B32392" w:rsidRDefault="00716C69" w:rsidP="00AB1AF8">
      <w:pPr>
        <w:shd w:val="clear" w:color="auto" w:fill="FFFFFF"/>
        <w:spacing w:after="0" w:line="240" w:lineRule="auto"/>
        <w:jc w:val="center"/>
        <w:rPr>
          <w:rFonts w:ascii="Times New Roman" w:eastAsia="Times New Roman" w:hAnsi="Times New Roman" w:cs="Times New Roman"/>
          <w:b/>
          <w:sz w:val="28"/>
          <w:szCs w:val="28"/>
        </w:rPr>
      </w:pPr>
      <w:r w:rsidRPr="00B32392">
        <w:rPr>
          <w:rFonts w:ascii="Times New Roman" w:eastAsia="Times New Roman" w:hAnsi="Times New Roman" w:cs="Times New Roman"/>
          <w:b/>
          <w:sz w:val="28"/>
          <w:szCs w:val="28"/>
        </w:rPr>
        <w:t xml:space="preserve">VI. Оцінка виконання вимог регуляторного </w:t>
      </w:r>
      <w:proofErr w:type="spellStart"/>
      <w:r w:rsidRPr="00B32392">
        <w:rPr>
          <w:rFonts w:ascii="Times New Roman" w:eastAsia="Times New Roman" w:hAnsi="Times New Roman" w:cs="Times New Roman"/>
          <w:b/>
          <w:sz w:val="28"/>
          <w:szCs w:val="28"/>
        </w:rPr>
        <w:t>акта</w:t>
      </w:r>
      <w:proofErr w:type="spellEnd"/>
      <w:r w:rsidRPr="00B32392">
        <w:rPr>
          <w:rFonts w:ascii="Times New Roman" w:eastAsia="Times New Roman" w:hAnsi="Times New Roman" w:cs="Times New Roman"/>
          <w:b/>
          <w:sz w:val="28"/>
          <w:szCs w:val="28"/>
        </w:rPr>
        <w:t xml:space="preserve"> залежно від ресурсів, якими розпоряджаються органи виконавчої влади чи органи місцевого самоврядування, фізичні та юридичні особи, які повинні проваджувати або виконувати ці вимоги</w:t>
      </w:r>
    </w:p>
    <w:p w:rsidR="00982CB6" w:rsidRPr="00982CB6" w:rsidRDefault="00982CB6" w:rsidP="00982CB6">
      <w:pPr>
        <w:shd w:val="clear" w:color="auto" w:fill="FFFFFF"/>
        <w:spacing w:after="0" w:line="240" w:lineRule="auto"/>
        <w:ind w:firstLine="709"/>
        <w:jc w:val="both"/>
        <w:rPr>
          <w:rFonts w:ascii="Times New Roman" w:eastAsia="Times New Roman" w:hAnsi="Times New Roman" w:cs="Times New Roman"/>
          <w:sz w:val="28"/>
          <w:szCs w:val="28"/>
        </w:rPr>
      </w:pPr>
      <w:r w:rsidRPr="00982CB6">
        <w:rPr>
          <w:rFonts w:ascii="Times New Roman" w:eastAsia="Times New Roman" w:hAnsi="Times New Roman" w:cs="Times New Roman"/>
          <w:sz w:val="28"/>
          <w:szCs w:val="28"/>
        </w:rPr>
        <w:t>Запропонований регуляторний акт має переважно техніко-юридичний характер та спрямований на унормування термінології, інституційних обов’язків і підходів до реалізації принципів відкритої науки в межах вже існуючих функцій і повноважень органів державної влади, закладів освіти та наукових установ.</w:t>
      </w:r>
    </w:p>
    <w:p w:rsidR="00982CB6" w:rsidRPr="00982CB6" w:rsidRDefault="00982CB6" w:rsidP="00982CB6">
      <w:pPr>
        <w:shd w:val="clear" w:color="auto" w:fill="FFFFFF"/>
        <w:spacing w:after="0" w:line="240" w:lineRule="auto"/>
        <w:ind w:firstLine="709"/>
        <w:jc w:val="both"/>
        <w:rPr>
          <w:rFonts w:ascii="Times New Roman" w:eastAsia="Times New Roman" w:hAnsi="Times New Roman" w:cs="Times New Roman"/>
          <w:sz w:val="28"/>
          <w:szCs w:val="28"/>
        </w:rPr>
      </w:pPr>
      <w:r w:rsidRPr="00982CB6">
        <w:rPr>
          <w:rFonts w:ascii="Times New Roman" w:eastAsia="Times New Roman" w:hAnsi="Times New Roman" w:cs="Times New Roman"/>
          <w:sz w:val="28"/>
          <w:szCs w:val="28"/>
        </w:rPr>
        <w:t>У зв’язку з цим:</w:t>
      </w:r>
    </w:p>
    <w:p w:rsidR="00982CB6" w:rsidRPr="00982CB6" w:rsidRDefault="00982CB6" w:rsidP="00982CB6">
      <w:pPr>
        <w:shd w:val="clear" w:color="auto" w:fill="FFFFFF"/>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w:t>
      </w:r>
      <w:r w:rsidRPr="00982CB6">
        <w:rPr>
          <w:rFonts w:ascii="Times New Roman" w:eastAsia="Times New Roman" w:hAnsi="Times New Roman" w:cs="Times New Roman"/>
          <w:sz w:val="28"/>
          <w:szCs w:val="28"/>
        </w:rPr>
        <w:t xml:space="preserve">витрати на виконання вимог регуляторного </w:t>
      </w:r>
      <w:proofErr w:type="spellStart"/>
      <w:r w:rsidRPr="00982CB6">
        <w:rPr>
          <w:rFonts w:ascii="Times New Roman" w:eastAsia="Times New Roman" w:hAnsi="Times New Roman" w:cs="Times New Roman"/>
          <w:sz w:val="28"/>
          <w:szCs w:val="28"/>
        </w:rPr>
        <w:t>акта</w:t>
      </w:r>
      <w:proofErr w:type="spellEnd"/>
      <w:r w:rsidRPr="00982CB6">
        <w:rPr>
          <w:rFonts w:ascii="Times New Roman" w:eastAsia="Times New Roman" w:hAnsi="Times New Roman" w:cs="Times New Roman"/>
          <w:sz w:val="28"/>
          <w:szCs w:val="28"/>
        </w:rPr>
        <w:t xml:space="preserve"> для органів виконавчої влади не передбачаються; реалізація положень здійснюється в межах наявного кадрового, організаційного та інформаційного ресурсу;</w:t>
      </w:r>
    </w:p>
    <w:p w:rsidR="00982CB6" w:rsidRPr="00982CB6" w:rsidRDefault="00982CB6" w:rsidP="00982CB6">
      <w:pPr>
        <w:shd w:val="clear" w:color="auto" w:fill="FFFFFF"/>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w:t>
      </w:r>
      <w:r w:rsidRPr="00982CB6">
        <w:rPr>
          <w:rFonts w:ascii="Times New Roman" w:eastAsia="Times New Roman" w:hAnsi="Times New Roman" w:cs="Times New Roman"/>
          <w:sz w:val="28"/>
          <w:szCs w:val="28"/>
        </w:rPr>
        <w:t>регуляторний акт не покладає додаткових фінансових чи адміністративних обов’язків на органи місцевого самоврядування;</w:t>
      </w:r>
    </w:p>
    <w:p w:rsidR="00982CB6" w:rsidRPr="00982CB6" w:rsidRDefault="00982CB6" w:rsidP="00982CB6">
      <w:pPr>
        <w:shd w:val="clear" w:color="auto" w:fill="FFFFFF"/>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w:t>
      </w:r>
      <w:r w:rsidRPr="00982CB6">
        <w:rPr>
          <w:rFonts w:ascii="Times New Roman" w:eastAsia="Times New Roman" w:hAnsi="Times New Roman" w:cs="Times New Roman"/>
          <w:sz w:val="28"/>
          <w:szCs w:val="28"/>
        </w:rPr>
        <w:t>регулювання не передбачає спеціальних вимог до суб’єктів господарювання, однак поширюється на ті організації, які залучені до виконання наукових досліджень за кошти державного або місцевого бюджету;</w:t>
      </w:r>
    </w:p>
    <w:p w:rsidR="00982CB6" w:rsidRPr="00982CB6" w:rsidRDefault="00982CB6" w:rsidP="00982CB6">
      <w:pPr>
        <w:shd w:val="clear" w:color="auto" w:fill="FFFFFF"/>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w:t>
      </w:r>
      <w:r w:rsidRPr="00982CB6">
        <w:rPr>
          <w:rFonts w:ascii="Times New Roman" w:eastAsia="Times New Roman" w:hAnsi="Times New Roman" w:cs="Times New Roman"/>
          <w:sz w:val="28"/>
          <w:szCs w:val="28"/>
        </w:rPr>
        <w:t>нові зобов’язання не виникають для фізичних осіб, а участь потенційних користувачів наукової інформації (громадян, підприємств, установ) у практиках відкритої науки є добровільною.</w:t>
      </w:r>
    </w:p>
    <w:p w:rsidR="00982CB6" w:rsidRDefault="00982CB6" w:rsidP="00982CB6">
      <w:pPr>
        <w:shd w:val="clear" w:color="auto" w:fill="FFFFFF"/>
        <w:spacing w:after="0" w:line="240" w:lineRule="auto"/>
        <w:ind w:firstLine="709"/>
        <w:jc w:val="both"/>
        <w:rPr>
          <w:rFonts w:ascii="Times New Roman" w:eastAsia="Times New Roman" w:hAnsi="Times New Roman" w:cs="Times New Roman"/>
          <w:sz w:val="28"/>
          <w:szCs w:val="28"/>
        </w:rPr>
      </w:pPr>
      <w:r w:rsidRPr="00982CB6">
        <w:rPr>
          <w:rFonts w:ascii="Times New Roman" w:eastAsia="Times New Roman" w:hAnsi="Times New Roman" w:cs="Times New Roman"/>
          <w:sz w:val="28"/>
          <w:szCs w:val="28"/>
        </w:rPr>
        <w:t xml:space="preserve">Ураховуючи, що питома вага суб’єктів малого підприємництва серед виконавців </w:t>
      </w:r>
      <w:r>
        <w:rPr>
          <w:rFonts w:ascii="Times New Roman" w:eastAsia="Times New Roman" w:hAnsi="Times New Roman" w:cs="Times New Roman"/>
          <w:sz w:val="28"/>
          <w:szCs w:val="28"/>
        </w:rPr>
        <w:t>наукових досліджень</w:t>
      </w:r>
      <w:r w:rsidRPr="00982CB6">
        <w:rPr>
          <w:rFonts w:ascii="Times New Roman" w:eastAsia="Times New Roman" w:hAnsi="Times New Roman" w:cs="Times New Roman"/>
          <w:sz w:val="28"/>
          <w:szCs w:val="28"/>
        </w:rPr>
        <w:t xml:space="preserve">, на яких поширюється дія </w:t>
      </w:r>
      <w:proofErr w:type="spellStart"/>
      <w:r w:rsidRPr="00982CB6">
        <w:rPr>
          <w:rFonts w:ascii="Times New Roman" w:eastAsia="Times New Roman" w:hAnsi="Times New Roman" w:cs="Times New Roman"/>
          <w:sz w:val="28"/>
          <w:szCs w:val="28"/>
        </w:rPr>
        <w:t>акта</w:t>
      </w:r>
      <w:proofErr w:type="spellEnd"/>
      <w:r w:rsidRPr="00982CB6">
        <w:rPr>
          <w:rFonts w:ascii="Times New Roman" w:eastAsia="Times New Roman" w:hAnsi="Times New Roman" w:cs="Times New Roman"/>
          <w:sz w:val="28"/>
          <w:szCs w:val="28"/>
        </w:rPr>
        <w:t xml:space="preserve">, є незначною, а положення </w:t>
      </w:r>
      <w:proofErr w:type="spellStart"/>
      <w:r w:rsidRPr="00982CB6">
        <w:rPr>
          <w:rFonts w:ascii="Times New Roman" w:eastAsia="Times New Roman" w:hAnsi="Times New Roman" w:cs="Times New Roman"/>
          <w:sz w:val="28"/>
          <w:szCs w:val="28"/>
        </w:rPr>
        <w:t>акта</w:t>
      </w:r>
      <w:proofErr w:type="spellEnd"/>
      <w:r w:rsidRPr="00982CB6">
        <w:rPr>
          <w:rFonts w:ascii="Times New Roman" w:eastAsia="Times New Roman" w:hAnsi="Times New Roman" w:cs="Times New Roman"/>
          <w:sz w:val="28"/>
          <w:szCs w:val="28"/>
        </w:rPr>
        <w:t xml:space="preserve"> не створюють для них додаткових обтяжень, розрахунок витрат </w:t>
      </w:r>
      <w:r w:rsidRPr="00982CB6">
        <w:rPr>
          <w:rFonts w:ascii="Times New Roman" w:eastAsia="Times New Roman" w:hAnsi="Times New Roman" w:cs="Times New Roman"/>
          <w:sz w:val="28"/>
          <w:szCs w:val="28"/>
        </w:rPr>
        <w:lastRenderedPageBreak/>
        <w:t xml:space="preserve">для суб’єктів малого підприємництва </w:t>
      </w:r>
      <w:r w:rsidRPr="00127438">
        <w:rPr>
          <w:rFonts w:ascii="Times New Roman" w:eastAsia="Times New Roman" w:hAnsi="Times New Roman" w:cs="Times New Roman"/>
          <w:sz w:val="28"/>
          <w:szCs w:val="28"/>
        </w:rPr>
        <w:t xml:space="preserve">згідно з додатком 4 до Методики проведення аналізу впливу регуляторного </w:t>
      </w:r>
      <w:proofErr w:type="spellStart"/>
      <w:r w:rsidRPr="00127438">
        <w:rPr>
          <w:rFonts w:ascii="Times New Roman" w:eastAsia="Times New Roman" w:hAnsi="Times New Roman" w:cs="Times New Roman"/>
          <w:sz w:val="28"/>
          <w:szCs w:val="28"/>
        </w:rPr>
        <w:t>акт</w:t>
      </w:r>
      <w:r>
        <w:rPr>
          <w:rFonts w:ascii="Times New Roman" w:eastAsia="Times New Roman" w:hAnsi="Times New Roman" w:cs="Times New Roman"/>
          <w:sz w:val="28"/>
          <w:szCs w:val="28"/>
        </w:rPr>
        <w:t>а</w:t>
      </w:r>
      <w:proofErr w:type="spellEnd"/>
      <w:r>
        <w:rPr>
          <w:rFonts w:ascii="Times New Roman" w:eastAsia="Times New Roman" w:hAnsi="Times New Roman" w:cs="Times New Roman"/>
          <w:sz w:val="28"/>
          <w:szCs w:val="28"/>
        </w:rPr>
        <w:t xml:space="preserve"> </w:t>
      </w:r>
      <w:r w:rsidRPr="00982CB6">
        <w:rPr>
          <w:rFonts w:ascii="Times New Roman" w:eastAsia="Times New Roman" w:hAnsi="Times New Roman" w:cs="Times New Roman"/>
          <w:sz w:val="28"/>
          <w:szCs w:val="28"/>
        </w:rPr>
        <w:t>не здійснюється.</w:t>
      </w:r>
    </w:p>
    <w:p w:rsidR="00124845" w:rsidRPr="005E75EB" w:rsidRDefault="00124845" w:rsidP="00D747E3">
      <w:pPr>
        <w:shd w:val="clear" w:color="auto" w:fill="FFFFFF"/>
        <w:spacing w:after="0" w:line="240" w:lineRule="auto"/>
        <w:ind w:firstLine="709"/>
        <w:jc w:val="both"/>
        <w:rPr>
          <w:rFonts w:ascii="Times New Roman" w:eastAsia="Times New Roman" w:hAnsi="Times New Roman" w:cs="Times New Roman"/>
          <w:sz w:val="28"/>
          <w:szCs w:val="28"/>
        </w:rPr>
      </w:pPr>
    </w:p>
    <w:p w:rsidR="00AF149D" w:rsidRPr="00B32392" w:rsidRDefault="00716C69" w:rsidP="00D747E3">
      <w:pPr>
        <w:shd w:val="clear" w:color="auto" w:fill="FFFFFF"/>
        <w:spacing w:after="0" w:line="240" w:lineRule="auto"/>
        <w:ind w:firstLine="709"/>
        <w:jc w:val="center"/>
        <w:rPr>
          <w:rFonts w:ascii="Times New Roman" w:eastAsia="Times New Roman" w:hAnsi="Times New Roman" w:cs="Times New Roman"/>
          <w:b/>
          <w:sz w:val="28"/>
          <w:szCs w:val="28"/>
        </w:rPr>
      </w:pPr>
      <w:r w:rsidRPr="00B32392">
        <w:rPr>
          <w:rFonts w:ascii="Times New Roman" w:eastAsia="Times New Roman" w:hAnsi="Times New Roman" w:cs="Times New Roman"/>
          <w:b/>
          <w:sz w:val="28"/>
          <w:szCs w:val="28"/>
        </w:rPr>
        <w:t xml:space="preserve">VII. Обґрунтування запропонованого строку дії регуляторного </w:t>
      </w:r>
      <w:proofErr w:type="spellStart"/>
      <w:r w:rsidRPr="00B32392">
        <w:rPr>
          <w:rFonts w:ascii="Times New Roman" w:eastAsia="Times New Roman" w:hAnsi="Times New Roman" w:cs="Times New Roman"/>
          <w:b/>
          <w:sz w:val="28"/>
          <w:szCs w:val="28"/>
        </w:rPr>
        <w:t>акта</w:t>
      </w:r>
      <w:proofErr w:type="spellEnd"/>
    </w:p>
    <w:p w:rsidR="00AB1AF8" w:rsidRPr="00B32392" w:rsidRDefault="00AB1AF8" w:rsidP="00D747E3">
      <w:pPr>
        <w:shd w:val="clear" w:color="auto" w:fill="FFFFFF"/>
        <w:spacing w:after="0" w:line="240" w:lineRule="auto"/>
        <w:ind w:firstLine="709"/>
        <w:jc w:val="center"/>
        <w:rPr>
          <w:rFonts w:ascii="Times New Roman" w:eastAsia="Times New Roman" w:hAnsi="Times New Roman" w:cs="Times New Roman"/>
          <w:sz w:val="28"/>
          <w:szCs w:val="28"/>
        </w:rPr>
      </w:pPr>
    </w:p>
    <w:p w:rsidR="00982CB6" w:rsidRPr="00982CB6" w:rsidRDefault="00982CB6" w:rsidP="00982CB6">
      <w:pPr>
        <w:shd w:val="clear" w:color="auto" w:fill="FFFFFF"/>
        <w:spacing w:after="0" w:line="240" w:lineRule="auto"/>
        <w:ind w:firstLine="709"/>
        <w:jc w:val="both"/>
        <w:rPr>
          <w:rFonts w:ascii="Times New Roman" w:eastAsia="Times New Roman" w:hAnsi="Times New Roman" w:cs="Times New Roman"/>
          <w:sz w:val="28"/>
          <w:szCs w:val="28"/>
        </w:rPr>
      </w:pPr>
      <w:r w:rsidRPr="00982CB6">
        <w:rPr>
          <w:rFonts w:ascii="Times New Roman" w:eastAsia="Times New Roman" w:hAnsi="Times New Roman" w:cs="Times New Roman"/>
          <w:sz w:val="28"/>
          <w:szCs w:val="28"/>
        </w:rPr>
        <w:t>Регуляторний акт має безстроковий характер, оскільки спрямований на системне закріплення принципів відкритої науки через внесення змін до чинних законів України, зокрема у частині:</w:t>
      </w:r>
    </w:p>
    <w:p w:rsidR="00982CB6" w:rsidRPr="00982CB6" w:rsidRDefault="00252326" w:rsidP="00982CB6">
      <w:pPr>
        <w:shd w:val="clear" w:color="auto" w:fill="FFFFFF"/>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w:t>
      </w:r>
      <w:r w:rsidR="00982CB6" w:rsidRPr="00982CB6">
        <w:rPr>
          <w:rFonts w:ascii="Times New Roman" w:eastAsia="Times New Roman" w:hAnsi="Times New Roman" w:cs="Times New Roman"/>
          <w:sz w:val="28"/>
          <w:szCs w:val="28"/>
        </w:rPr>
        <w:t>визначення термінології, пов’язаної з відкритою наукою та відкритим доступом до результатів наукових досліджень;</w:t>
      </w:r>
    </w:p>
    <w:p w:rsidR="00982CB6" w:rsidRPr="00982CB6" w:rsidRDefault="00252326" w:rsidP="00982CB6">
      <w:pPr>
        <w:shd w:val="clear" w:color="auto" w:fill="FFFFFF"/>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w:t>
      </w:r>
      <w:r w:rsidR="00982CB6" w:rsidRPr="00982CB6">
        <w:rPr>
          <w:rFonts w:ascii="Times New Roman" w:eastAsia="Times New Roman" w:hAnsi="Times New Roman" w:cs="Times New Roman"/>
          <w:sz w:val="28"/>
          <w:szCs w:val="28"/>
        </w:rPr>
        <w:t>встановлення загальних вимог до публічного доступу до результатів досліджень, що фінансуються за рахунок державного або місцевих бюджетів;</w:t>
      </w:r>
    </w:p>
    <w:p w:rsidR="00982CB6" w:rsidRPr="00982CB6" w:rsidRDefault="00252326" w:rsidP="00982CB6">
      <w:pPr>
        <w:shd w:val="clear" w:color="auto" w:fill="FFFFFF"/>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w:t>
      </w:r>
      <w:r w:rsidR="00982CB6" w:rsidRPr="00982CB6">
        <w:rPr>
          <w:rFonts w:ascii="Times New Roman" w:eastAsia="Times New Roman" w:hAnsi="Times New Roman" w:cs="Times New Roman"/>
          <w:sz w:val="28"/>
          <w:szCs w:val="28"/>
        </w:rPr>
        <w:t>закріплення інституційної відповідальності за реалізацію політик відкритої науки.</w:t>
      </w:r>
    </w:p>
    <w:p w:rsidR="00982CB6" w:rsidRPr="00982CB6" w:rsidRDefault="00982CB6" w:rsidP="00982CB6">
      <w:pPr>
        <w:shd w:val="clear" w:color="auto" w:fill="FFFFFF"/>
        <w:spacing w:after="0" w:line="240" w:lineRule="auto"/>
        <w:ind w:firstLine="709"/>
        <w:jc w:val="both"/>
        <w:rPr>
          <w:rFonts w:ascii="Times New Roman" w:eastAsia="Times New Roman" w:hAnsi="Times New Roman" w:cs="Times New Roman"/>
          <w:sz w:val="28"/>
          <w:szCs w:val="28"/>
        </w:rPr>
      </w:pPr>
      <w:r w:rsidRPr="00982CB6">
        <w:rPr>
          <w:rFonts w:ascii="Times New Roman" w:eastAsia="Times New Roman" w:hAnsi="Times New Roman" w:cs="Times New Roman"/>
          <w:sz w:val="28"/>
          <w:szCs w:val="28"/>
        </w:rPr>
        <w:t>Зазначені зміни мають тривалий системний ефект, є частиною зобов’язань України в межах міжнародної інтеграції до Європейського дослідницького простору (ERA), відповідають довгостроковим державним пріоритетам та не потребують обмеження строку дії.</w:t>
      </w:r>
    </w:p>
    <w:p w:rsidR="00982CB6" w:rsidRDefault="00982CB6" w:rsidP="00982CB6">
      <w:pPr>
        <w:shd w:val="clear" w:color="auto" w:fill="FFFFFF"/>
        <w:spacing w:after="0" w:line="240" w:lineRule="auto"/>
        <w:ind w:firstLine="709"/>
        <w:jc w:val="both"/>
        <w:rPr>
          <w:rFonts w:ascii="Times New Roman" w:eastAsia="Times New Roman" w:hAnsi="Times New Roman" w:cs="Times New Roman"/>
          <w:sz w:val="28"/>
          <w:szCs w:val="28"/>
        </w:rPr>
      </w:pPr>
      <w:r w:rsidRPr="00982CB6">
        <w:rPr>
          <w:rFonts w:ascii="Times New Roman" w:eastAsia="Times New Roman" w:hAnsi="Times New Roman" w:cs="Times New Roman"/>
          <w:sz w:val="28"/>
          <w:szCs w:val="28"/>
        </w:rPr>
        <w:t xml:space="preserve">У разі змін у базовому законодавстві або виникнення нових нормативних викликів, положення можуть бути актуалізовані у звичайному законодавчому порядку. Встановлення строку дії </w:t>
      </w:r>
      <w:proofErr w:type="spellStart"/>
      <w:r w:rsidRPr="00982CB6">
        <w:rPr>
          <w:rFonts w:ascii="Times New Roman" w:eastAsia="Times New Roman" w:hAnsi="Times New Roman" w:cs="Times New Roman"/>
          <w:sz w:val="28"/>
          <w:szCs w:val="28"/>
        </w:rPr>
        <w:t>акта</w:t>
      </w:r>
      <w:proofErr w:type="spellEnd"/>
      <w:r w:rsidRPr="00982CB6">
        <w:rPr>
          <w:rFonts w:ascii="Times New Roman" w:eastAsia="Times New Roman" w:hAnsi="Times New Roman" w:cs="Times New Roman"/>
          <w:sz w:val="28"/>
          <w:szCs w:val="28"/>
        </w:rPr>
        <w:t xml:space="preserve"> не є </w:t>
      </w:r>
      <w:r w:rsidR="00252326">
        <w:rPr>
          <w:rFonts w:ascii="Times New Roman" w:eastAsia="Times New Roman" w:hAnsi="Times New Roman" w:cs="Times New Roman"/>
          <w:sz w:val="28"/>
          <w:szCs w:val="28"/>
        </w:rPr>
        <w:t>необхідним</w:t>
      </w:r>
      <w:r w:rsidRPr="00982CB6">
        <w:rPr>
          <w:rFonts w:ascii="Times New Roman" w:eastAsia="Times New Roman" w:hAnsi="Times New Roman" w:cs="Times New Roman"/>
          <w:sz w:val="28"/>
          <w:szCs w:val="28"/>
        </w:rPr>
        <w:t>.</w:t>
      </w:r>
    </w:p>
    <w:p w:rsidR="00B47B0E" w:rsidRPr="00B32392" w:rsidRDefault="00B47B0E" w:rsidP="00D747E3">
      <w:pPr>
        <w:shd w:val="clear" w:color="auto" w:fill="FFFFFF"/>
        <w:spacing w:after="0" w:line="240" w:lineRule="auto"/>
        <w:ind w:firstLine="709"/>
        <w:jc w:val="center"/>
        <w:rPr>
          <w:rFonts w:ascii="Times New Roman" w:eastAsia="Times New Roman" w:hAnsi="Times New Roman" w:cs="Times New Roman"/>
          <w:sz w:val="28"/>
          <w:szCs w:val="28"/>
        </w:rPr>
      </w:pPr>
    </w:p>
    <w:p w:rsidR="00AF149D" w:rsidRPr="00B32392" w:rsidRDefault="00716C69" w:rsidP="00D747E3">
      <w:pPr>
        <w:shd w:val="clear" w:color="auto" w:fill="FFFFFF"/>
        <w:spacing w:after="0" w:line="240" w:lineRule="auto"/>
        <w:ind w:firstLine="709"/>
        <w:jc w:val="center"/>
        <w:rPr>
          <w:rFonts w:ascii="Times New Roman" w:eastAsia="Times New Roman" w:hAnsi="Times New Roman" w:cs="Times New Roman"/>
          <w:b/>
          <w:sz w:val="28"/>
          <w:szCs w:val="28"/>
        </w:rPr>
      </w:pPr>
      <w:r w:rsidRPr="00B32392">
        <w:rPr>
          <w:rFonts w:ascii="Times New Roman" w:eastAsia="Times New Roman" w:hAnsi="Times New Roman" w:cs="Times New Roman"/>
          <w:b/>
          <w:sz w:val="28"/>
          <w:szCs w:val="28"/>
        </w:rPr>
        <w:t xml:space="preserve">VIII. Визначення показників результативності дії регуляторного </w:t>
      </w:r>
      <w:proofErr w:type="spellStart"/>
      <w:r w:rsidRPr="00B32392">
        <w:rPr>
          <w:rFonts w:ascii="Times New Roman" w:eastAsia="Times New Roman" w:hAnsi="Times New Roman" w:cs="Times New Roman"/>
          <w:b/>
          <w:sz w:val="28"/>
          <w:szCs w:val="28"/>
        </w:rPr>
        <w:t>акта</w:t>
      </w:r>
      <w:proofErr w:type="spellEnd"/>
    </w:p>
    <w:p w:rsidR="00AB1AF8" w:rsidRPr="00B32392" w:rsidRDefault="00AB1AF8" w:rsidP="00D747E3">
      <w:pPr>
        <w:shd w:val="clear" w:color="auto" w:fill="FFFFFF"/>
        <w:spacing w:after="0" w:line="240" w:lineRule="auto"/>
        <w:ind w:firstLine="709"/>
        <w:jc w:val="center"/>
        <w:rPr>
          <w:rFonts w:ascii="Times New Roman" w:eastAsia="Times New Roman" w:hAnsi="Times New Roman" w:cs="Times New Roman"/>
          <w:sz w:val="28"/>
          <w:szCs w:val="28"/>
        </w:rPr>
      </w:pPr>
    </w:p>
    <w:p w:rsidR="00AF149D" w:rsidRPr="00B32392" w:rsidRDefault="00716C69" w:rsidP="00D747E3">
      <w:pPr>
        <w:shd w:val="clear" w:color="auto" w:fill="FFFFFF"/>
        <w:spacing w:after="0" w:line="240" w:lineRule="auto"/>
        <w:ind w:firstLine="709"/>
        <w:jc w:val="both"/>
        <w:rPr>
          <w:rFonts w:ascii="Times New Roman" w:eastAsia="Times New Roman" w:hAnsi="Times New Roman" w:cs="Times New Roman"/>
          <w:sz w:val="28"/>
          <w:szCs w:val="28"/>
        </w:rPr>
      </w:pPr>
      <w:r w:rsidRPr="00B32392">
        <w:rPr>
          <w:rFonts w:ascii="Times New Roman" w:eastAsia="Times New Roman" w:hAnsi="Times New Roman" w:cs="Times New Roman"/>
          <w:sz w:val="28"/>
          <w:szCs w:val="28"/>
        </w:rPr>
        <w:t xml:space="preserve">Прогнозованими кількісними показниками результативності дії регуляторного </w:t>
      </w:r>
      <w:proofErr w:type="spellStart"/>
      <w:r w:rsidRPr="00B32392">
        <w:rPr>
          <w:rFonts w:ascii="Times New Roman" w:eastAsia="Times New Roman" w:hAnsi="Times New Roman" w:cs="Times New Roman"/>
          <w:sz w:val="28"/>
          <w:szCs w:val="28"/>
        </w:rPr>
        <w:t>акта</w:t>
      </w:r>
      <w:proofErr w:type="spellEnd"/>
      <w:r w:rsidRPr="00B32392">
        <w:rPr>
          <w:rFonts w:ascii="Times New Roman" w:eastAsia="Times New Roman" w:hAnsi="Times New Roman" w:cs="Times New Roman"/>
          <w:sz w:val="28"/>
          <w:szCs w:val="28"/>
        </w:rPr>
        <w:t xml:space="preserve"> є:</w:t>
      </w:r>
    </w:p>
    <w:p w:rsidR="007D2B04" w:rsidRPr="007D2B04" w:rsidRDefault="007D2B04" w:rsidP="007D2B04">
      <w:pPr>
        <w:shd w:val="clear" w:color="auto" w:fill="FFFFFF"/>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w:t>
      </w:r>
      <w:r w:rsidRPr="007D2B04">
        <w:rPr>
          <w:rFonts w:ascii="Times New Roman" w:eastAsia="Times New Roman" w:hAnsi="Times New Roman" w:cs="Times New Roman"/>
          <w:sz w:val="28"/>
          <w:szCs w:val="28"/>
        </w:rPr>
        <w:t xml:space="preserve">розмір надходжень до державного та місцевих бюджетів і державних цільових фондів, пов’язаних з дією </w:t>
      </w:r>
      <w:proofErr w:type="spellStart"/>
      <w:r w:rsidRPr="007D2B04">
        <w:rPr>
          <w:rFonts w:ascii="Times New Roman" w:eastAsia="Times New Roman" w:hAnsi="Times New Roman" w:cs="Times New Roman"/>
          <w:sz w:val="28"/>
          <w:szCs w:val="28"/>
        </w:rPr>
        <w:t>акта</w:t>
      </w:r>
      <w:proofErr w:type="spellEnd"/>
      <w:r w:rsidRPr="007D2B04">
        <w:rPr>
          <w:rFonts w:ascii="Times New Roman" w:eastAsia="Times New Roman" w:hAnsi="Times New Roman" w:cs="Times New Roman"/>
          <w:sz w:val="28"/>
          <w:szCs w:val="28"/>
        </w:rPr>
        <w:t xml:space="preserve"> – не прогнозується,;</w:t>
      </w:r>
    </w:p>
    <w:p w:rsidR="007D2B04" w:rsidRPr="007D2B04" w:rsidRDefault="007D2B04" w:rsidP="007D2B04">
      <w:pPr>
        <w:shd w:val="clear" w:color="auto" w:fill="FFFFFF"/>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w:t>
      </w:r>
      <w:r w:rsidRPr="007D2B04">
        <w:rPr>
          <w:rFonts w:ascii="Times New Roman" w:eastAsia="Times New Roman" w:hAnsi="Times New Roman" w:cs="Times New Roman"/>
          <w:sz w:val="28"/>
          <w:szCs w:val="28"/>
        </w:rPr>
        <w:t xml:space="preserve">розмір коштів і час, що витрачатимуться суб’єктами господарювання, пов’язаними з виконанням вимог </w:t>
      </w:r>
      <w:proofErr w:type="spellStart"/>
      <w:r w:rsidRPr="007D2B04">
        <w:rPr>
          <w:rFonts w:ascii="Times New Roman" w:eastAsia="Times New Roman" w:hAnsi="Times New Roman" w:cs="Times New Roman"/>
          <w:sz w:val="28"/>
          <w:szCs w:val="28"/>
        </w:rPr>
        <w:t>акта</w:t>
      </w:r>
      <w:proofErr w:type="spellEnd"/>
      <w:r w:rsidRPr="007D2B04">
        <w:rPr>
          <w:rFonts w:ascii="Times New Roman" w:eastAsia="Times New Roman" w:hAnsi="Times New Roman" w:cs="Times New Roman"/>
          <w:sz w:val="28"/>
          <w:szCs w:val="28"/>
        </w:rPr>
        <w:t xml:space="preserve"> – відсутні обов’язкові витрати, реалізація положень здійснюється в межах існуючих інституційних процесів виконання </w:t>
      </w:r>
      <w:r>
        <w:rPr>
          <w:rFonts w:ascii="Times New Roman" w:eastAsia="Times New Roman" w:hAnsi="Times New Roman" w:cs="Times New Roman"/>
          <w:sz w:val="28"/>
          <w:szCs w:val="28"/>
        </w:rPr>
        <w:t>науково-дослідних робіт</w:t>
      </w:r>
      <w:r w:rsidRPr="007D2B04">
        <w:rPr>
          <w:rFonts w:ascii="Times New Roman" w:eastAsia="Times New Roman" w:hAnsi="Times New Roman" w:cs="Times New Roman"/>
          <w:sz w:val="28"/>
          <w:szCs w:val="28"/>
        </w:rPr>
        <w:t>;</w:t>
      </w:r>
    </w:p>
    <w:p w:rsidR="007D2B04" w:rsidRPr="007D2B04" w:rsidRDefault="007D2B04" w:rsidP="007D2B04">
      <w:pPr>
        <w:shd w:val="clear" w:color="auto" w:fill="FFFFFF"/>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w:t>
      </w:r>
      <w:r w:rsidRPr="007D2B04">
        <w:rPr>
          <w:rFonts w:ascii="Times New Roman" w:eastAsia="Times New Roman" w:hAnsi="Times New Roman" w:cs="Times New Roman"/>
          <w:sz w:val="28"/>
          <w:szCs w:val="28"/>
        </w:rPr>
        <w:t xml:space="preserve">кількість суб’єктів господарювання та/або фізичних осіб, на яких поширюватиметься дія </w:t>
      </w:r>
      <w:proofErr w:type="spellStart"/>
      <w:r w:rsidRPr="007D2B04">
        <w:rPr>
          <w:rFonts w:ascii="Times New Roman" w:eastAsia="Times New Roman" w:hAnsi="Times New Roman" w:cs="Times New Roman"/>
          <w:sz w:val="28"/>
          <w:szCs w:val="28"/>
        </w:rPr>
        <w:t>акта</w:t>
      </w:r>
      <w:proofErr w:type="spellEnd"/>
      <w:r w:rsidRPr="007D2B04">
        <w:rPr>
          <w:rFonts w:ascii="Times New Roman" w:eastAsia="Times New Roman" w:hAnsi="Times New Roman" w:cs="Times New Roman"/>
          <w:sz w:val="28"/>
          <w:szCs w:val="28"/>
        </w:rPr>
        <w:t xml:space="preserve"> – 616 організацій, що виконують наукові дослідження і розробки;</w:t>
      </w:r>
      <w:bookmarkStart w:id="1" w:name="_GoBack"/>
      <w:bookmarkEnd w:id="1"/>
    </w:p>
    <w:p w:rsidR="007D2B04" w:rsidRDefault="007D2B04" w:rsidP="007D2B04">
      <w:pPr>
        <w:shd w:val="clear" w:color="auto" w:fill="FFFFFF"/>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w:t>
      </w:r>
      <w:r w:rsidRPr="007D2B04">
        <w:rPr>
          <w:rFonts w:ascii="Times New Roman" w:eastAsia="Times New Roman" w:hAnsi="Times New Roman" w:cs="Times New Roman"/>
          <w:sz w:val="28"/>
          <w:szCs w:val="28"/>
        </w:rPr>
        <w:t xml:space="preserve">рівень поінформованості суб’єктів господарювання з основних положень </w:t>
      </w:r>
      <w:proofErr w:type="spellStart"/>
      <w:r w:rsidRPr="007D2B04">
        <w:rPr>
          <w:rFonts w:ascii="Times New Roman" w:eastAsia="Times New Roman" w:hAnsi="Times New Roman" w:cs="Times New Roman"/>
          <w:sz w:val="28"/>
          <w:szCs w:val="28"/>
        </w:rPr>
        <w:t>акта</w:t>
      </w:r>
      <w:proofErr w:type="spellEnd"/>
      <w:r w:rsidRPr="007D2B04">
        <w:rPr>
          <w:rFonts w:ascii="Times New Roman" w:eastAsia="Times New Roman" w:hAnsi="Times New Roman" w:cs="Times New Roman"/>
          <w:sz w:val="28"/>
          <w:szCs w:val="28"/>
        </w:rPr>
        <w:t xml:space="preserve"> – </w:t>
      </w:r>
      <w:proofErr w:type="spellStart"/>
      <w:r w:rsidRPr="007D2B04">
        <w:rPr>
          <w:rFonts w:ascii="Times New Roman" w:eastAsia="Times New Roman" w:hAnsi="Times New Roman" w:cs="Times New Roman"/>
          <w:sz w:val="28"/>
          <w:szCs w:val="28"/>
        </w:rPr>
        <w:t>проєкт</w:t>
      </w:r>
      <w:proofErr w:type="spellEnd"/>
      <w:r w:rsidRPr="007D2B04">
        <w:rPr>
          <w:rFonts w:ascii="Times New Roman" w:eastAsia="Times New Roman" w:hAnsi="Times New Roman" w:cs="Times New Roman"/>
          <w:sz w:val="28"/>
          <w:szCs w:val="28"/>
        </w:rPr>
        <w:t xml:space="preserve"> </w:t>
      </w:r>
      <w:proofErr w:type="spellStart"/>
      <w:r w:rsidRPr="007D2B04">
        <w:rPr>
          <w:rFonts w:ascii="Times New Roman" w:eastAsia="Times New Roman" w:hAnsi="Times New Roman" w:cs="Times New Roman"/>
          <w:sz w:val="28"/>
          <w:szCs w:val="28"/>
        </w:rPr>
        <w:t>акта</w:t>
      </w:r>
      <w:proofErr w:type="spellEnd"/>
      <w:r w:rsidRPr="007D2B04">
        <w:rPr>
          <w:rFonts w:ascii="Times New Roman" w:eastAsia="Times New Roman" w:hAnsi="Times New Roman" w:cs="Times New Roman"/>
          <w:sz w:val="28"/>
          <w:szCs w:val="28"/>
        </w:rPr>
        <w:t xml:space="preserve">, аналіз регуляторного впливу та супровідні матеріали оприлюднено на офіційному </w:t>
      </w:r>
      <w:proofErr w:type="spellStart"/>
      <w:r w:rsidRPr="007D2B04">
        <w:rPr>
          <w:rFonts w:ascii="Times New Roman" w:eastAsia="Times New Roman" w:hAnsi="Times New Roman" w:cs="Times New Roman"/>
          <w:sz w:val="28"/>
          <w:szCs w:val="28"/>
        </w:rPr>
        <w:t>вебсайті</w:t>
      </w:r>
      <w:proofErr w:type="spellEnd"/>
      <w:r w:rsidRPr="007D2B04">
        <w:rPr>
          <w:rFonts w:ascii="Times New Roman" w:eastAsia="Times New Roman" w:hAnsi="Times New Roman" w:cs="Times New Roman"/>
          <w:sz w:val="28"/>
          <w:szCs w:val="28"/>
        </w:rPr>
        <w:t xml:space="preserve"> Міністерства освіти і науки України (www.mon.gov.ua); </w:t>
      </w:r>
      <w:proofErr w:type="spellStart"/>
      <w:r>
        <w:rPr>
          <w:rFonts w:ascii="Times New Roman" w:eastAsia="Times New Roman" w:hAnsi="Times New Roman" w:cs="Times New Roman"/>
          <w:sz w:val="28"/>
          <w:szCs w:val="28"/>
        </w:rPr>
        <w:t>проєкт</w:t>
      </w:r>
      <w:proofErr w:type="spellEnd"/>
      <w:r>
        <w:rPr>
          <w:rFonts w:ascii="Times New Roman" w:eastAsia="Times New Roman" w:hAnsi="Times New Roman" w:cs="Times New Roman"/>
          <w:sz w:val="28"/>
          <w:szCs w:val="28"/>
        </w:rPr>
        <w:t xml:space="preserve"> </w:t>
      </w:r>
      <w:proofErr w:type="spellStart"/>
      <w:r w:rsidRPr="007D2B04">
        <w:rPr>
          <w:rFonts w:ascii="Times New Roman" w:eastAsia="Times New Roman" w:hAnsi="Times New Roman" w:cs="Times New Roman"/>
          <w:sz w:val="28"/>
          <w:szCs w:val="28"/>
        </w:rPr>
        <w:t>акт</w:t>
      </w:r>
      <w:r>
        <w:rPr>
          <w:rFonts w:ascii="Times New Roman" w:eastAsia="Times New Roman" w:hAnsi="Times New Roman" w:cs="Times New Roman"/>
          <w:sz w:val="28"/>
          <w:szCs w:val="28"/>
        </w:rPr>
        <w:t>а</w:t>
      </w:r>
      <w:proofErr w:type="spellEnd"/>
      <w:r>
        <w:rPr>
          <w:rFonts w:ascii="Times New Roman" w:eastAsia="Times New Roman" w:hAnsi="Times New Roman" w:cs="Times New Roman"/>
          <w:sz w:val="28"/>
          <w:szCs w:val="28"/>
        </w:rPr>
        <w:t xml:space="preserve"> було</w:t>
      </w:r>
      <w:r w:rsidRPr="007D2B04">
        <w:rPr>
          <w:rFonts w:ascii="Times New Roman" w:eastAsia="Times New Roman" w:hAnsi="Times New Roman" w:cs="Times New Roman"/>
          <w:sz w:val="28"/>
          <w:szCs w:val="28"/>
        </w:rPr>
        <w:t xml:space="preserve"> обговорено з представниками наукової спільноти</w:t>
      </w:r>
      <w:r>
        <w:rPr>
          <w:rFonts w:ascii="Times New Roman" w:eastAsia="Times New Roman" w:hAnsi="Times New Roman" w:cs="Times New Roman"/>
          <w:sz w:val="28"/>
          <w:szCs w:val="28"/>
        </w:rPr>
        <w:t xml:space="preserve"> та іншими заінтересованими сторонами</w:t>
      </w:r>
      <w:r w:rsidRPr="007D2B04">
        <w:rPr>
          <w:rFonts w:ascii="Times New Roman" w:eastAsia="Times New Roman" w:hAnsi="Times New Roman" w:cs="Times New Roman"/>
          <w:sz w:val="28"/>
          <w:szCs w:val="28"/>
        </w:rPr>
        <w:t>;</w:t>
      </w:r>
    </w:p>
    <w:p w:rsidR="00AF149D" w:rsidRPr="007D2B04" w:rsidRDefault="007D2B04" w:rsidP="00D747E3">
      <w:pPr>
        <w:shd w:val="clear" w:color="auto" w:fill="FFFFFF"/>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w:t>
      </w:r>
      <w:r w:rsidRPr="007D2B04">
        <w:rPr>
          <w:rFonts w:ascii="Times New Roman" w:eastAsia="Times New Roman" w:hAnsi="Times New Roman" w:cs="Times New Roman"/>
          <w:sz w:val="28"/>
          <w:szCs w:val="28"/>
        </w:rPr>
        <w:t xml:space="preserve">кількість нових політик відкритої науки, затверджених на рівні закладів вищої освіти та наукових установ </w:t>
      </w:r>
      <w:r>
        <w:rPr>
          <w:rFonts w:ascii="Times New Roman" w:eastAsia="Times New Roman" w:hAnsi="Times New Roman" w:cs="Times New Roman"/>
          <w:sz w:val="28"/>
          <w:szCs w:val="28"/>
        </w:rPr>
        <w:t>–</w:t>
      </w:r>
      <w:r w:rsidRPr="007D2B04">
        <w:rPr>
          <w:rFonts w:ascii="Times New Roman" w:eastAsia="Times New Roman" w:hAnsi="Times New Roman" w:cs="Times New Roman"/>
          <w:sz w:val="28"/>
          <w:szCs w:val="28"/>
        </w:rPr>
        <w:t xml:space="preserve"> прогнозується щонайменше 150 інституційних актів протягом перших 2 років дії закону;</w:t>
      </w:r>
    </w:p>
    <w:p w:rsidR="007D2B04" w:rsidRDefault="007D2B04" w:rsidP="007B6B97">
      <w:pPr>
        <w:shd w:val="clear" w:color="auto" w:fill="FFFFFF"/>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w:t>
      </w:r>
      <w:r w:rsidRPr="007D2B04">
        <w:rPr>
          <w:rFonts w:ascii="Times New Roman" w:eastAsia="Times New Roman" w:hAnsi="Times New Roman" w:cs="Times New Roman"/>
          <w:sz w:val="28"/>
          <w:szCs w:val="28"/>
        </w:rPr>
        <w:t xml:space="preserve">кількість відкрито доступних результатів наукових досліджень, створених за кошти державного бюджету </w:t>
      </w:r>
      <w:r>
        <w:rPr>
          <w:rFonts w:ascii="Times New Roman" w:eastAsia="Times New Roman" w:hAnsi="Times New Roman" w:cs="Times New Roman"/>
          <w:sz w:val="28"/>
          <w:szCs w:val="28"/>
        </w:rPr>
        <w:t>–</w:t>
      </w:r>
      <w:r w:rsidRPr="007D2B04">
        <w:rPr>
          <w:rFonts w:ascii="Times New Roman" w:eastAsia="Times New Roman" w:hAnsi="Times New Roman" w:cs="Times New Roman"/>
          <w:sz w:val="28"/>
          <w:szCs w:val="28"/>
        </w:rPr>
        <w:t xml:space="preserve"> зростання частки відкрито оприлюднених результатів (статей, звітів, даних) у відкритих </w:t>
      </w:r>
      <w:proofErr w:type="spellStart"/>
      <w:r w:rsidRPr="007D2B04">
        <w:rPr>
          <w:rFonts w:ascii="Times New Roman" w:eastAsia="Times New Roman" w:hAnsi="Times New Roman" w:cs="Times New Roman"/>
          <w:sz w:val="28"/>
          <w:szCs w:val="28"/>
        </w:rPr>
        <w:t>репозитаріях</w:t>
      </w:r>
      <w:proofErr w:type="spellEnd"/>
      <w:r w:rsidRPr="007D2B04">
        <w:rPr>
          <w:rFonts w:ascii="Times New Roman" w:eastAsia="Times New Roman" w:hAnsi="Times New Roman" w:cs="Times New Roman"/>
          <w:sz w:val="28"/>
          <w:szCs w:val="28"/>
        </w:rPr>
        <w:t xml:space="preserve"> до 70</w:t>
      </w:r>
      <w:r>
        <w:rPr>
          <w:rFonts w:ascii="Times New Roman" w:eastAsia="Times New Roman" w:hAnsi="Times New Roman" w:cs="Times New Roman"/>
          <w:sz w:val="28"/>
          <w:szCs w:val="28"/>
        </w:rPr>
        <w:t> </w:t>
      </w:r>
      <w:r w:rsidRPr="007D2B04">
        <w:rPr>
          <w:rFonts w:ascii="Times New Roman" w:eastAsia="Times New Roman" w:hAnsi="Times New Roman" w:cs="Times New Roman"/>
          <w:sz w:val="28"/>
          <w:szCs w:val="28"/>
        </w:rPr>
        <w:t>% упродовж 3 років;</w:t>
      </w:r>
    </w:p>
    <w:p w:rsidR="00EE0211" w:rsidRDefault="007D2B04" w:rsidP="00D747E3">
      <w:pPr>
        <w:shd w:val="clear" w:color="auto" w:fill="FFFFFF"/>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w:t>
      </w:r>
      <w:r w:rsidRPr="007D2B04">
        <w:rPr>
          <w:rFonts w:ascii="Times New Roman" w:eastAsia="Times New Roman" w:hAnsi="Times New Roman" w:cs="Times New Roman"/>
          <w:sz w:val="28"/>
          <w:szCs w:val="28"/>
        </w:rPr>
        <w:t xml:space="preserve">обсяг витрат суб’єктів господарювання, пов’язаних з процедурою звітності чи публікації результатів </w:t>
      </w:r>
      <w:r w:rsidR="003C537D">
        <w:rPr>
          <w:rFonts w:ascii="Times New Roman" w:eastAsia="Times New Roman" w:hAnsi="Times New Roman" w:cs="Times New Roman"/>
          <w:sz w:val="28"/>
          <w:szCs w:val="28"/>
        </w:rPr>
        <w:t>–</w:t>
      </w:r>
      <w:r w:rsidRPr="007D2B04">
        <w:rPr>
          <w:rFonts w:ascii="Times New Roman" w:eastAsia="Times New Roman" w:hAnsi="Times New Roman" w:cs="Times New Roman"/>
          <w:sz w:val="28"/>
          <w:szCs w:val="28"/>
        </w:rPr>
        <w:t xml:space="preserve"> відсутній, оскільки використовується наявна цифрова інфраструктура (Національний </w:t>
      </w:r>
      <w:proofErr w:type="spellStart"/>
      <w:r w:rsidRPr="007D2B04">
        <w:rPr>
          <w:rFonts w:ascii="Times New Roman" w:eastAsia="Times New Roman" w:hAnsi="Times New Roman" w:cs="Times New Roman"/>
          <w:sz w:val="28"/>
          <w:szCs w:val="28"/>
        </w:rPr>
        <w:t>репозитарій</w:t>
      </w:r>
      <w:proofErr w:type="spellEnd"/>
      <w:r w:rsidR="003C537D">
        <w:rPr>
          <w:rFonts w:ascii="Times New Roman" w:eastAsia="Times New Roman" w:hAnsi="Times New Roman" w:cs="Times New Roman"/>
          <w:sz w:val="28"/>
          <w:szCs w:val="28"/>
        </w:rPr>
        <w:t xml:space="preserve"> академічних текстів</w:t>
      </w:r>
      <w:r w:rsidRPr="007D2B04">
        <w:rPr>
          <w:rFonts w:ascii="Times New Roman" w:eastAsia="Times New Roman" w:hAnsi="Times New Roman" w:cs="Times New Roman"/>
          <w:sz w:val="28"/>
          <w:szCs w:val="28"/>
        </w:rPr>
        <w:t xml:space="preserve">, інституційні </w:t>
      </w:r>
      <w:proofErr w:type="spellStart"/>
      <w:r w:rsidRPr="007D2B04">
        <w:rPr>
          <w:rFonts w:ascii="Times New Roman" w:eastAsia="Times New Roman" w:hAnsi="Times New Roman" w:cs="Times New Roman"/>
          <w:sz w:val="28"/>
          <w:szCs w:val="28"/>
        </w:rPr>
        <w:t>репозитарії</w:t>
      </w:r>
      <w:proofErr w:type="spellEnd"/>
      <w:r w:rsidRPr="007D2B04">
        <w:rPr>
          <w:rFonts w:ascii="Times New Roman" w:eastAsia="Times New Roman" w:hAnsi="Times New Roman" w:cs="Times New Roman"/>
          <w:sz w:val="28"/>
          <w:szCs w:val="28"/>
        </w:rPr>
        <w:t>, відкриті платформи).</w:t>
      </w:r>
    </w:p>
    <w:p w:rsidR="007D2B04" w:rsidRPr="00B32392" w:rsidRDefault="007D2B04" w:rsidP="00D747E3">
      <w:pPr>
        <w:shd w:val="clear" w:color="auto" w:fill="FFFFFF"/>
        <w:spacing w:after="0" w:line="240" w:lineRule="auto"/>
        <w:ind w:firstLine="709"/>
        <w:jc w:val="both"/>
        <w:rPr>
          <w:rFonts w:ascii="Times New Roman" w:eastAsia="Times New Roman" w:hAnsi="Times New Roman" w:cs="Times New Roman"/>
          <w:sz w:val="28"/>
          <w:szCs w:val="28"/>
        </w:rPr>
      </w:pPr>
    </w:p>
    <w:p w:rsidR="00AF149D" w:rsidRPr="00B32392" w:rsidRDefault="00716C69" w:rsidP="00D747E3">
      <w:pPr>
        <w:shd w:val="clear" w:color="auto" w:fill="FFFFFF"/>
        <w:spacing w:after="0" w:line="240" w:lineRule="auto"/>
        <w:ind w:firstLine="709"/>
        <w:jc w:val="center"/>
        <w:rPr>
          <w:rFonts w:ascii="Times New Roman" w:eastAsia="Times New Roman" w:hAnsi="Times New Roman" w:cs="Times New Roman"/>
          <w:b/>
          <w:sz w:val="28"/>
          <w:szCs w:val="28"/>
        </w:rPr>
      </w:pPr>
      <w:r w:rsidRPr="00B32392">
        <w:rPr>
          <w:rFonts w:ascii="Times New Roman" w:eastAsia="Times New Roman" w:hAnsi="Times New Roman" w:cs="Times New Roman"/>
          <w:b/>
          <w:sz w:val="28"/>
          <w:szCs w:val="28"/>
        </w:rPr>
        <w:t xml:space="preserve">IX. Визначення заходів, за допомогою яких здійснюватиметься відстеження результативності дії регуляторного </w:t>
      </w:r>
      <w:proofErr w:type="spellStart"/>
      <w:r w:rsidRPr="00B32392">
        <w:rPr>
          <w:rFonts w:ascii="Times New Roman" w:eastAsia="Times New Roman" w:hAnsi="Times New Roman" w:cs="Times New Roman"/>
          <w:b/>
          <w:sz w:val="28"/>
          <w:szCs w:val="28"/>
        </w:rPr>
        <w:t>акта</w:t>
      </w:r>
      <w:proofErr w:type="spellEnd"/>
    </w:p>
    <w:p w:rsidR="00AB1AF8" w:rsidRPr="00B32392" w:rsidRDefault="00AB1AF8" w:rsidP="00D747E3">
      <w:pPr>
        <w:shd w:val="clear" w:color="auto" w:fill="FFFFFF"/>
        <w:spacing w:after="0" w:line="240" w:lineRule="auto"/>
        <w:ind w:firstLine="709"/>
        <w:jc w:val="center"/>
        <w:rPr>
          <w:rFonts w:ascii="Times New Roman" w:eastAsia="Times New Roman" w:hAnsi="Times New Roman" w:cs="Times New Roman"/>
          <w:sz w:val="28"/>
          <w:szCs w:val="28"/>
        </w:rPr>
      </w:pPr>
    </w:p>
    <w:p w:rsidR="000F183A" w:rsidRPr="005C510D" w:rsidRDefault="000F183A" w:rsidP="000F183A">
      <w:pPr>
        <w:pStyle w:val="af6"/>
        <w:spacing w:line="276" w:lineRule="auto"/>
        <w:ind w:firstLine="709"/>
        <w:jc w:val="both"/>
        <w:rPr>
          <w:spacing w:val="-4"/>
        </w:rPr>
      </w:pPr>
      <w:r w:rsidRPr="005C510D">
        <w:rPr>
          <w:spacing w:val="-4"/>
        </w:rPr>
        <w:t xml:space="preserve">Відстеження результативності дії регуляторного </w:t>
      </w:r>
      <w:proofErr w:type="spellStart"/>
      <w:r w:rsidRPr="005C510D">
        <w:rPr>
          <w:spacing w:val="-4"/>
        </w:rPr>
        <w:t>акта</w:t>
      </w:r>
      <w:proofErr w:type="spellEnd"/>
      <w:r w:rsidRPr="005C510D">
        <w:rPr>
          <w:spacing w:val="-4"/>
        </w:rPr>
        <w:t xml:space="preserve"> буде проводитися</w:t>
      </w:r>
      <w:r w:rsidR="00766403" w:rsidRPr="005C510D">
        <w:rPr>
          <w:spacing w:val="-4"/>
        </w:rPr>
        <w:t xml:space="preserve"> </w:t>
      </w:r>
      <w:r w:rsidR="005C510D" w:rsidRPr="005C510D">
        <w:rPr>
          <w:spacing w:val="-4"/>
        </w:rPr>
        <w:t>Міністерством освіти і науки України</w:t>
      </w:r>
      <w:r w:rsidRPr="005C510D">
        <w:rPr>
          <w:spacing w:val="-4"/>
        </w:rPr>
        <w:t xml:space="preserve"> за допомогою заходів, спрямованих на оцінку стану впровадження регуляторного </w:t>
      </w:r>
      <w:proofErr w:type="spellStart"/>
      <w:r w:rsidRPr="005C510D">
        <w:rPr>
          <w:spacing w:val="-4"/>
        </w:rPr>
        <w:t>акта</w:t>
      </w:r>
      <w:proofErr w:type="spellEnd"/>
      <w:r w:rsidRPr="005C510D">
        <w:rPr>
          <w:spacing w:val="-4"/>
        </w:rPr>
        <w:t xml:space="preserve">, шляхом аналізу статистичних даних. </w:t>
      </w:r>
    </w:p>
    <w:p w:rsidR="000F183A" w:rsidRDefault="000F183A" w:rsidP="000F183A">
      <w:pPr>
        <w:pStyle w:val="af6"/>
        <w:spacing w:line="276" w:lineRule="auto"/>
        <w:ind w:firstLine="709"/>
        <w:jc w:val="both"/>
      </w:pPr>
      <w:r w:rsidRPr="000F183A">
        <w:t>Базове відстеження результативності буде здійснено у I</w:t>
      </w:r>
      <w:r w:rsidR="005C510D">
        <w:rPr>
          <w:lang w:val="en-US"/>
        </w:rPr>
        <w:t>V</w:t>
      </w:r>
      <w:r w:rsidRPr="000F183A">
        <w:t xml:space="preserve"> ква</w:t>
      </w:r>
      <w:r>
        <w:t xml:space="preserve">рталі після набрання чинності </w:t>
      </w:r>
      <w:r w:rsidRPr="000F183A">
        <w:t>регуляторн</w:t>
      </w:r>
      <w:r>
        <w:t>ого</w:t>
      </w:r>
      <w:r w:rsidRPr="000F183A">
        <w:t xml:space="preserve"> </w:t>
      </w:r>
      <w:proofErr w:type="spellStart"/>
      <w:r w:rsidRPr="000F183A">
        <w:t>акт</w:t>
      </w:r>
      <w:r>
        <w:t>а</w:t>
      </w:r>
      <w:proofErr w:type="spellEnd"/>
      <w:r>
        <w:t>.</w:t>
      </w:r>
    </w:p>
    <w:p w:rsidR="000F183A" w:rsidRDefault="000F183A" w:rsidP="000F183A">
      <w:pPr>
        <w:pStyle w:val="af6"/>
        <w:spacing w:line="276" w:lineRule="auto"/>
        <w:ind w:firstLine="709"/>
        <w:jc w:val="both"/>
      </w:pPr>
      <w:r w:rsidRPr="0053157C">
        <w:t xml:space="preserve">Повторне відстеження планується здійснити </w:t>
      </w:r>
      <w:r w:rsidR="00D5110F">
        <w:t xml:space="preserve">у </w:t>
      </w:r>
      <w:r w:rsidRPr="000F183A">
        <w:t>III кварталі</w:t>
      </w:r>
      <w:r>
        <w:t xml:space="preserve"> наступного року</w:t>
      </w:r>
      <w:r w:rsidRPr="0053157C">
        <w:t xml:space="preserve"> після набрання чинності регуляторного </w:t>
      </w:r>
      <w:proofErr w:type="spellStart"/>
      <w:r w:rsidRPr="0053157C">
        <w:t>акта</w:t>
      </w:r>
      <w:proofErr w:type="spellEnd"/>
      <w:r w:rsidRPr="0053157C">
        <w:t xml:space="preserve">, в результаті якого відбудеться порівняння показників базового та повторного обстеження. </w:t>
      </w:r>
    </w:p>
    <w:p w:rsidR="000F183A" w:rsidRDefault="000F183A" w:rsidP="000F183A">
      <w:pPr>
        <w:pStyle w:val="af6"/>
        <w:spacing w:line="276" w:lineRule="auto"/>
        <w:ind w:firstLine="709"/>
        <w:jc w:val="both"/>
      </w:pPr>
      <w:r w:rsidRPr="0053157C">
        <w:t xml:space="preserve">Періодичне відстеження здійснюватиметься раз на три роки, починаючи з дня виконання заходів з повторного відстеження шляхом порівняння показників із аналогічними показниками, що встановлені під час повторного відстеження. </w:t>
      </w:r>
    </w:p>
    <w:p w:rsidR="000F183A" w:rsidRDefault="000F183A" w:rsidP="000F183A">
      <w:pPr>
        <w:pStyle w:val="af6"/>
        <w:spacing w:line="276" w:lineRule="auto"/>
        <w:ind w:firstLine="709"/>
        <w:jc w:val="both"/>
      </w:pPr>
      <w:r w:rsidRPr="0053157C">
        <w:t xml:space="preserve">Метод проведення відстеження результативності </w:t>
      </w:r>
      <w:r w:rsidR="00DA649D">
        <w:t>–</w:t>
      </w:r>
      <w:r w:rsidRPr="0053157C">
        <w:t xml:space="preserve"> статистичний</w:t>
      </w:r>
      <w:r w:rsidR="00DA649D">
        <w:t>.</w:t>
      </w:r>
    </w:p>
    <w:p w:rsidR="00DA649D" w:rsidRPr="00F041FA" w:rsidRDefault="00DA649D" w:rsidP="000F183A">
      <w:pPr>
        <w:pStyle w:val="af6"/>
        <w:spacing w:line="276" w:lineRule="auto"/>
        <w:ind w:firstLine="709"/>
        <w:jc w:val="both"/>
      </w:pPr>
    </w:p>
    <w:p w:rsidR="00EE0211" w:rsidRPr="00B32392" w:rsidRDefault="00EE0211" w:rsidP="00D747E3">
      <w:pPr>
        <w:spacing w:after="0" w:line="240" w:lineRule="auto"/>
        <w:ind w:firstLine="709"/>
        <w:rPr>
          <w:rFonts w:ascii="Times New Roman" w:eastAsia="Times New Roman" w:hAnsi="Times New Roman" w:cs="Times New Roman"/>
          <w:sz w:val="28"/>
          <w:szCs w:val="28"/>
        </w:rPr>
      </w:pPr>
    </w:p>
    <w:p w:rsidR="00252326" w:rsidRDefault="00C60A7D" w:rsidP="00125DF2">
      <w:pPr>
        <w:tabs>
          <w:tab w:val="left" w:pos="7371"/>
        </w:tabs>
        <w:spacing w:after="0" w:line="240" w:lineRule="auto"/>
        <w:rPr>
          <w:rFonts w:ascii="Times New Roman" w:eastAsia="Times New Roman" w:hAnsi="Times New Roman" w:cs="Times New Roman"/>
          <w:b/>
          <w:sz w:val="28"/>
          <w:szCs w:val="28"/>
        </w:rPr>
      </w:pPr>
      <w:r w:rsidRPr="00B32392">
        <w:rPr>
          <w:rFonts w:ascii="Times New Roman" w:eastAsia="Times New Roman" w:hAnsi="Times New Roman" w:cs="Times New Roman"/>
          <w:b/>
          <w:sz w:val="28"/>
          <w:szCs w:val="28"/>
        </w:rPr>
        <w:t xml:space="preserve">Міністр освіти і науки України </w:t>
      </w:r>
      <w:r w:rsidRPr="00B32392">
        <w:rPr>
          <w:rFonts w:ascii="Times New Roman" w:eastAsia="Times New Roman" w:hAnsi="Times New Roman" w:cs="Times New Roman"/>
          <w:b/>
          <w:sz w:val="28"/>
          <w:szCs w:val="28"/>
        </w:rPr>
        <w:tab/>
        <w:t>Оксен ЛІСОВИЙ</w:t>
      </w:r>
    </w:p>
    <w:p w:rsidR="00252326" w:rsidRDefault="00252326" w:rsidP="00125DF2">
      <w:pPr>
        <w:tabs>
          <w:tab w:val="left" w:pos="7371"/>
        </w:tabs>
        <w:spacing w:after="0" w:line="240" w:lineRule="auto"/>
        <w:rPr>
          <w:rFonts w:ascii="Times New Roman" w:eastAsia="Times New Roman" w:hAnsi="Times New Roman" w:cs="Times New Roman"/>
          <w:b/>
          <w:sz w:val="28"/>
          <w:szCs w:val="28"/>
        </w:rPr>
      </w:pPr>
    </w:p>
    <w:p w:rsidR="00252326" w:rsidRDefault="00252326" w:rsidP="00125DF2">
      <w:pPr>
        <w:tabs>
          <w:tab w:val="left" w:pos="7371"/>
        </w:tabs>
        <w:spacing w:after="0" w:line="240" w:lineRule="auto"/>
        <w:rPr>
          <w:rFonts w:ascii="Times New Roman" w:eastAsia="Times New Roman" w:hAnsi="Times New Roman" w:cs="Times New Roman"/>
          <w:b/>
          <w:sz w:val="28"/>
          <w:szCs w:val="28"/>
        </w:rPr>
      </w:pPr>
    </w:p>
    <w:p w:rsidR="00252326" w:rsidRDefault="00252326" w:rsidP="00125DF2">
      <w:pPr>
        <w:tabs>
          <w:tab w:val="left" w:pos="7371"/>
        </w:tabs>
        <w:spacing w:after="0" w:line="240" w:lineRule="auto"/>
        <w:rPr>
          <w:rFonts w:ascii="Times New Roman" w:eastAsia="Times New Roman" w:hAnsi="Times New Roman" w:cs="Times New Roman"/>
          <w:b/>
          <w:sz w:val="28"/>
          <w:szCs w:val="28"/>
        </w:rPr>
      </w:pPr>
    </w:p>
    <w:p w:rsidR="00B32392" w:rsidRPr="00B32392" w:rsidRDefault="00B32392" w:rsidP="00125DF2">
      <w:pPr>
        <w:tabs>
          <w:tab w:val="left" w:pos="7371"/>
        </w:tabs>
        <w:spacing w:after="0" w:line="240" w:lineRule="auto"/>
        <w:rPr>
          <w:rFonts w:ascii="Times New Roman" w:eastAsia="Times New Roman" w:hAnsi="Times New Roman" w:cs="Times New Roman"/>
          <w:b/>
          <w:sz w:val="28"/>
          <w:szCs w:val="28"/>
        </w:rPr>
      </w:pPr>
      <w:r w:rsidRPr="00B32392">
        <w:rPr>
          <w:rFonts w:ascii="Times New Roman" w:eastAsia="Times New Roman" w:hAnsi="Times New Roman" w:cs="Times New Roman"/>
          <w:b/>
          <w:sz w:val="28"/>
          <w:szCs w:val="28"/>
        </w:rPr>
        <w:br w:type="page"/>
      </w:r>
    </w:p>
    <w:p w:rsidR="00B90AA2" w:rsidRPr="00B90AA2" w:rsidRDefault="00B90AA2" w:rsidP="00B90AA2">
      <w:pPr>
        <w:spacing w:after="0" w:line="240" w:lineRule="auto"/>
        <w:ind w:left="5670"/>
        <w:rPr>
          <w:rFonts w:ascii="Times New Roman" w:hAnsi="Times New Roman" w:cs="Times New Roman"/>
          <w:b/>
        </w:rPr>
      </w:pPr>
      <w:bookmarkStart w:id="2" w:name="n177"/>
      <w:bookmarkEnd w:id="2"/>
      <w:r w:rsidRPr="00B90AA2">
        <w:rPr>
          <w:rFonts w:ascii="Times New Roman" w:hAnsi="Times New Roman" w:cs="Times New Roman"/>
          <w:b/>
        </w:rPr>
        <w:lastRenderedPageBreak/>
        <w:t>Додаток</w:t>
      </w:r>
      <w:r w:rsidR="00FD6BD5">
        <w:rPr>
          <w:rFonts w:ascii="Times New Roman" w:hAnsi="Times New Roman" w:cs="Times New Roman"/>
          <w:b/>
        </w:rPr>
        <w:t xml:space="preserve"> 2</w:t>
      </w:r>
    </w:p>
    <w:p w:rsidR="00B90AA2" w:rsidRPr="00B90AA2" w:rsidRDefault="00B90AA2" w:rsidP="005754A2">
      <w:pPr>
        <w:spacing w:after="0" w:line="240" w:lineRule="auto"/>
        <w:ind w:left="5670"/>
        <w:jc w:val="both"/>
        <w:rPr>
          <w:rFonts w:ascii="Times New Roman" w:hAnsi="Times New Roman" w:cs="Times New Roman"/>
          <w:b/>
        </w:rPr>
      </w:pPr>
      <w:r w:rsidRPr="00B90AA2">
        <w:rPr>
          <w:rFonts w:ascii="Times New Roman" w:hAnsi="Times New Roman" w:cs="Times New Roman"/>
          <w:b/>
        </w:rPr>
        <w:t xml:space="preserve">до Аналізу регуляторного впливу до </w:t>
      </w:r>
      <w:proofErr w:type="spellStart"/>
      <w:r w:rsidRPr="00B90AA2">
        <w:rPr>
          <w:rFonts w:ascii="Times New Roman" w:hAnsi="Times New Roman" w:cs="Times New Roman"/>
          <w:b/>
        </w:rPr>
        <w:t>проєкту</w:t>
      </w:r>
      <w:proofErr w:type="spellEnd"/>
      <w:r w:rsidRPr="00B90AA2">
        <w:rPr>
          <w:rFonts w:ascii="Times New Roman" w:hAnsi="Times New Roman" w:cs="Times New Roman"/>
          <w:b/>
        </w:rPr>
        <w:t xml:space="preserve"> Закону України «</w:t>
      </w:r>
      <w:r w:rsidR="00F75890" w:rsidRPr="00F75890">
        <w:rPr>
          <w:rFonts w:ascii="Times New Roman" w:hAnsi="Times New Roman" w:cs="Times New Roman"/>
          <w:b/>
        </w:rPr>
        <w:t>Про внесення змін до деяких законів України щодо реалізації принципів відкритої науки</w:t>
      </w:r>
      <w:r w:rsidRPr="00B90AA2">
        <w:rPr>
          <w:rFonts w:ascii="Times New Roman" w:hAnsi="Times New Roman" w:cs="Times New Roman"/>
          <w:b/>
        </w:rPr>
        <w:t>»</w:t>
      </w:r>
    </w:p>
    <w:p w:rsidR="00B90AA2" w:rsidRPr="00B90AA2" w:rsidRDefault="00B90AA2" w:rsidP="001C58D0">
      <w:pPr>
        <w:spacing w:after="0" w:line="240" w:lineRule="auto"/>
        <w:jc w:val="center"/>
        <w:rPr>
          <w:rFonts w:ascii="Times New Roman" w:eastAsia="Times New Roman" w:hAnsi="Times New Roman" w:cs="Times New Roman"/>
          <w:b/>
          <w:bCs/>
          <w:sz w:val="28"/>
          <w:szCs w:val="28"/>
        </w:rPr>
      </w:pPr>
    </w:p>
    <w:p w:rsidR="00B90AA2" w:rsidRPr="00B90AA2" w:rsidRDefault="00B90AA2" w:rsidP="00B90AA2">
      <w:pPr>
        <w:spacing w:after="0" w:line="240" w:lineRule="auto"/>
        <w:jc w:val="center"/>
        <w:rPr>
          <w:rFonts w:ascii="Times New Roman" w:eastAsia="Times New Roman" w:hAnsi="Times New Roman" w:cs="Times New Roman"/>
          <w:b/>
          <w:bCs/>
          <w:sz w:val="28"/>
          <w:szCs w:val="28"/>
        </w:rPr>
      </w:pPr>
      <w:r w:rsidRPr="00B90AA2">
        <w:rPr>
          <w:rFonts w:ascii="Times New Roman" w:eastAsia="Times New Roman" w:hAnsi="Times New Roman" w:cs="Times New Roman"/>
          <w:b/>
          <w:bCs/>
          <w:sz w:val="28"/>
          <w:szCs w:val="28"/>
        </w:rPr>
        <w:t>ВИТРАТИ</w:t>
      </w:r>
    </w:p>
    <w:p w:rsidR="00B90AA2" w:rsidRPr="00B90AA2" w:rsidRDefault="00B90AA2" w:rsidP="00B90AA2">
      <w:pPr>
        <w:spacing w:after="0" w:line="240" w:lineRule="auto"/>
        <w:jc w:val="center"/>
        <w:rPr>
          <w:rFonts w:ascii="Times New Roman" w:eastAsia="Times New Roman" w:hAnsi="Times New Roman" w:cs="Times New Roman"/>
          <w:b/>
          <w:bCs/>
          <w:sz w:val="28"/>
          <w:szCs w:val="28"/>
        </w:rPr>
      </w:pPr>
      <w:r w:rsidRPr="00B90AA2">
        <w:rPr>
          <w:rFonts w:ascii="Times New Roman" w:eastAsia="Times New Roman" w:hAnsi="Times New Roman" w:cs="Times New Roman"/>
          <w:b/>
          <w:bCs/>
          <w:sz w:val="28"/>
          <w:szCs w:val="28"/>
        </w:rPr>
        <w:t xml:space="preserve">на одного суб’єкта господарювання великого і середнього підприємництва, які виникають внаслідок дії регуляторного </w:t>
      </w:r>
      <w:proofErr w:type="spellStart"/>
      <w:r w:rsidRPr="00B90AA2">
        <w:rPr>
          <w:rFonts w:ascii="Times New Roman" w:eastAsia="Times New Roman" w:hAnsi="Times New Roman" w:cs="Times New Roman"/>
          <w:b/>
          <w:bCs/>
          <w:sz w:val="28"/>
          <w:szCs w:val="28"/>
        </w:rPr>
        <w:t>акта</w:t>
      </w:r>
      <w:proofErr w:type="spellEnd"/>
    </w:p>
    <w:p w:rsidR="00B90AA2" w:rsidRPr="001C58D0" w:rsidRDefault="00B90AA2" w:rsidP="00B90AA2">
      <w:pPr>
        <w:spacing w:after="0" w:line="240" w:lineRule="auto"/>
        <w:jc w:val="center"/>
        <w:rPr>
          <w:rFonts w:ascii="Times New Roman" w:eastAsia="Times New Roman" w:hAnsi="Times New Roman" w:cs="Times New Roman"/>
          <w:sz w:val="16"/>
          <w:szCs w:val="16"/>
        </w:rPr>
      </w:pPr>
    </w:p>
    <w:tbl>
      <w:tblPr>
        <w:tblW w:w="5000" w:type="pct"/>
        <w:jc w:val="center"/>
        <w:tblCellMar>
          <w:top w:w="15" w:type="dxa"/>
          <w:left w:w="15" w:type="dxa"/>
          <w:bottom w:w="15" w:type="dxa"/>
          <w:right w:w="15" w:type="dxa"/>
        </w:tblCellMar>
        <w:tblLook w:val="04A0" w:firstRow="1" w:lastRow="0" w:firstColumn="1" w:lastColumn="0" w:noHBand="0" w:noVBand="1"/>
      </w:tblPr>
      <w:tblGrid>
        <w:gridCol w:w="1284"/>
        <w:gridCol w:w="5805"/>
        <w:gridCol w:w="1276"/>
        <w:gridCol w:w="1272"/>
      </w:tblGrid>
      <w:tr w:rsidR="00B90AA2" w:rsidRPr="00B90AA2" w:rsidTr="00B90AA2">
        <w:trPr>
          <w:jc w:val="center"/>
        </w:trPr>
        <w:tc>
          <w:tcPr>
            <w:tcW w:w="666" w:type="pct"/>
            <w:tcBorders>
              <w:top w:val="single" w:sz="6" w:space="0" w:color="000000"/>
              <w:left w:val="nil"/>
              <w:bottom w:val="single" w:sz="6" w:space="0" w:color="000000"/>
              <w:right w:val="single" w:sz="6" w:space="0" w:color="000000"/>
            </w:tcBorders>
            <w:hideMark/>
          </w:tcPr>
          <w:p w:rsidR="00B90AA2" w:rsidRPr="005754A2" w:rsidRDefault="00B90AA2" w:rsidP="00B90AA2">
            <w:pPr>
              <w:spacing w:after="0" w:line="240" w:lineRule="auto"/>
              <w:jc w:val="center"/>
              <w:rPr>
                <w:rFonts w:ascii="Times New Roman" w:eastAsia="Times New Roman" w:hAnsi="Times New Roman" w:cs="Times New Roman"/>
                <w:sz w:val="24"/>
                <w:szCs w:val="24"/>
              </w:rPr>
            </w:pPr>
            <w:bookmarkStart w:id="3" w:name="n178"/>
            <w:bookmarkEnd w:id="3"/>
            <w:r w:rsidRPr="005754A2">
              <w:rPr>
                <w:rFonts w:ascii="Times New Roman" w:eastAsia="Times New Roman" w:hAnsi="Times New Roman" w:cs="Times New Roman"/>
                <w:sz w:val="24"/>
                <w:szCs w:val="24"/>
              </w:rPr>
              <w:t>Порядковий номер</w:t>
            </w:r>
          </w:p>
        </w:tc>
        <w:tc>
          <w:tcPr>
            <w:tcW w:w="3012" w:type="pct"/>
            <w:tcBorders>
              <w:top w:val="single" w:sz="6" w:space="0" w:color="000000"/>
              <w:left w:val="single" w:sz="6" w:space="0" w:color="000000"/>
              <w:bottom w:val="single" w:sz="6" w:space="0" w:color="000000"/>
              <w:right w:val="single" w:sz="6" w:space="0" w:color="000000"/>
            </w:tcBorders>
            <w:hideMark/>
          </w:tcPr>
          <w:p w:rsidR="00B90AA2" w:rsidRPr="005754A2" w:rsidRDefault="00B90AA2" w:rsidP="00B90AA2">
            <w:pPr>
              <w:spacing w:after="0" w:line="240" w:lineRule="auto"/>
              <w:jc w:val="center"/>
              <w:rPr>
                <w:rFonts w:ascii="Times New Roman" w:eastAsia="Times New Roman" w:hAnsi="Times New Roman" w:cs="Times New Roman"/>
                <w:sz w:val="24"/>
                <w:szCs w:val="24"/>
              </w:rPr>
            </w:pPr>
            <w:r w:rsidRPr="005754A2">
              <w:rPr>
                <w:rFonts w:ascii="Times New Roman" w:eastAsia="Times New Roman" w:hAnsi="Times New Roman" w:cs="Times New Roman"/>
                <w:sz w:val="24"/>
                <w:szCs w:val="24"/>
              </w:rPr>
              <w:t>Витрати</w:t>
            </w:r>
          </w:p>
        </w:tc>
        <w:tc>
          <w:tcPr>
            <w:tcW w:w="662" w:type="pct"/>
            <w:tcBorders>
              <w:top w:val="single" w:sz="6" w:space="0" w:color="000000"/>
              <w:left w:val="single" w:sz="6" w:space="0" w:color="000000"/>
              <w:bottom w:val="single" w:sz="6" w:space="0" w:color="000000"/>
              <w:right w:val="single" w:sz="6" w:space="0" w:color="000000"/>
            </w:tcBorders>
            <w:hideMark/>
          </w:tcPr>
          <w:p w:rsidR="00B90AA2" w:rsidRPr="005754A2" w:rsidRDefault="00B90AA2" w:rsidP="00B90AA2">
            <w:pPr>
              <w:spacing w:after="0" w:line="240" w:lineRule="auto"/>
              <w:jc w:val="center"/>
              <w:rPr>
                <w:rFonts w:ascii="Times New Roman" w:eastAsia="Times New Roman" w:hAnsi="Times New Roman" w:cs="Times New Roman"/>
                <w:sz w:val="24"/>
                <w:szCs w:val="24"/>
              </w:rPr>
            </w:pPr>
            <w:r w:rsidRPr="005754A2">
              <w:rPr>
                <w:rFonts w:ascii="Times New Roman" w:eastAsia="Times New Roman" w:hAnsi="Times New Roman" w:cs="Times New Roman"/>
                <w:sz w:val="24"/>
                <w:szCs w:val="24"/>
              </w:rPr>
              <w:t>За перший рік</w:t>
            </w:r>
          </w:p>
        </w:tc>
        <w:tc>
          <w:tcPr>
            <w:tcW w:w="660" w:type="pct"/>
            <w:tcBorders>
              <w:top w:val="single" w:sz="6" w:space="0" w:color="000000"/>
              <w:left w:val="single" w:sz="6" w:space="0" w:color="000000"/>
              <w:bottom w:val="single" w:sz="6" w:space="0" w:color="000000"/>
              <w:right w:val="nil"/>
            </w:tcBorders>
            <w:hideMark/>
          </w:tcPr>
          <w:p w:rsidR="00B90AA2" w:rsidRPr="005754A2" w:rsidRDefault="00B90AA2" w:rsidP="00B90AA2">
            <w:pPr>
              <w:spacing w:after="0" w:line="240" w:lineRule="auto"/>
              <w:jc w:val="center"/>
              <w:rPr>
                <w:rFonts w:ascii="Times New Roman" w:eastAsia="Times New Roman" w:hAnsi="Times New Roman" w:cs="Times New Roman"/>
                <w:sz w:val="24"/>
                <w:szCs w:val="24"/>
              </w:rPr>
            </w:pPr>
            <w:r w:rsidRPr="005754A2">
              <w:rPr>
                <w:rFonts w:ascii="Times New Roman" w:eastAsia="Times New Roman" w:hAnsi="Times New Roman" w:cs="Times New Roman"/>
                <w:sz w:val="24"/>
                <w:szCs w:val="24"/>
              </w:rPr>
              <w:t>За п’ять років</w:t>
            </w:r>
          </w:p>
        </w:tc>
      </w:tr>
      <w:tr w:rsidR="001C58D0" w:rsidRPr="00B90AA2" w:rsidTr="00F75890">
        <w:trPr>
          <w:jc w:val="center"/>
        </w:trPr>
        <w:tc>
          <w:tcPr>
            <w:tcW w:w="666" w:type="pct"/>
            <w:tcBorders>
              <w:top w:val="single" w:sz="6" w:space="0" w:color="000000"/>
              <w:left w:val="single" w:sz="2" w:space="0" w:color="auto"/>
              <w:bottom w:val="single" w:sz="2" w:space="0" w:color="auto"/>
              <w:right w:val="single" w:sz="2" w:space="0" w:color="auto"/>
            </w:tcBorders>
            <w:hideMark/>
          </w:tcPr>
          <w:p w:rsidR="001C58D0" w:rsidRPr="005754A2" w:rsidRDefault="001C58D0" w:rsidP="001C58D0">
            <w:pPr>
              <w:spacing w:after="0" w:line="240" w:lineRule="auto"/>
              <w:jc w:val="center"/>
              <w:rPr>
                <w:rFonts w:ascii="Times New Roman" w:eastAsia="Times New Roman" w:hAnsi="Times New Roman" w:cs="Times New Roman"/>
                <w:sz w:val="24"/>
                <w:szCs w:val="24"/>
              </w:rPr>
            </w:pPr>
            <w:r w:rsidRPr="005754A2">
              <w:rPr>
                <w:rFonts w:ascii="Times New Roman" w:eastAsia="Times New Roman" w:hAnsi="Times New Roman" w:cs="Times New Roman"/>
                <w:sz w:val="24"/>
                <w:szCs w:val="24"/>
              </w:rPr>
              <w:t>1</w:t>
            </w:r>
          </w:p>
        </w:tc>
        <w:tc>
          <w:tcPr>
            <w:tcW w:w="3012" w:type="pct"/>
            <w:tcBorders>
              <w:top w:val="single" w:sz="6" w:space="0" w:color="000000"/>
              <w:left w:val="single" w:sz="2" w:space="0" w:color="auto"/>
              <w:bottom w:val="single" w:sz="2" w:space="0" w:color="auto"/>
              <w:right w:val="single" w:sz="2" w:space="0" w:color="auto"/>
            </w:tcBorders>
            <w:hideMark/>
          </w:tcPr>
          <w:p w:rsidR="001C58D0" w:rsidRPr="005754A2" w:rsidRDefault="001C58D0" w:rsidP="001C58D0">
            <w:pPr>
              <w:spacing w:after="0" w:line="240" w:lineRule="auto"/>
              <w:jc w:val="both"/>
              <w:rPr>
                <w:rFonts w:ascii="Times New Roman" w:eastAsia="Times New Roman" w:hAnsi="Times New Roman" w:cs="Times New Roman"/>
                <w:sz w:val="24"/>
                <w:szCs w:val="24"/>
              </w:rPr>
            </w:pPr>
            <w:r w:rsidRPr="005754A2">
              <w:rPr>
                <w:rFonts w:ascii="Times New Roman" w:eastAsia="Times New Roman" w:hAnsi="Times New Roman" w:cs="Times New Roman"/>
                <w:sz w:val="24"/>
                <w:szCs w:val="24"/>
              </w:rPr>
              <w:t>Витрати на придбання основних фондів, обладнання та приладів, сервісне обслуговування, навчання/</w:t>
            </w:r>
            <w:r>
              <w:rPr>
                <w:rFonts w:ascii="Times New Roman" w:eastAsia="Times New Roman" w:hAnsi="Times New Roman" w:cs="Times New Roman"/>
                <w:sz w:val="24"/>
                <w:szCs w:val="24"/>
              </w:rPr>
              <w:t xml:space="preserve"> </w:t>
            </w:r>
            <w:r w:rsidRPr="005754A2">
              <w:rPr>
                <w:rFonts w:ascii="Times New Roman" w:eastAsia="Times New Roman" w:hAnsi="Times New Roman" w:cs="Times New Roman"/>
                <w:sz w:val="24"/>
                <w:szCs w:val="24"/>
              </w:rPr>
              <w:t>підвищення кваліфікації персоналу тощо, гривень</w:t>
            </w:r>
          </w:p>
        </w:tc>
        <w:tc>
          <w:tcPr>
            <w:tcW w:w="662" w:type="pct"/>
            <w:tcBorders>
              <w:top w:val="single" w:sz="6" w:space="0" w:color="000000"/>
              <w:left w:val="single" w:sz="2" w:space="0" w:color="auto"/>
              <w:bottom w:val="single" w:sz="2" w:space="0" w:color="auto"/>
              <w:right w:val="single" w:sz="2" w:space="0" w:color="auto"/>
            </w:tcBorders>
          </w:tcPr>
          <w:p w:rsidR="001C58D0" w:rsidRPr="00576E4F" w:rsidRDefault="001C58D0" w:rsidP="001C58D0">
            <w:pPr>
              <w:tabs>
                <w:tab w:val="left" w:pos="7371"/>
              </w:tabs>
              <w:jc w:val="center"/>
              <w:rPr>
                <w:rFonts w:ascii="Times New Roman" w:eastAsia="Times New Roman" w:hAnsi="Times New Roman"/>
                <w:sz w:val="24"/>
                <w:szCs w:val="28"/>
              </w:rPr>
            </w:pPr>
            <w:r w:rsidRPr="00576E4F">
              <w:rPr>
                <w:rFonts w:ascii="Times New Roman" w:eastAsia="Times New Roman" w:hAnsi="Times New Roman"/>
                <w:sz w:val="24"/>
                <w:szCs w:val="28"/>
              </w:rPr>
              <w:t>–</w:t>
            </w:r>
          </w:p>
        </w:tc>
        <w:tc>
          <w:tcPr>
            <w:tcW w:w="660" w:type="pct"/>
            <w:tcBorders>
              <w:top w:val="single" w:sz="6" w:space="0" w:color="000000"/>
              <w:left w:val="single" w:sz="2" w:space="0" w:color="auto"/>
              <w:bottom w:val="single" w:sz="2" w:space="0" w:color="auto"/>
              <w:right w:val="single" w:sz="2" w:space="0" w:color="auto"/>
            </w:tcBorders>
          </w:tcPr>
          <w:p w:rsidR="001C58D0" w:rsidRPr="00576E4F" w:rsidRDefault="001C58D0" w:rsidP="001C58D0">
            <w:pPr>
              <w:tabs>
                <w:tab w:val="left" w:pos="7371"/>
              </w:tabs>
              <w:jc w:val="center"/>
              <w:rPr>
                <w:rFonts w:ascii="Times New Roman" w:eastAsia="Times New Roman" w:hAnsi="Times New Roman"/>
                <w:sz w:val="24"/>
                <w:szCs w:val="28"/>
              </w:rPr>
            </w:pPr>
            <w:r w:rsidRPr="00576E4F">
              <w:rPr>
                <w:rFonts w:ascii="Times New Roman" w:eastAsia="Times New Roman" w:hAnsi="Times New Roman"/>
                <w:sz w:val="24"/>
                <w:szCs w:val="28"/>
              </w:rPr>
              <w:t>–</w:t>
            </w:r>
          </w:p>
        </w:tc>
      </w:tr>
      <w:tr w:rsidR="001C58D0" w:rsidRPr="00B90AA2" w:rsidTr="00F75890">
        <w:trPr>
          <w:jc w:val="center"/>
        </w:trPr>
        <w:tc>
          <w:tcPr>
            <w:tcW w:w="666" w:type="pct"/>
            <w:tcBorders>
              <w:top w:val="single" w:sz="2" w:space="0" w:color="auto"/>
              <w:left w:val="single" w:sz="2" w:space="0" w:color="auto"/>
              <w:bottom w:val="single" w:sz="2" w:space="0" w:color="auto"/>
              <w:right w:val="single" w:sz="2" w:space="0" w:color="auto"/>
            </w:tcBorders>
            <w:hideMark/>
          </w:tcPr>
          <w:p w:rsidR="001C58D0" w:rsidRPr="005754A2" w:rsidRDefault="001C58D0" w:rsidP="001C58D0">
            <w:pPr>
              <w:spacing w:after="0" w:line="240" w:lineRule="auto"/>
              <w:jc w:val="center"/>
              <w:rPr>
                <w:rFonts w:ascii="Times New Roman" w:eastAsia="Times New Roman" w:hAnsi="Times New Roman" w:cs="Times New Roman"/>
                <w:sz w:val="24"/>
                <w:szCs w:val="24"/>
              </w:rPr>
            </w:pPr>
            <w:r w:rsidRPr="005754A2">
              <w:rPr>
                <w:rFonts w:ascii="Times New Roman" w:eastAsia="Times New Roman" w:hAnsi="Times New Roman" w:cs="Times New Roman"/>
                <w:sz w:val="24"/>
                <w:szCs w:val="24"/>
              </w:rPr>
              <w:t>2</w:t>
            </w:r>
          </w:p>
        </w:tc>
        <w:tc>
          <w:tcPr>
            <w:tcW w:w="3012" w:type="pct"/>
            <w:tcBorders>
              <w:top w:val="single" w:sz="2" w:space="0" w:color="auto"/>
              <w:left w:val="single" w:sz="2" w:space="0" w:color="auto"/>
              <w:bottom w:val="single" w:sz="2" w:space="0" w:color="auto"/>
              <w:right w:val="single" w:sz="2" w:space="0" w:color="auto"/>
            </w:tcBorders>
            <w:hideMark/>
          </w:tcPr>
          <w:p w:rsidR="001C58D0" w:rsidRPr="005754A2" w:rsidRDefault="001C58D0" w:rsidP="001C58D0">
            <w:pPr>
              <w:spacing w:after="0" w:line="240" w:lineRule="auto"/>
              <w:jc w:val="both"/>
              <w:rPr>
                <w:rFonts w:ascii="Times New Roman" w:eastAsia="Times New Roman" w:hAnsi="Times New Roman" w:cs="Times New Roman"/>
                <w:sz w:val="24"/>
                <w:szCs w:val="24"/>
              </w:rPr>
            </w:pPr>
            <w:r w:rsidRPr="005754A2">
              <w:rPr>
                <w:rFonts w:ascii="Times New Roman" w:eastAsia="Times New Roman" w:hAnsi="Times New Roman" w:cs="Times New Roman"/>
                <w:sz w:val="24"/>
                <w:szCs w:val="24"/>
              </w:rPr>
              <w:t>Податки та збори (зміна розміру податків/зборів, виникнення необхідності у сплаті податків/зборів), гривень</w:t>
            </w:r>
          </w:p>
        </w:tc>
        <w:tc>
          <w:tcPr>
            <w:tcW w:w="662" w:type="pct"/>
            <w:tcBorders>
              <w:top w:val="single" w:sz="2" w:space="0" w:color="auto"/>
              <w:left w:val="single" w:sz="2" w:space="0" w:color="auto"/>
              <w:bottom w:val="single" w:sz="2" w:space="0" w:color="auto"/>
              <w:right w:val="single" w:sz="2" w:space="0" w:color="auto"/>
            </w:tcBorders>
          </w:tcPr>
          <w:p w:rsidR="001C58D0" w:rsidRPr="00576E4F" w:rsidRDefault="001C58D0" w:rsidP="001C58D0">
            <w:pPr>
              <w:tabs>
                <w:tab w:val="left" w:pos="7371"/>
              </w:tabs>
              <w:jc w:val="center"/>
              <w:rPr>
                <w:rFonts w:ascii="Times New Roman" w:eastAsia="Times New Roman" w:hAnsi="Times New Roman"/>
                <w:sz w:val="24"/>
                <w:szCs w:val="28"/>
              </w:rPr>
            </w:pPr>
            <w:r w:rsidRPr="00576E4F">
              <w:rPr>
                <w:rFonts w:ascii="Times New Roman" w:eastAsia="Times New Roman" w:hAnsi="Times New Roman"/>
                <w:sz w:val="24"/>
                <w:szCs w:val="28"/>
              </w:rPr>
              <w:t>–</w:t>
            </w:r>
          </w:p>
        </w:tc>
        <w:tc>
          <w:tcPr>
            <w:tcW w:w="660" w:type="pct"/>
            <w:tcBorders>
              <w:top w:val="single" w:sz="2" w:space="0" w:color="auto"/>
              <w:left w:val="single" w:sz="2" w:space="0" w:color="auto"/>
              <w:bottom w:val="single" w:sz="2" w:space="0" w:color="auto"/>
              <w:right w:val="single" w:sz="2" w:space="0" w:color="auto"/>
            </w:tcBorders>
          </w:tcPr>
          <w:p w:rsidR="001C58D0" w:rsidRPr="00576E4F" w:rsidRDefault="001C58D0" w:rsidP="001C58D0">
            <w:pPr>
              <w:tabs>
                <w:tab w:val="left" w:pos="7371"/>
              </w:tabs>
              <w:jc w:val="center"/>
              <w:rPr>
                <w:rFonts w:ascii="Times New Roman" w:eastAsia="Times New Roman" w:hAnsi="Times New Roman"/>
                <w:sz w:val="24"/>
                <w:szCs w:val="28"/>
              </w:rPr>
            </w:pPr>
            <w:r w:rsidRPr="00576E4F">
              <w:rPr>
                <w:rFonts w:ascii="Times New Roman" w:eastAsia="Times New Roman" w:hAnsi="Times New Roman"/>
                <w:sz w:val="24"/>
                <w:szCs w:val="28"/>
              </w:rPr>
              <w:t>–</w:t>
            </w:r>
          </w:p>
        </w:tc>
      </w:tr>
      <w:tr w:rsidR="001C58D0" w:rsidRPr="00B90AA2" w:rsidTr="00F75890">
        <w:trPr>
          <w:jc w:val="center"/>
        </w:trPr>
        <w:tc>
          <w:tcPr>
            <w:tcW w:w="666" w:type="pct"/>
            <w:tcBorders>
              <w:top w:val="single" w:sz="2" w:space="0" w:color="auto"/>
              <w:left w:val="single" w:sz="2" w:space="0" w:color="auto"/>
              <w:bottom w:val="single" w:sz="2" w:space="0" w:color="auto"/>
              <w:right w:val="single" w:sz="2" w:space="0" w:color="auto"/>
            </w:tcBorders>
            <w:hideMark/>
          </w:tcPr>
          <w:p w:rsidR="001C58D0" w:rsidRPr="005754A2" w:rsidRDefault="001C58D0" w:rsidP="001C58D0">
            <w:pPr>
              <w:spacing w:after="0" w:line="240" w:lineRule="auto"/>
              <w:jc w:val="center"/>
              <w:rPr>
                <w:rFonts w:ascii="Times New Roman" w:eastAsia="Times New Roman" w:hAnsi="Times New Roman" w:cs="Times New Roman"/>
                <w:sz w:val="24"/>
                <w:szCs w:val="24"/>
              </w:rPr>
            </w:pPr>
            <w:r w:rsidRPr="005754A2">
              <w:rPr>
                <w:rFonts w:ascii="Times New Roman" w:eastAsia="Times New Roman" w:hAnsi="Times New Roman" w:cs="Times New Roman"/>
                <w:sz w:val="24"/>
                <w:szCs w:val="24"/>
              </w:rPr>
              <w:t>3</w:t>
            </w:r>
          </w:p>
        </w:tc>
        <w:tc>
          <w:tcPr>
            <w:tcW w:w="3012" w:type="pct"/>
            <w:tcBorders>
              <w:top w:val="single" w:sz="2" w:space="0" w:color="auto"/>
              <w:left w:val="single" w:sz="2" w:space="0" w:color="auto"/>
              <w:bottom w:val="single" w:sz="2" w:space="0" w:color="auto"/>
              <w:right w:val="single" w:sz="2" w:space="0" w:color="auto"/>
            </w:tcBorders>
            <w:hideMark/>
          </w:tcPr>
          <w:p w:rsidR="001C58D0" w:rsidRDefault="001C58D0" w:rsidP="001C58D0">
            <w:pPr>
              <w:spacing w:after="0" w:line="240" w:lineRule="auto"/>
              <w:jc w:val="both"/>
              <w:rPr>
                <w:rFonts w:ascii="Times New Roman" w:eastAsia="Times New Roman" w:hAnsi="Times New Roman" w:cs="Times New Roman"/>
                <w:sz w:val="24"/>
                <w:szCs w:val="24"/>
              </w:rPr>
            </w:pPr>
            <w:r w:rsidRPr="005754A2">
              <w:rPr>
                <w:rFonts w:ascii="Times New Roman" w:eastAsia="Times New Roman" w:hAnsi="Times New Roman" w:cs="Times New Roman"/>
                <w:sz w:val="24"/>
                <w:szCs w:val="24"/>
              </w:rPr>
              <w:t>Витрати, пов’язані із веденням обліку, підготовкою та поданням звітності державним органам, гривень</w:t>
            </w:r>
          </w:p>
          <w:p w:rsidR="00300B0E" w:rsidRPr="005754A2" w:rsidRDefault="00300B0E" w:rsidP="00300B0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Pr="005754A2">
              <w:rPr>
                <w:rFonts w:ascii="Times New Roman" w:eastAsia="Times New Roman" w:hAnsi="Times New Roman" w:cs="Times New Roman"/>
                <w:sz w:val="24"/>
                <w:szCs w:val="24"/>
              </w:rPr>
              <w:t xml:space="preserve">2 год × 1 працівник × </w:t>
            </w:r>
            <w:r>
              <w:rPr>
                <w:rFonts w:ascii="Times New Roman" w:eastAsia="Times New Roman" w:hAnsi="Times New Roman" w:cs="Times New Roman"/>
                <w:sz w:val="24"/>
                <w:szCs w:val="24"/>
              </w:rPr>
              <w:t>48</w:t>
            </w:r>
            <w:r w:rsidRPr="009C17BF">
              <w:rPr>
                <w:rFonts w:ascii="Times New Roman" w:eastAsia="Times New Roman" w:hAnsi="Times New Roman" w:cs="Times New Roman"/>
                <w:sz w:val="24"/>
                <w:szCs w:val="24"/>
                <w:vertAlign w:val="superscript"/>
              </w:rPr>
              <w:t>*</w:t>
            </w:r>
            <w:r w:rsidRPr="005754A2">
              <w:rPr>
                <w:rFonts w:ascii="Times New Roman" w:eastAsia="Times New Roman" w:hAnsi="Times New Roman" w:cs="Times New Roman"/>
                <w:sz w:val="24"/>
                <w:szCs w:val="24"/>
              </w:rPr>
              <w:t xml:space="preserve"> грн/год = </w:t>
            </w:r>
            <w:r>
              <w:rPr>
                <w:rFonts w:ascii="Times New Roman" w:eastAsia="Times New Roman" w:hAnsi="Times New Roman" w:cs="Times New Roman"/>
                <w:sz w:val="24"/>
                <w:szCs w:val="24"/>
              </w:rPr>
              <w:t>96</w:t>
            </w:r>
            <w:r w:rsidRPr="005754A2">
              <w:rPr>
                <w:rFonts w:ascii="Times New Roman" w:eastAsia="Times New Roman" w:hAnsi="Times New Roman" w:cs="Times New Roman"/>
                <w:sz w:val="24"/>
                <w:szCs w:val="24"/>
              </w:rPr>
              <w:t>,00 грн</w:t>
            </w:r>
            <w:r>
              <w:rPr>
                <w:rFonts w:ascii="Times New Roman" w:eastAsia="Times New Roman" w:hAnsi="Times New Roman" w:cs="Times New Roman"/>
                <w:sz w:val="24"/>
                <w:szCs w:val="24"/>
              </w:rPr>
              <w:t>)</w:t>
            </w:r>
          </w:p>
        </w:tc>
        <w:tc>
          <w:tcPr>
            <w:tcW w:w="662" w:type="pct"/>
            <w:tcBorders>
              <w:top w:val="single" w:sz="2" w:space="0" w:color="auto"/>
              <w:left w:val="single" w:sz="2" w:space="0" w:color="auto"/>
              <w:bottom w:val="single" w:sz="2" w:space="0" w:color="auto"/>
              <w:right w:val="single" w:sz="2" w:space="0" w:color="auto"/>
            </w:tcBorders>
          </w:tcPr>
          <w:p w:rsidR="001C58D0" w:rsidRPr="00576E4F" w:rsidRDefault="00300B0E" w:rsidP="001C58D0">
            <w:pPr>
              <w:tabs>
                <w:tab w:val="left" w:pos="7371"/>
              </w:tabs>
              <w:jc w:val="center"/>
              <w:rPr>
                <w:rFonts w:ascii="Times New Roman" w:eastAsia="Times New Roman" w:hAnsi="Times New Roman"/>
                <w:sz w:val="24"/>
                <w:szCs w:val="28"/>
              </w:rPr>
            </w:pPr>
            <w:r>
              <w:rPr>
                <w:rFonts w:ascii="Times New Roman" w:eastAsia="Times New Roman" w:hAnsi="Times New Roman"/>
                <w:sz w:val="24"/>
                <w:szCs w:val="28"/>
              </w:rPr>
              <w:t>96,00</w:t>
            </w:r>
          </w:p>
        </w:tc>
        <w:tc>
          <w:tcPr>
            <w:tcW w:w="660" w:type="pct"/>
            <w:tcBorders>
              <w:top w:val="single" w:sz="2" w:space="0" w:color="auto"/>
              <w:left w:val="single" w:sz="2" w:space="0" w:color="auto"/>
              <w:bottom w:val="single" w:sz="2" w:space="0" w:color="auto"/>
              <w:right w:val="single" w:sz="2" w:space="0" w:color="auto"/>
            </w:tcBorders>
          </w:tcPr>
          <w:p w:rsidR="001C58D0" w:rsidRPr="00576E4F" w:rsidRDefault="00300B0E" w:rsidP="001C58D0">
            <w:pPr>
              <w:tabs>
                <w:tab w:val="left" w:pos="7371"/>
              </w:tabs>
              <w:jc w:val="center"/>
              <w:rPr>
                <w:rFonts w:ascii="Times New Roman" w:eastAsia="Times New Roman" w:hAnsi="Times New Roman"/>
                <w:sz w:val="24"/>
                <w:szCs w:val="28"/>
              </w:rPr>
            </w:pPr>
            <w:r>
              <w:rPr>
                <w:rFonts w:ascii="Times New Roman" w:eastAsia="Times New Roman" w:hAnsi="Times New Roman"/>
                <w:sz w:val="24"/>
                <w:szCs w:val="28"/>
              </w:rPr>
              <w:t>480,00</w:t>
            </w:r>
          </w:p>
        </w:tc>
      </w:tr>
      <w:tr w:rsidR="001C58D0" w:rsidRPr="00B90AA2" w:rsidTr="00F75890">
        <w:trPr>
          <w:jc w:val="center"/>
        </w:trPr>
        <w:tc>
          <w:tcPr>
            <w:tcW w:w="666" w:type="pct"/>
            <w:tcBorders>
              <w:top w:val="single" w:sz="2" w:space="0" w:color="auto"/>
              <w:left w:val="single" w:sz="2" w:space="0" w:color="auto"/>
              <w:bottom w:val="single" w:sz="2" w:space="0" w:color="auto"/>
              <w:right w:val="single" w:sz="2" w:space="0" w:color="auto"/>
            </w:tcBorders>
            <w:hideMark/>
          </w:tcPr>
          <w:p w:rsidR="001C58D0" w:rsidRPr="005754A2" w:rsidRDefault="001C58D0" w:rsidP="001C58D0">
            <w:pPr>
              <w:spacing w:after="0" w:line="240" w:lineRule="auto"/>
              <w:jc w:val="center"/>
              <w:rPr>
                <w:rFonts w:ascii="Times New Roman" w:eastAsia="Times New Roman" w:hAnsi="Times New Roman" w:cs="Times New Roman"/>
                <w:sz w:val="24"/>
                <w:szCs w:val="24"/>
              </w:rPr>
            </w:pPr>
            <w:r w:rsidRPr="005754A2">
              <w:rPr>
                <w:rFonts w:ascii="Times New Roman" w:eastAsia="Times New Roman" w:hAnsi="Times New Roman" w:cs="Times New Roman"/>
                <w:sz w:val="24"/>
                <w:szCs w:val="24"/>
              </w:rPr>
              <w:t>4</w:t>
            </w:r>
          </w:p>
        </w:tc>
        <w:tc>
          <w:tcPr>
            <w:tcW w:w="3012" w:type="pct"/>
            <w:tcBorders>
              <w:top w:val="single" w:sz="2" w:space="0" w:color="auto"/>
              <w:left w:val="single" w:sz="2" w:space="0" w:color="auto"/>
              <w:bottom w:val="single" w:sz="2" w:space="0" w:color="auto"/>
              <w:right w:val="single" w:sz="2" w:space="0" w:color="auto"/>
            </w:tcBorders>
            <w:hideMark/>
          </w:tcPr>
          <w:p w:rsidR="001C58D0" w:rsidRPr="005754A2" w:rsidRDefault="001C58D0" w:rsidP="001C58D0">
            <w:pPr>
              <w:spacing w:after="0" w:line="240" w:lineRule="auto"/>
              <w:jc w:val="both"/>
              <w:rPr>
                <w:rFonts w:ascii="Times New Roman" w:eastAsia="Times New Roman" w:hAnsi="Times New Roman" w:cs="Times New Roman"/>
                <w:sz w:val="24"/>
                <w:szCs w:val="24"/>
              </w:rPr>
            </w:pPr>
            <w:r w:rsidRPr="005754A2">
              <w:rPr>
                <w:rFonts w:ascii="Times New Roman" w:eastAsia="Times New Roman" w:hAnsi="Times New Roman" w:cs="Times New Roman"/>
                <w:sz w:val="24"/>
                <w:szCs w:val="24"/>
              </w:rPr>
              <w:t>Витрати, пов’язані з адмініструванням заходів державного нагляду (контролю) (перевірок, штрафних санкцій, виконання рішень/ приписів тощо), гривень</w:t>
            </w:r>
          </w:p>
        </w:tc>
        <w:tc>
          <w:tcPr>
            <w:tcW w:w="662" w:type="pct"/>
            <w:tcBorders>
              <w:top w:val="single" w:sz="2" w:space="0" w:color="auto"/>
              <w:left w:val="single" w:sz="2" w:space="0" w:color="auto"/>
              <w:bottom w:val="single" w:sz="2" w:space="0" w:color="auto"/>
              <w:right w:val="single" w:sz="2" w:space="0" w:color="auto"/>
            </w:tcBorders>
          </w:tcPr>
          <w:p w:rsidR="001C58D0" w:rsidRPr="00576E4F" w:rsidRDefault="001C58D0" w:rsidP="001C58D0">
            <w:pPr>
              <w:tabs>
                <w:tab w:val="left" w:pos="7371"/>
              </w:tabs>
              <w:jc w:val="center"/>
              <w:rPr>
                <w:rFonts w:ascii="Times New Roman" w:eastAsia="Times New Roman" w:hAnsi="Times New Roman"/>
                <w:sz w:val="24"/>
                <w:szCs w:val="28"/>
              </w:rPr>
            </w:pPr>
            <w:r w:rsidRPr="00576E4F">
              <w:rPr>
                <w:rFonts w:ascii="Times New Roman" w:eastAsia="Times New Roman" w:hAnsi="Times New Roman"/>
                <w:sz w:val="24"/>
                <w:szCs w:val="28"/>
              </w:rPr>
              <w:t>–</w:t>
            </w:r>
          </w:p>
        </w:tc>
        <w:tc>
          <w:tcPr>
            <w:tcW w:w="660" w:type="pct"/>
            <w:tcBorders>
              <w:top w:val="single" w:sz="2" w:space="0" w:color="auto"/>
              <w:left w:val="single" w:sz="2" w:space="0" w:color="auto"/>
              <w:bottom w:val="single" w:sz="2" w:space="0" w:color="auto"/>
              <w:right w:val="single" w:sz="2" w:space="0" w:color="auto"/>
            </w:tcBorders>
          </w:tcPr>
          <w:p w:rsidR="001C58D0" w:rsidRPr="00576E4F" w:rsidRDefault="001C58D0" w:rsidP="001C58D0">
            <w:pPr>
              <w:tabs>
                <w:tab w:val="left" w:pos="7371"/>
              </w:tabs>
              <w:jc w:val="center"/>
              <w:rPr>
                <w:rFonts w:ascii="Times New Roman" w:eastAsia="Times New Roman" w:hAnsi="Times New Roman"/>
                <w:sz w:val="24"/>
                <w:szCs w:val="28"/>
              </w:rPr>
            </w:pPr>
            <w:r w:rsidRPr="00576E4F">
              <w:rPr>
                <w:rFonts w:ascii="Times New Roman" w:eastAsia="Times New Roman" w:hAnsi="Times New Roman"/>
                <w:sz w:val="24"/>
                <w:szCs w:val="28"/>
              </w:rPr>
              <w:t>–</w:t>
            </w:r>
          </w:p>
        </w:tc>
      </w:tr>
      <w:tr w:rsidR="001C58D0" w:rsidRPr="00B90AA2" w:rsidTr="00F75890">
        <w:trPr>
          <w:jc w:val="center"/>
        </w:trPr>
        <w:tc>
          <w:tcPr>
            <w:tcW w:w="666" w:type="pct"/>
            <w:tcBorders>
              <w:top w:val="single" w:sz="2" w:space="0" w:color="auto"/>
              <w:left w:val="single" w:sz="2" w:space="0" w:color="auto"/>
              <w:bottom w:val="single" w:sz="2" w:space="0" w:color="auto"/>
              <w:right w:val="single" w:sz="2" w:space="0" w:color="auto"/>
            </w:tcBorders>
            <w:hideMark/>
          </w:tcPr>
          <w:p w:rsidR="001C58D0" w:rsidRPr="005754A2" w:rsidRDefault="001C58D0" w:rsidP="001C58D0">
            <w:pPr>
              <w:spacing w:after="0" w:line="240" w:lineRule="auto"/>
              <w:jc w:val="center"/>
              <w:rPr>
                <w:rFonts w:ascii="Times New Roman" w:eastAsia="Times New Roman" w:hAnsi="Times New Roman" w:cs="Times New Roman"/>
                <w:sz w:val="24"/>
                <w:szCs w:val="24"/>
              </w:rPr>
            </w:pPr>
            <w:r w:rsidRPr="005754A2">
              <w:rPr>
                <w:rFonts w:ascii="Times New Roman" w:eastAsia="Times New Roman" w:hAnsi="Times New Roman" w:cs="Times New Roman"/>
                <w:sz w:val="24"/>
                <w:szCs w:val="24"/>
              </w:rPr>
              <w:t>5</w:t>
            </w:r>
          </w:p>
        </w:tc>
        <w:tc>
          <w:tcPr>
            <w:tcW w:w="3012" w:type="pct"/>
            <w:tcBorders>
              <w:top w:val="single" w:sz="2" w:space="0" w:color="auto"/>
              <w:left w:val="single" w:sz="2" w:space="0" w:color="auto"/>
              <w:bottom w:val="single" w:sz="2" w:space="0" w:color="auto"/>
              <w:right w:val="single" w:sz="2" w:space="0" w:color="auto"/>
            </w:tcBorders>
            <w:hideMark/>
          </w:tcPr>
          <w:p w:rsidR="001C58D0" w:rsidRPr="005754A2" w:rsidRDefault="001C58D0" w:rsidP="001C58D0">
            <w:pPr>
              <w:spacing w:after="0" w:line="240" w:lineRule="auto"/>
              <w:jc w:val="both"/>
              <w:rPr>
                <w:rFonts w:ascii="Times New Roman" w:eastAsia="Times New Roman" w:hAnsi="Times New Roman" w:cs="Times New Roman"/>
                <w:sz w:val="24"/>
                <w:szCs w:val="24"/>
              </w:rPr>
            </w:pPr>
            <w:r w:rsidRPr="005754A2">
              <w:rPr>
                <w:rFonts w:ascii="Times New Roman" w:eastAsia="Times New Roman" w:hAnsi="Times New Roman" w:cs="Times New Roman"/>
                <w:sz w:val="24"/>
                <w:szCs w:val="24"/>
              </w:rPr>
              <w:t>Витрати на отримання адміністративних послуг (дозволів, ліцензій, сертифікатів, атестатів, погоджень, висновків, проведення незалежних/обов’язкових експертиз, сертифікації, атестації тощо) та інших послуг (проведення наукових, інших експертиз, страхування тощо), гривень</w:t>
            </w:r>
          </w:p>
        </w:tc>
        <w:tc>
          <w:tcPr>
            <w:tcW w:w="662" w:type="pct"/>
            <w:tcBorders>
              <w:top w:val="single" w:sz="2" w:space="0" w:color="auto"/>
              <w:left w:val="single" w:sz="2" w:space="0" w:color="auto"/>
              <w:bottom w:val="single" w:sz="2" w:space="0" w:color="auto"/>
              <w:right w:val="single" w:sz="2" w:space="0" w:color="auto"/>
            </w:tcBorders>
          </w:tcPr>
          <w:p w:rsidR="001C58D0" w:rsidRPr="00576E4F" w:rsidRDefault="001C58D0" w:rsidP="001C58D0">
            <w:pPr>
              <w:tabs>
                <w:tab w:val="left" w:pos="7371"/>
              </w:tabs>
              <w:jc w:val="center"/>
              <w:rPr>
                <w:rFonts w:ascii="Times New Roman" w:eastAsia="Times New Roman" w:hAnsi="Times New Roman"/>
                <w:sz w:val="24"/>
                <w:szCs w:val="28"/>
              </w:rPr>
            </w:pPr>
            <w:r w:rsidRPr="00576E4F">
              <w:rPr>
                <w:rFonts w:ascii="Times New Roman" w:eastAsia="Times New Roman" w:hAnsi="Times New Roman"/>
                <w:sz w:val="24"/>
                <w:szCs w:val="28"/>
              </w:rPr>
              <w:t>–</w:t>
            </w:r>
          </w:p>
        </w:tc>
        <w:tc>
          <w:tcPr>
            <w:tcW w:w="660" w:type="pct"/>
            <w:tcBorders>
              <w:top w:val="single" w:sz="2" w:space="0" w:color="auto"/>
              <w:left w:val="single" w:sz="2" w:space="0" w:color="auto"/>
              <w:bottom w:val="single" w:sz="2" w:space="0" w:color="auto"/>
              <w:right w:val="single" w:sz="2" w:space="0" w:color="auto"/>
            </w:tcBorders>
          </w:tcPr>
          <w:p w:rsidR="001C58D0" w:rsidRPr="00576E4F" w:rsidRDefault="001C58D0" w:rsidP="001C58D0">
            <w:pPr>
              <w:tabs>
                <w:tab w:val="left" w:pos="7371"/>
              </w:tabs>
              <w:jc w:val="center"/>
              <w:rPr>
                <w:rFonts w:ascii="Times New Roman" w:eastAsia="Times New Roman" w:hAnsi="Times New Roman"/>
                <w:sz w:val="24"/>
                <w:szCs w:val="28"/>
              </w:rPr>
            </w:pPr>
            <w:r w:rsidRPr="00576E4F">
              <w:rPr>
                <w:rFonts w:ascii="Times New Roman" w:eastAsia="Times New Roman" w:hAnsi="Times New Roman"/>
                <w:sz w:val="24"/>
                <w:szCs w:val="28"/>
              </w:rPr>
              <w:t>–</w:t>
            </w:r>
          </w:p>
        </w:tc>
      </w:tr>
      <w:tr w:rsidR="001C58D0" w:rsidRPr="00B90AA2" w:rsidTr="00F75890">
        <w:trPr>
          <w:jc w:val="center"/>
        </w:trPr>
        <w:tc>
          <w:tcPr>
            <w:tcW w:w="666" w:type="pct"/>
            <w:tcBorders>
              <w:top w:val="single" w:sz="2" w:space="0" w:color="auto"/>
              <w:left w:val="single" w:sz="2" w:space="0" w:color="auto"/>
              <w:bottom w:val="single" w:sz="2" w:space="0" w:color="auto"/>
              <w:right w:val="single" w:sz="2" w:space="0" w:color="auto"/>
            </w:tcBorders>
            <w:hideMark/>
          </w:tcPr>
          <w:p w:rsidR="001C58D0" w:rsidRPr="005754A2" w:rsidRDefault="001C58D0" w:rsidP="001C58D0">
            <w:pPr>
              <w:spacing w:after="0" w:line="240" w:lineRule="auto"/>
              <w:jc w:val="center"/>
              <w:rPr>
                <w:rFonts w:ascii="Times New Roman" w:eastAsia="Times New Roman" w:hAnsi="Times New Roman" w:cs="Times New Roman"/>
                <w:sz w:val="24"/>
                <w:szCs w:val="24"/>
              </w:rPr>
            </w:pPr>
            <w:r w:rsidRPr="005754A2">
              <w:rPr>
                <w:rFonts w:ascii="Times New Roman" w:eastAsia="Times New Roman" w:hAnsi="Times New Roman" w:cs="Times New Roman"/>
                <w:sz w:val="24"/>
                <w:szCs w:val="24"/>
              </w:rPr>
              <w:t>6</w:t>
            </w:r>
          </w:p>
        </w:tc>
        <w:tc>
          <w:tcPr>
            <w:tcW w:w="3012" w:type="pct"/>
            <w:tcBorders>
              <w:top w:val="single" w:sz="2" w:space="0" w:color="auto"/>
              <w:left w:val="single" w:sz="2" w:space="0" w:color="auto"/>
              <w:bottom w:val="single" w:sz="2" w:space="0" w:color="auto"/>
              <w:right w:val="single" w:sz="2" w:space="0" w:color="auto"/>
            </w:tcBorders>
            <w:hideMark/>
          </w:tcPr>
          <w:p w:rsidR="001C58D0" w:rsidRPr="005754A2" w:rsidRDefault="001C58D0" w:rsidP="001C58D0">
            <w:pPr>
              <w:spacing w:after="0" w:line="240" w:lineRule="auto"/>
              <w:jc w:val="both"/>
              <w:rPr>
                <w:rFonts w:ascii="Times New Roman" w:eastAsia="Times New Roman" w:hAnsi="Times New Roman" w:cs="Times New Roman"/>
                <w:sz w:val="24"/>
                <w:szCs w:val="24"/>
              </w:rPr>
            </w:pPr>
            <w:r w:rsidRPr="005754A2">
              <w:rPr>
                <w:rFonts w:ascii="Times New Roman" w:eastAsia="Times New Roman" w:hAnsi="Times New Roman" w:cs="Times New Roman"/>
                <w:sz w:val="24"/>
                <w:szCs w:val="24"/>
              </w:rPr>
              <w:t>Витрати на оборотні активи (матеріали, канцелярські товари тощо), гривень</w:t>
            </w:r>
          </w:p>
        </w:tc>
        <w:tc>
          <w:tcPr>
            <w:tcW w:w="662" w:type="pct"/>
            <w:tcBorders>
              <w:top w:val="single" w:sz="2" w:space="0" w:color="auto"/>
              <w:left w:val="single" w:sz="2" w:space="0" w:color="auto"/>
              <w:bottom w:val="single" w:sz="2" w:space="0" w:color="auto"/>
              <w:right w:val="single" w:sz="2" w:space="0" w:color="auto"/>
            </w:tcBorders>
          </w:tcPr>
          <w:p w:rsidR="001C58D0" w:rsidRPr="00576E4F" w:rsidRDefault="001C58D0" w:rsidP="001C58D0">
            <w:pPr>
              <w:tabs>
                <w:tab w:val="left" w:pos="7371"/>
              </w:tabs>
              <w:jc w:val="center"/>
              <w:rPr>
                <w:rFonts w:ascii="Times New Roman" w:eastAsia="Times New Roman" w:hAnsi="Times New Roman"/>
                <w:sz w:val="24"/>
                <w:szCs w:val="28"/>
              </w:rPr>
            </w:pPr>
            <w:r w:rsidRPr="00576E4F">
              <w:rPr>
                <w:rFonts w:ascii="Times New Roman" w:eastAsia="Times New Roman" w:hAnsi="Times New Roman"/>
                <w:sz w:val="24"/>
                <w:szCs w:val="28"/>
              </w:rPr>
              <w:t>–</w:t>
            </w:r>
          </w:p>
        </w:tc>
        <w:tc>
          <w:tcPr>
            <w:tcW w:w="660" w:type="pct"/>
            <w:tcBorders>
              <w:top w:val="single" w:sz="2" w:space="0" w:color="auto"/>
              <w:left w:val="single" w:sz="2" w:space="0" w:color="auto"/>
              <w:bottom w:val="single" w:sz="2" w:space="0" w:color="auto"/>
              <w:right w:val="single" w:sz="2" w:space="0" w:color="auto"/>
            </w:tcBorders>
          </w:tcPr>
          <w:p w:rsidR="001C58D0" w:rsidRPr="00576E4F" w:rsidRDefault="001C58D0" w:rsidP="001C58D0">
            <w:pPr>
              <w:tabs>
                <w:tab w:val="left" w:pos="7371"/>
              </w:tabs>
              <w:jc w:val="center"/>
              <w:rPr>
                <w:rFonts w:ascii="Times New Roman" w:eastAsia="Times New Roman" w:hAnsi="Times New Roman"/>
                <w:sz w:val="24"/>
                <w:szCs w:val="28"/>
              </w:rPr>
            </w:pPr>
            <w:r w:rsidRPr="00576E4F">
              <w:rPr>
                <w:rFonts w:ascii="Times New Roman" w:eastAsia="Times New Roman" w:hAnsi="Times New Roman"/>
                <w:sz w:val="24"/>
                <w:szCs w:val="28"/>
              </w:rPr>
              <w:t>–</w:t>
            </w:r>
          </w:p>
        </w:tc>
      </w:tr>
      <w:tr w:rsidR="001C58D0" w:rsidRPr="00B90AA2" w:rsidTr="00F75890">
        <w:trPr>
          <w:jc w:val="center"/>
        </w:trPr>
        <w:tc>
          <w:tcPr>
            <w:tcW w:w="666" w:type="pct"/>
            <w:tcBorders>
              <w:top w:val="single" w:sz="2" w:space="0" w:color="auto"/>
              <w:left w:val="single" w:sz="2" w:space="0" w:color="auto"/>
              <w:bottom w:val="single" w:sz="2" w:space="0" w:color="auto"/>
              <w:right w:val="single" w:sz="2" w:space="0" w:color="auto"/>
            </w:tcBorders>
            <w:hideMark/>
          </w:tcPr>
          <w:p w:rsidR="001C58D0" w:rsidRPr="005754A2" w:rsidRDefault="001C58D0" w:rsidP="001C58D0">
            <w:pPr>
              <w:spacing w:after="0" w:line="240" w:lineRule="auto"/>
              <w:jc w:val="center"/>
              <w:rPr>
                <w:rFonts w:ascii="Times New Roman" w:eastAsia="Times New Roman" w:hAnsi="Times New Roman" w:cs="Times New Roman"/>
                <w:sz w:val="24"/>
                <w:szCs w:val="24"/>
              </w:rPr>
            </w:pPr>
            <w:r w:rsidRPr="005754A2">
              <w:rPr>
                <w:rFonts w:ascii="Times New Roman" w:eastAsia="Times New Roman" w:hAnsi="Times New Roman" w:cs="Times New Roman"/>
                <w:sz w:val="24"/>
                <w:szCs w:val="24"/>
              </w:rPr>
              <w:t>7</w:t>
            </w:r>
          </w:p>
        </w:tc>
        <w:tc>
          <w:tcPr>
            <w:tcW w:w="3012" w:type="pct"/>
            <w:tcBorders>
              <w:top w:val="single" w:sz="2" w:space="0" w:color="auto"/>
              <w:left w:val="single" w:sz="2" w:space="0" w:color="auto"/>
              <w:bottom w:val="single" w:sz="2" w:space="0" w:color="auto"/>
              <w:right w:val="single" w:sz="2" w:space="0" w:color="auto"/>
            </w:tcBorders>
            <w:hideMark/>
          </w:tcPr>
          <w:p w:rsidR="001C58D0" w:rsidRPr="005754A2" w:rsidRDefault="001C58D0" w:rsidP="001C58D0">
            <w:pPr>
              <w:spacing w:after="0" w:line="240" w:lineRule="auto"/>
              <w:jc w:val="both"/>
              <w:rPr>
                <w:rFonts w:ascii="Times New Roman" w:eastAsia="Times New Roman" w:hAnsi="Times New Roman" w:cs="Times New Roman"/>
                <w:sz w:val="24"/>
                <w:szCs w:val="24"/>
              </w:rPr>
            </w:pPr>
            <w:r w:rsidRPr="005754A2">
              <w:rPr>
                <w:rFonts w:ascii="Times New Roman" w:eastAsia="Times New Roman" w:hAnsi="Times New Roman" w:cs="Times New Roman"/>
                <w:sz w:val="24"/>
                <w:szCs w:val="24"/>
              </w:rPr>
              <w:t xml:space="preserve">Витрати, пов’язані із </w:t>
            </w:r>
            <w:proofErr w:type="spellStart"/>
            <w:r w:rsidRPr="005754A2">
              <w:rPr>
                <w:rFonts w:ascii="Times New Roman" w:eastAsia="Times New Roman" w:hAnsi="Times New Roman" w:cs="Times New Roman"/>
                <w:sz w:val="24"/>
                <w:szCs w:val="24"/>
              </w:rPr>
              <w:t>наймом</w:t>
            </w:r>
            <w:proofErr w:type="spellEnd"/>
            <w:r w:rsidRPr="005754A2">
              <w:rPr>
                <w:rFonts w:ascii="Times New Roman" w:eastAsia="Times New Roman" w:hAnsi="Times New Roman" w:cs="Times New Roman"/>
                <w:sz w:val="24"/>
                <w:szCs w:val="24"/>
              </w:rPr>
              <w:t xml:space="preserve"> додаткового персоналу, гривень</w:t>
            </w:r>
          </w:p>
        </w:tc>
        <w:tc>
          <w:tcPr>
            <w:tcW w:w="662" w:type="pct"/>
            <w:tcBorders>
              <w:top w:val="single" w:sz="2" w:space="0" w:color="auto"/>
              <w:left w:val="single" w:sz="2" w:space="0" w:color="auto"/>
              <w:bottom w:val="single" w:sz="2" w:space="0" w:color="auto"/>
              <w:right w:val="single" w:sz="2" w:space="0" w:color="auto"/>
            </w:tcBorders>
          </w:tcPr>
          <w:p w:rsidR="001C58D0" w:rsidRPr="00576E4F" w:rsidRDefault="001C58D0" w:rsidP="001C58D0">
            <w:pPr>
              <w:tabs>
                <w:tab w:val="left" w:pos="7371"/>
              </w:tabs>
              <w:jc w:val="center"/>
              <w:rPr>
                <w:rFonts w:ascii="Times New Roman" w:eastAsia="Times New Roman" w:hAnsi="Times New Roman"/>
                <w:sz w:val="24"/>
                <w:szCs w:val="28"/>
              </w:rPr>
            </w:pPr>
            <w:r w:rsidRPr="00576E4F">
              <w:rPr>
                <w:rFonts w:ascii="Times New Roman" w:eastAsia="Times New Roman" w:hAnsi="Times New Roman"/>
                <w:sz w:val="24"/>
                <w:szCs w:val="28"/>
              </w:rPr>
              <w:t>–</w:t>
            </w:r>
          </w:p>
        </w:tc>
        <w:tc>
          <w:tcPr>
            <w:tcW w:w="660" w:type="pct"/>
            <w:tcBorders>
              <w:top w:val="single" w:sz="2" w:space="0" w:color="auto"/>
              <w:left w:val="single" w:sz="2" w:space="0" w:color="auto"/>
              <w:bottom w:val="single" w:sz="2" w:space="0" w:color="auto"/>
              <w:right w:val="single" w:sz="2" w:space="0" w:color="auto"/>
            </w:tcBorders>
          </w:tcPr>
          <w:p w:rsidR="001C58D0" w:rsidRPr="00576E4F" w:rsidRDefault="001C58D0" w:rsidP="001C58D0">
            <w:pPr>
              <w:tabs>
                <w:tab w:val="left" w:pos="7371"/>
              </w:tabs>
              <w:jc w:val="center"/>
              <w:rPr>
                <w:rFonts w:ascii="Times New Roman" w:eastAsia="Times New Roman" w:hAnsi="Times New Roman"/>
                <w:sz w:val="24"/>
                <w:szCs w:val="28"/>
              </w:rPr>
            </w:pPr>
            <w:r w:rsidRPr="00576E4F">
              <w:rPr>
                <w:rFonts w:ascii="Times New Roman" w:eastAsia="Times New Roman" w:hAnsi="Times New Roman"/>
                <w:sz w:val="24"/>
                <w:szCs w:val="28"/>
              </w:rPr>
              <w:t>–</w:t>
            </w:r>
          </w:p>
        </w:tc>
      </w:tr>
      <w:tr w:rsidR="001C58D0" w:rsidRPr="001C58D0" w:rsidTr="001C58D0">
        <w:trPr>
          <w:trHeight w:val="405"/>
          <w:jc w:val="center"/>
        </w:trPr>
        <w:tc>
          <w:tcPr>
            <w:tcW w:w="666" w:type="pct"/>
            <w:tcBorders>
              <w:top w:val="single" w:sz="2" w:space="0" w:color="auto"/>
              <w:left w:val="single" w:sz="2" w:space="0" w:color="auto"/>
              <w:bottom w:val="single" w:sz="2" w:space="0" w:color="auto"/>
              <w:right w:val="single" w:sz="2" w:space="0" w:color="auto"/>
            </w:tcBorders>
            <w:hideMark/>
          </w:tcPr>
          <w:p w:rsidR="001C58D0" w:rsidRPr="005754A2" w:rsidRDefault="001C58D0" w:rsidP="001C58D0">
            <w:pPr>
              <w:spacing w:after="0" w:line="240" w:lineRule="auto"/>
              <w:jc w:val="center"/>
              <w:rPr>
                <w:rFonts w:ascii="Times New Roman" w:eastAsia="Times New Roman" w:hAnsi="Times New Roman" w:cs="Times New Roman"/>
                <w:sz w:val="24"/>
                <w:szCs w:val="24"/>
              </w:rPr>
            </w:pPr>
            <w:r w:rsidRPr="005754A2">
              <w:rPr>
                <w:rFonts w:ascii="Times New Roman" w:eastAsia="Times New Roman" w:hAnsi="Times New Roman" w:cs="Times New Roman"/>
                <w:sz w:val="24"/>
                <w:szCs w:val="24"/>
              </w:rPr>
              <w:t>8</w:t>
            </w:r>
          </w:p>
        </w:tc>
        <w:tc>
          <w:tcPr>
            <w:tcW w:w="3012" w:type="pct"/>
            <w:tcBorders>
              <w:top w:val="single" w:sz="2" w:space="0" w:color="auto"/>
              <w:left w:val="single" w:sz="2" w:space="0" w:color="auto"/>
              <w:bottom w:val="single" w:sz="2" w:space="0" w:color="auto"/>
              <w:right w:val="single" w:sz="2" w:space="0" w:color="auto"/>
            </w:tcBorders>
            <w:hideMark/>
          </w:tcPr>
          <w:p w:rsidR="001C58D0" w:rsidRPr="005754A2" w:rsidRDefault="001C58D0" w:rsidP="001C58D0">
            <w:pPr>
              <w:spacing w:after="0" w:line="240" w:lineRule="auto"/>
              <w:rPr>
                <w:rFonts w:ascii="Times New Roman" w:eastAsia="Times New Roman" w:hAnsi="Times New Roman" w:cs="Times New Roman"/>
                <w:sz w:val="24"/>
                <w:szCs w:val="24"/>
              </w:rPr>
            </w:pPr>
            <w:r w:rsidRPr="005754A2">
              <w:rPr>
                <w:rFonts w:ascii="Times New Roman" w:eastAsia="Times New Roman" w:hAnsi="Times New Roman" w:cs="Times New Roman"/>
                <w:sz w:val="24"/>
                <w:szCs w:val="24"/>
              </w:rPr>
              <w:t>Інше (уточнити), гривень</w:t>
            </w:r>
          </w:p>
        </w:tc>
        <w:tc>
          <w:tcPr>
            <w:tcW w:w="662" w:type="pct"/>
            <w:tcBorders>
              <w:top w:val="single" w:sz="2" w:space="0" w:color="auto"/>
              <w:left w:val="single" w:sz="2" w:space="0" w:color="auto"/>
              <w:bottom w:val="single" w:sz="2" w:space="0" w:color="auto"/>
              <w:right w:val="single" w:sz="2" w:space="0" w:color="auto"/>
            </w:tcBorders>
          </w:tcPr>
          <w:p w:rsidR="001C58D0" w:rsidRPr="001C58D0" w:rsidRDefault="001C58D0" w:rsidP="001C58D0">
            <w:pPr>
              <w:spacing w:after="0" w:line="240" w:lineRule="auto"/>
              <w:jc w:val="center"/>
              <w:rPr>
                <w:rFonts w:ascii="Times New Roman" w:eastAsia="Times New Roman" w:hAnsi="Times New Roman" w:cs="Times New Roman"/>
                <w:sz w:val="24"/>
                <w:szCs w:val="24"/>
              </w:rPr>
            </w:pPr>
            <w:r w:rsidRPr="001C58D0">
              <w:rPr>
                <w:rFonts w:ascii="Times New Roman" w:eastAsia="Times New Roman" w:hAnsi="Times New Roman" w:cs="Times New Roman"/>
                <w:sz w:val="24"/>
                <w:szCs w:val="24"/>
              </w:rPr>
              <w:t>–</w:t>
            </w:r>
          </w:p>
        </w:tc>
        <w:tc>
          <w:tcPr>
            <w:tcW w:w="660" w:type="pct"/>
            <w:tcBorders>
              <w:top w:val="single" w:sz="2" w:space="0" w:color="auto"/>
              <w:left w:val="single" w:sz="2" w:space="0" w:color="auto"/>
              <w:bottom w:val="single" w:sz="2" w:space="0" w:color="auto"/>
              <w:right w:val="single" w:sz="2" w:space="0" w:color="auto"/>
            </w:tcBorders>
          </w:tcPr>
          <w:p w:rsidR="001C58D0" w:rsidRPr="001C58D0" w:rsidRDefault="001C58D0" w:rsidP="001C58D0">
            <w:pPr>
              <w:spacing w:after="0" w:line="240" w:lineRule="auto"/>
              <w:jc w:val="center"/>
              <w:rPr>
                <w:rFonts w:ascii="Times New Roman" w:eastAsia="Times New Roman" w:hAnsi="Times New Roman" w:cs="Times New Roman"/>
                <w:sz w:val="24"/>
                <w:szCs w:val="24"/>
              </w:rPr>
            </w:pPr>
            <w:r w:rsidRPr="001C58D0">
              <w:rPr>
                <w:rFonts w:ascii="Times New Roman" w:eastAsia="Times New Roman" w:hAnsi="Times New Roman" w:cs="Times New Roman"/>
                <w:sz w:val="24"/>
                <w:szCs w:val="24"/>
              </w:rPr>
              <w:t>–</w:t>
            </w:r>
          </w:p>
        </w:tc>
      </w:tr>
      <w:tr w:rsidR="005754A2" w:rsidRPr="00B90AA2" w:rsidTr="00B90AA2">
        <w:trPr>
          <w:jc w:val="center"/>
        </w:trPr>
        <w:tc>
          <w:tcPr>
            <w:tcW w:w="666" w:type="pct"/>
            <w:tcBorders>
              <w:top w:val="single" w:sz="2" w:space="0" w:color="auto"/>
              <w:left w:val="single" w:sz="2" w:space="0" w:color="auto"/>
              <w:bottom w:val="single" w:sz="2" w:space="0" w:color="auto"/>
              <w:right w:val="single" w:sz="2" w:space="0" w:color="auto"/>
            </w:tcBorders>
          </w:tcPr>
          <w:p w:rsidR="005754A2" w:rsidRPr="005754A2" w:rsidRDefault="005754A2" w:rsidP="00B90AA2">
            <w:pPr>
              <w:spacing w:after="0" w:line="240" w:lineRule="auto"/>
              <w:jc w:val="center"/>
              <w:rPr>
                <w:rFonts w:ascii="Times New Roman" w:eastAsia="Times New Roman" w:hAnsi="Times New Roman" w:cs="Times New Roman"/>
                <w:sz w:val="24"/>
                <w:szCs w:val="24"/>
              </w:rPr>
            </w:pPr>
          </w:p>
        </w:tc>
        <w:tc>
          <w:tcPr>
            <w:tcW w:w="3012" w:type="pct"/>
            <w:tcBorders>
              <w:top w:val="single" w:sz="2" w:space="0" w:color="auto"/>
              <w:left w:val="single" w:sz="2" w:space="0" w:color="auto"/>
              <w:bottom w:val="single" w:sz="2" w:space="0" w:color="auto"/>
              <w:right w:val="single" w:sz="2" w:space="0" w:color="auto"/>
            </w:tcBorders>
          </w:tcPr>
          <w:p w:rsidR="005754A2" w:rsidRPr="005754A2" w:rsidRDefault="005754A2" w:rsidP="001C58D0">
            <w:pPr>
              <w:spacing w:after="0" w:line="240" w:lineRule="auto"/>
              <w:jc w:val="both"/>
              <w:rPr>
                <w:rFonts w:ascii="Times New Roman" w:eastAsia="Times New Roman" w:hAnsi="Times New Roman" w:cs="Times New Roman"/>
                <w:sz w:val="24"/>
                <w:szCs w:val="24"/>
              </w:rPr>
            </w:pPr>
            <w:r w:rsidRPr="005754A2">
              <w:rPr>
                <w:rFonts w:ascii="Times New Roman" w:eastAsia="Times New Roman" w:hAnsi="Times New Roman" w:cs="Times New Roman"/>
                <w:sz w:val="24"/>
                <w:szCs w:val="24"/>
              </w:rPr>
              <w:t xml:space="preserve">Розміщення інформації на сайті, ознайомлення громадськості – 2 год × 1 працівник × </w:t>
            </w:r>
            <w:r w:rsidR="009C17BF">
              <w:rPr>
                <w:rFonts w:ascii="Times New Roman" w:eastAsia="Times New Roman" w:hAnsi="Times New Roman" w:cs="Times New Roman"/>
                <w:sz w:val="24"/>
                <w:szCs w:val="24"/>
              </w:rPr>
              <w:t>48</w:t>
            </w:r>
            <w:r w:rsidR="009C17BF" w:rsidRPr="009C17BF">
              <w:rPr>
                <w:rFonts w:ascii="Times New Roman" w:eastAsia="Times New Roman" w:hAnsi="Times New Roman" w:cs="Times New Roman"/>
                <w:sz w:val="24"/>
                <w:szCs w:val="24"/>
                <w:vertAlign w:val="superscript"/>
              </w:rPr>
              <w:t>*</w:t>
            </w:r>
            <w:r w:rsidRPr="005754A2">
              <w:rPr>
                <w:rFonts w:ascii="Times New Roman" w:eastAsia="Times New Roman" w:hAnsi="Times New Roman" w:cs="Times New Roman"/>
                <w:sz w:val="24"/>
                <w:szCs w:val="24"/>
              </w:rPr>
              <w:t xml:space="preserve"> грн/год = </w:t>
            </w:r>
            <w:r w:rsidR="001C58D0">
              <w:rPr>
                <w:rFonts w:ascii="Times New Roman" w:eastAsia="Times New Roman" w:hAnsi="Times New Roman" w:cs="Times New Roman"/>
                <w:sz w:val="24"/>
                <w:szCs w:val="24"/>
              </w:rPr>
              <w:t>96</w:t>
            </w:r>
            <w:r w:rsidRPr="005754A2">
              <w:rPr>
                <w:rFonts w:ascii="Times New Roman" w:eastAsia="Times New Roman" w:hAnsi="Times New Roman" w:cs="Times New Roman"/>
                <w:sz w:val="24"/>
                <w:szCs w:val="24"/>
              </w:rPr>
              <w:t>,00 грн</w:t>
            </w:r>
          </w:p>
        </w:tc>
        <w:tc>
          <w:tcPr>
            <w:tcW w:w="662" w:type="pct"/>
            <w:tcBorders>
              <w:top w:val="single" w:sz="2" w:space="0" w:color="auto"/>
              <w:left w:val="single" w:sz="2" w:space="0" w:color="auto"/>
              <w:bottom w:val="single" w:sz="2" w:space="0" w:color="auto"/>
              <w:right w:val="single" w:sz="2" w:space="0" w:color="auto"/>
            </w:tcBorders>
          </w:tcPr>
          <w:p w:rsidR="005754A2" w:rsidRPr="005754A2" w:rsidRDefault="009C17BF" w:rsidP="005754A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96</w:t>
            </w:r>
            <w:r w:rsidR="001C58D0">
              <w:rPr>
                <w:rFonts w:ascii="Times New Roman" w:eastAsia="Times New Roman" w:hAnsi="Times New Roman" w:cs="Times New Roman"/>
                <w:sz w:val="24"/>
                <w:szCs w:val="24"/>
              </w:rPr>
              <w:t>,00</w:t>
            </w:r>
          </w:p>
        </w:tc>
        <w:tc>
          <w:tcPr>
            <w:tcW w:w="660" w:type="pct"/>
            <w:tcBorders>
              <w:top w:val="single" w:sz="2" w:space="0" w:color="auto"/>
              <w:left w:val="single" w:sz="2" w:space="0" w:color="auto"/>
              <w:bottom w:val="single" w:sz="2" w:space="0" w:color="auto"/>
              <w:right w:val="single" w:sz="2" w:space="0" w:color="auto"/>
            </w:tcBorders>
          </w:tcPr>
          <w:p w:rsidR="005754A2" w:rsidRPr="005754A2" w:rsidRDefault="001C58D0" w:rsidP="005754A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96,00</w:t>
            </w:r>
          </w:p>
        </w:tc>
      </w:tr>
      <w:tr w:rsidR="00B90AA2" w:rsidRPr="00B90AA2" w:rsidTr="00F75890">
        <w:trPr>
          <w:jc w:val="center"/>
        </w:trPr>
        <w:tc>
          <w:tcPr>
            <w:tcW w:w="666" w:type="pct"/>
            <w:tcBorders>
              <w:top w:val="single" w:sz="2" w:space="0" w:color="auto"/>
              <w:left w:val="single" w:sz="2" w:space="0" w:color="auto"/>
              <w:bottom w:val="single" w:sz="2" w:space="0" w:color="auto"/>
              <w:right w:val="single" w:sz="2" w:space="0" w:color="auto"/>
            </w:tcBorders>
            <w:hideMark/>
          </w:tcPr>
          <w:p w:rsidR="00B90AA2" w:rsidRPr="005754A2" w:rsidRDefault="00B90AA2" w:rsidP="00B90AA2">
            <w:pPr>
              <w:spacing w:after="0" w:line="240" w:lineRule="auto"/>
              <w:jc w:val="center"/>
              <w:rPr>
                <w:rFonts w:ascii="Times New Roman" w:eastAsia="Times New Roman" w:hAnsi="Times New Roman" w:cs="Times New Roman"/>
                <w:sz w:val="24"/>
                <w:szCs w:val="24"/>
              </w:rPr>
            </w:pPr>
            <w:r w:rsidRPr="005754A2">
              <w:rPr>
                <w:rFonts w:ascii="Times New Roman" w:eastAsia="Times New Roman" w:hAnsi="Times New Roman" w:cs="Times New Roman"/>
                <w:sz w:val="24"/>
                <w:szCs w:val="24"/>
              </w:rPr>
              <w:t>9</w:t>
            </w:r>
          </w:p>
        </w:tc>
        <w:tc>
          <w:tcPr>
            <w:tcW w:w="3012" w:type="pct"/>
            <w:tcBorders>
              <w:top w:val="single" w:sz="2" w:space="0" w:color="auto"/>
              <w:left w:val="single" w:sz="2" w:space="0" w:color="auto"/>
              <w:bottom w:val="single" w:sz="2" w:space="0" w:color="auto"/>
              <w:right w:val="single" w:sz="2" w:space="0" w:color="auto"/>
            </w:tcBorders>
            <w:hideMark/>
          </w:tcPr>
          <w:p w:rsidR="00B90AA2" w:rsidRPr="005754A2" w:rsidRDefault="00B90AA2" w:rsidP="001C58D0">
            <w:pPr>
              <w:spacing w:after="0" w:line="240" w:lineRule="auto"/>
              <w:jc w:val="both"/>
              <w:rPr>
                <w:rFonts w:ascii="Times New Roman" w:eastAsia="Times New Roman" w:hAnsi="Times New Roman" w:cs="Times New Roman"/>
                <w:sz w:val="24"/>
                <w:szCs w:val="24"/>
              </w:rPr>
            </w:pPr>
            <w:r w:rsidRPr="005754A2">
              <w:rPr>
                <w:rFonts w:ascii="Times New Roman" w:eastAsia="Times New Roman" w:hAnsi="Times New Roman" w:cs="Times New Roman"/>
                <w:sz w:val="24"/>
                <w:szCs w:val="24"/>
              </w:rPr>
              <w:t>РАЗОМ (сума рядків: 1 + 2 + 3 + 4 + 5 + 6 + 7 + 8), гривень</w:t>
            </w:r>
          </w:p>
        </w:tc>
        <w:tc>
          <w:tcPr>
            <w:tcW w:w="662" w:type="pct"/>
            <w:tcBorders>
              <w:top w:val="single" w:sz="2" w:space="0" w:color="auto"/>
              <w:left w:val="single" w:sz="2" w:space="0" w:color="auto"/>
              <w:bottom w:val="single" w:sz="2" w:space="0" w:color="auto"/>
              <w:right w:val="single" w:sz="2" w:space="0" w:color="auto"/>
            </w:tcBorders>
          </w:tcPr>
          <w:p w:rsidR="00B90AA2" w:rsidRPr="005754A2" w:rsidRDefault="00300B0E" w:rsidP="00300B0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1C58D0">
              <w:rPr>
                <w:rFonts w:ascii="Times New Roman" w:eastAsia="Times New Roman" w:hAnsi="Times New Roman" w:cs="Times New Roman"/>
                <w:sz w:val="24"/>
                <w:szCs w:val="24"/>
              </w:rPr>
              <w:t>9</w:t>
            </w:r>
            <w:r>
              <w:rPr>
                <w:rFonts w:ascii="Times New Roman" w:eastAsia="Times New Roman" w:hAnsi="Times New Roman" w:cs="Times New Roman"/>
                <w:sz w:val="24"/>
                <w:szCs w:val="24"/>
              </w:rPr>
              <w:t>2</w:t>
            </w:r>
            <w:r w:rsidR="001C58D0">
              <w:rPr>
                <w:rFonts w:ascii="Times New Roman" w:eastAsia="Times New Roman" w:hAnsi="Times New Roman" w:cs="Times New Roman"/>
                <w:sz w:val="24"/>
                <w:szCs w:val="24"/>
              </w:rPr>
              <w:t>,00</w:t>
            </w:r>
          </w:p>
        </w:tc>
        <w:tc>
          <w:tcPr>
            <w:tcW w:w="660" w:type="pct"/>
            <w:tcBorders>
              <w:top w:val="single" w:sz="2" w:space="0" w:color="auto"/>
              <w:left w:val="single" w:sz="2" w:space="0" w:color="auto"/>
              <w:bottom w:val="single" w:sz="2" w:space="0" w:color="auto"/>
              <w:right w:val="single" w:sz="2" w:space="0" w:color="auto"/>
            </w:tcBorders>
          </w:tcPr>
          <w:p w:rsidR="00B90AA2" w:rsidRPr="005754A2" w:rsidRDefault="00300B0E" w:rsidP="005754A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576</w:t>
            </w:r>
            <w:r w:rsidR="001C58D0">
              <w:rPr>
                <w:rFonts w:ascii="Times New Roman" w:eastAsia="Times New Roman" w:hAnsi="Times New Roman" w:cs="Times New Roman"/>
                <w:sz w:val="24"/>
                <w:szCs w:val="24"/>
              </w:rPr>
              <w:t>,00</w:t>
            </w:r>
          </w:p>
        </w:tc>
      </w:tr>
      <w:tr w:rsidR="00B90AA2" w:rsidRPr="00B90AA2" w:rsidTr="00F75890">
        <w:trPr>
          <w:jc w:val="center"/>
        </w:trPr>
        <w:tc>
          <w:tcPr>
            <w:tcW w:w="666" w:type="pct"/>
            <w:tcBorders>
              <w:top w:val="single" w:sz="2" w:space="0" w:color="auto"/>
              <w:left w:val="single" w:sz="2" w:space="0" w:color="auto"/>
              <w:bottom w:val="single" w:sz="2" w:space="0" w:color="auto"/>
              <w:right w:val="single" w:sz="2" w:space="0" w:color="auto"/>
            </w:tcBorders>
            <w:hideMark/>
          </w:tcPr>
          <w:p w:rsidR="00B90AA2" w:rsidRPr="005754A2" w:rsidRDefault="00B90AA2" w:rsidP="00B90AA2">
            <w:pPr>
              <w:spacing w:after="0" w:line="240" w:lineRule="auto"/>
              <w:jc w:val="center"/>
              <w:rPr>
                <w:rFonts w:ascii="Times New Roman" w:eastAsia="Times New Roman" w:hAnsi="Times New Roman" w:cs="Times New Roman"/>
                <w:sz w:val="24"/>
                <w:szCs w:val="24"/>
              </w:rPr>
            </w:pPr>
            <w:r w:rsidRPr="005754A2">
              <w:rPr>
                <w:rFonts w:ascii="Times New Roman" w:eastAsia="Times New Roman" w:hAnsi="Times New Roman" w:cs="Times New Roman"/>
                <w:sz w:val="24"/>
                <w:szCs w:val="24"/>
              </w:rPr>
              <w:t>10</w:t>
            </w:r>
          </w:p>
        </w:tc>
        <w:tc>
          <w:tcPr>
            <w:tcW w:w="3012" w:type="pct"/>
            <w:tcBorders>
              <w:top w:val="single" w:sz="2" w:space="0" w:color="auto"/>
              <w:left w:val="single" w:sz="2" w:space="0" w:color="auto"/>
              <w:bottom w:val="single" w:sz="2" w:space="0" w:color="auto"/>
              <w:right w:val="single" w:sz="2" w:space="0" w:color="auto"/>
            </w:tcBorders>
            <w:hideMark/>
          </w:tcPr>
          <w:p w:rsidR="00B90AA2" w:rsidRPr="005754A2" w:rsidRDefault="00B90AA2" w:rsidP="001C58D0">
            <w:pPr>
              <w:spacing w:after="0" w:line="240" w:lineRule="auto"/>
              <w:jc w:val="both"/>
              <w:rPr>
                <w:rFonts w:ascii="Times New Roman" w:eastAsia="Times New Roman" w:hAnsi="Times New Roman" w:cs="Times New Roman"/>
                <w:sz w:val="24"/>
                <w:szCs w:val="24"/>
              </w:rPr>
            </w:pPr>
            <w:r w:rsidRPr="005754A2">
              <w:rPr>
                <w:rFonts w:ascii="Times New Roman" w:eastAsia="Times New Roman" w:hAnsi="Times New Roman" w:cs="Times New Roman"/>
                <w:sz w:val="24"/>
                <w:szCs w:val="24"/>
              </w:rPr>
              <w:t>Кількість суб’єктів господарювання великого та середнього підприємництва, на яких буде поширено регулювання, одиниць</w:t>
            </w:r>
          </w:p>
        </w:tc>
        <w:tc>
          <w:tcPr>
            <w:tcW w:w="662" w:type="pct"/>
            <w:tcBorders>
              <w:top w:val="single" w:sz="2" w:space="0" w:color="auto"/>
              <w:left w:val="single" w:sz="2" w:space="0" w:color="auto"/>
              <w:bottom w:val="single" w:sz="2" w:space="0" w:color="auto"/>
              <w:right w:val="single" w:sz="2" w:space="0" w:color="auto"/>
            </w:tcBorders>
          </w:tcPr>
          <w:p w:rsidR="00B90AA2" w:rsidRPr="005754A2" w:rsidRDefault="001C58D0" w:rsidP="005754A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616</w:t>
            </w:r>
          </w:p>
        </w:tc>
        <w:tc>
          <w:tcPr>
            <w:tcW w:w="660" w:type="pct"/>
            <w:tcBorders>
              <w:top w:val="single" w:sz="2" w:space="0" w:color="auto"/>
              <w:left w:val="single" w:sz="2" w:space="0" w:color="auto"/>
              <w:bottom w:val="single" w:sz="2" w:space="0" w:color="auto"/>
              <w:right w:val="single" w:sz="2" w:space="0" w:color="auto"/>
            </w:tcBorders>
          </w:tcPr>
          <w:p w:rsidR="00B90AA2" w:rsidRPr="005754A2" w:rsidRDefault="001C58D0" w:rsidP="005754A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616</w:t>
            </w:r>
          </w:p>
        </w:tc>
      </w:tr>
      <w:tr w:rsidR="00B90AA2" w:rsidRPr="00B90AA2" w:rsidTr="00F75890">
        <w:trPr>
          <w:jc w:val="center"/>
        </w:trPr>
        <w:tc>
          <w:tcPr>
            <w:tcW w:w="666" w:type="pct"/>
            <w:tcBorders>
              <w:top w:val="single" w:sz="2" w:space="0" w:color="auto"/>
              <w:left w:val="single" w:sz="2" w:space="0" w:color="auto"/>
              <w:bottom w:val="single" w:sz="2" w:space="0" w:color="auto"/>
              <w:right w:val="single" w:sz="2" w:space="0" w:color="auto"/>
            </w:tcBorders>
            <w:hideMark/>
          </w:tcPr>
          <w:p w:rsidR="00B90AA2" w:rsidRPr="005754A2" w:rsidRDefault="00B90AA2" w:rsidP="00B90AA2">
            <w:pPr>
              <w:spacing w:after="0" w:line="240" w:lineRule="auto"/>
              <w:jc w:val="center"/>
              <w:rPr>
                <w:rFonts w:ascii="Times New Roman" w:eastAsia="Times New Roman" w:hAnsi="Times New Roman" w:cs="Times New Roman"/>
                <w:sz w:val="24"/>
                <w:szCs w:val="24"/>
              </w:rPr>
            </w:pPr>
            <w:r w:rsidRPr="005754A2">
              <w:rPr>
                <w:rFonts w:ascii="Times New Roman" w:eastAsia="Times New Roman" w:hAnsi="Times New Roman" w:cs="Times New Roman"/>
                <w:sz w:val="24"/>
                <w:szCs w:val="24"/>
              </w:rPr>
              <w:t>11</w:t>
            </w:r>
          </w:p>
        </w:tc>
        <w:tc>
          <w:tcPr>
            <w:tcW w:w="3012" w:type="pct"/>
            <w:tcBorders>
              <w:top w:val="single" w:sz="2" w:space="0" w:color="auto"/>
              <w:left w:val="single" w:sz="2" w:space="0" w:color="auto"/>
              <w:bottom w:val="single" w:sz="2" w:space="0" w:color="auto"/>
              <w:right w:val="single" w:sz="2" w:space="0" w:color="auto"/>
            </w:tcBorders>
            <w:hideMark/>
          </w:tcPr>
          <w:p w:rsidR="00B90AA2" w:rsidRPr="005754A2" w:rsidRDefault="00B90AA2" w:rsidP="001C58D0">
            <w:pPr>
              <w:spacing w:after="0" w:line="240" w:lineRule="auto"/>
              <w:jc w:val="both"/>
              <w:rPr>
                <w:rFonts w:ascii="Times New Roman" w:eastAsia="Times New Roman" w:hAnsi="Times New Roman" w:cs="Times New Roman"/>
                <w:sz w:val="24"/>
                <w:szCs w:val="24"/>
              </w:rPr>
            </w:pPr>
            <w:r w:rsidRPr="005754A2">
              <w:rPr>
                <w:rFonts w:ascii="Times New Roman" w:eastAsia="Times New Roman" w:hAnsi="Times New Roman" w:cs="Times New Roman"/>
                <w:sz w:val="24"/>
                <w:szCs w:val="24"/>
              </w:rPr>
              <w:t>Сумарні витрати суб’єктів господарювання великого та середнього підприємництва, на виконання регулювання (вартість регулювання) (рядок 9 х рядок 10), гривень</w:t>
            </w:r>
          </w:p>
        </w:tc>
        <w:tc>
          <w:tcPr>
            <w:tcW w:w="662" w:type="pct"/>
            <w:tcBorders>
              <w:top w:val="single" w:sz="2" w:space="0" w:color="auto"/>
              <w:left w:val="single" w:sz="2" w:space="0" w:color="auto"/>
              <w:bottom w:val="single" w:sz="2" w:space="0" w:color="auto"/>
              <w:right w:val="single" w:sz="2" w:space="0" w:color="auto"/>
            </w:tcBorders>
          </w:tcPr>
          <w:p w:rsidR="00B90AA2" w:rsidRPr="005754A2" w:rsidRDefault="00300B0E" w:rsidP="005754A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118 272</w:t>
            </w:r>
            <w:r w:rsidR="001C58D0">
              <w:rPr>
                <w:rFonts w:ascii="Times New Roman" w:eastAsia="Times New Roman" w:hAnsi="Times New Roman" w:cs="Times New Roman"/>
                <w:sz w:val="24"/>
                <w:szCs w:val="24"/>
              </w:rPr>
              <w:t>,00</w:t>
            </w:r>
          </w:p>
        </w:tc>
        <w:tc>
          <w:tcPr>
            <w:tcW w:w="660" w:type="pct"/>
            <w:tcBorders>
              <w:top w:val="single" w:sz="2" w:space="0" w:color="auto"/>
              <w:left w:val="single" w:sz="2" w:space="0" w:color="auto"/>
              <w:bottom w:val="single" w:sz="2" w:space="0" w:color="auto"/>
              <w:right w:val="single" w:sz="2" w:space="0" w:color="auto"/>
            </w:tcBorders>
          </w:tcPr>
          <w:p w:rsidR="00B90AA2" w:rsidRPr="005754A2" w:rsidRDefault="00300B0E" w:rsidP="00300B0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354 816</w:t>
            </w:r>
            <w:r w:rsidR="001C58D0">
              <w:rPr>
                <w:rFonts w:ascii="Times New Roman" w:eastAsia="Times New Roman" w:hAnsi="Times New Roman" w:cs="Times New Roman"/>
                <w:sz w:val="24"/>
                <w:szCs w:val="24"/>
              </w:rPr>
              <w:t>,00</w:t>
            </w:r>
          </w:p>
        </w:tc>
      </w:tr>
    </w:tbl>
    <w:p w:rsidR="005754A2" w:rsidRPr="009C17BF" w:rsidRDefault="009C17BF" w:rsidP="009C17BF">
      <w:pPr>
        <w:spacing w:after="0" w:line="240" w:lineRule="auto"/>
        <w:ind w:left="450" w:right="450"/>
        <w:jc w:val="both"/>
        <w:rPr>
          <w:rFonts w:ascii="Times New Roman" w:eastAsia="Times New Roman" w:hAnsi="Times New Roman" w:cs="Times New Roman"/>
          <w:sz w:val="20"/>
          <w:szCs w:val="20"/>
        </w:rPr>
      </w:pPr>
      <w:bookmarkStart w:id="4" w:name="n179"/>
      <w:bookmarkEnd w:id="4"/>
      <w:r w:rsidRPr="009C17BF">
        <w:rPr>
          <w:rFonts w:ascii="Times New Roman" w:eastAsia="Times New Roman" w:hAnsi="Times New Roman" w:cs="Times New Roman"/>
          <w:sz w:val="20"/>
          <w:szCs w:val="20"/>
        </w:rPr>
        <w:t>* Мінімальна заробітна плата визначається Законом про Державний бюджет на відповідний рік. Так, статтею 8 Закону України «Про Державний бюджет України на 2025 рік» з 1 січня 2025 року встановлено мінімальну заробітну плату у погодинному розмірі – 48 гривень.</w:t>
      </w:r>
    </w:p>
    <w:p w:rsidR="009C17BF" w:rsidRDefault="009C17BF" w:rsidP="00B90AA2">
      <w:pPr>
        <w:spacing w:after="0" w:line="240" w:lineRule="auto"/>
        <w:ind w:left="450" w:right="450"/>
        <w:jc w:val="center"/>
        <w:rPr>
          <w:rFonts w:ascii="Times New Roman" w:eastAsia="Times New Roman" w:hAnsi="Times New Roman" w:cs="Times New Roman"/>
          <w:sz w:val="28"/>
          <w:szCs w:val="24"/>
        </w:rPr>
      </w:pPr>
    </w:p>
    <w:p w:rsidR="00B90AA2" w:rsidRDefault="00B90AA2" w:rsidP="00B90AA2">
      <w:pPr>
        <w:spacing w:after="0" w:line="240" w:lineRule="auto"/>
        <w:ind w:left="450" w:right="450"/>
        <w:jc w:val="center"/>
        <w:rPr>
          <w:rFonts w:ascii="Times New Roman" w:eastAsia="Times New Roman" w:hAnsi="Times New Roman" w:cs="Times New Roman"/>
          <w:sz w:val="28"/>
          <w:szCs w:val="24"/>
        </w:rPr>
      </w:pPr>
      <w:r w:rsidRPr="005754A2">
        <w:rPr>
          <w:rFonts w:ascii="Times New Roman" w:eastAsia="Times New Roman" w:hAnsi="Times New Roman" w:cs="Times New Roman"/>
          <w:sz w:val="28"/>
          <w:szCs w:val="24"/>
        </w:rPr>
        <w:t>Розрахунок відповідних витрат на одного суб’єкта господарювання</w:t>
      </w:r>
    </w:p>
    <w:p w:rsidR="005754A2" w:rsidRPr="005754A2" w:rsidRDefault="005754A2" w:rsidP="00B90AA2">
      <w:pPr>
        <w:spacing w:after="0" w:line="240" w:lineRule="auto"/>
        <w:ind w:left="450" w:right="450"/>
        <w:jc w:val="center"/>
        <w:rPr>
          <w:rFonts w:ascii="Times New Roman" w:eastAsia="Times New Roman" w:hAnsi="Times New Roman" w:cs="Times New Roman"/>
          <w:sz w:val="28"/>
          <w:szCs w:val="24"/>
        </w:rPr>
      </w:pPr>
    </w:p>
    <w:tbl>
      <w:tblPr>
        <w:tblW w:w="5000" w:type="pct"/>
        <w:tblCellMar>
          <w:top w:w="15" w:type="dxa"/>
          <w:left w:w="15" w:type="dxa"/>
          <w:bottom w:w="15" w:type="dxa"/>
          <w:right w:w="15" w:type="dxa"/>
        </w:tblCellMar>
        <w:tblLook w:val="04A0" w:firstRow="1" w:lastRow="0" w:firstColumn="1" w:lastColumn="0" w:noHBand="0" w:noVBand="1"/>
      </w:tblPr>
      <w:tblGrid>
        <w:gridCol w:w="4253"/>
        <w:gridCol w:w="1843"/>
        <w:gridCol w:w="1870"/>
        <w:gridCol w:w="1671"/>
      </w:tblGrid>
      <w:tr w:rsidR="00B90AA2" w:rsidRPr="00B90AA2" w:rsidTr="005754A2">
        <w:tc>
          <w:tcPr>
            <w:tcW w:w="2207" w:type="pct"/>
            <w:tcBorders>
              <w:top w:val="single" w:sz="6" w:space="0" w:color="000000"/>
              <w:left w:val="nil"/>
              <w:bottom w:val="single" w:sz="6" w:space="0" w:color="000000"/>
              <w:right w:val="single" w:sz="6" w:space="0" w:color="000000"/>
            </w:tcBorders>
            <w:hideMark/>
          </w:tcPr>
          <w:p w:rsidR="00B90AA2" w:rsidRPr="00B90AA2" w:rsidRDefault="00B90AA2" w:rsidP="00B90AA2">
            <w:pPr>
              <w:spacing w:after="0" w:line="240" w:lineRule="auto"/>
              <w:jc w:val="center"/>
              <w:rPr>
                <w:rFonts w:ascii="Times New Roman" w:eastAsia="Times New Roman" w:hAnsi="Times New Roman" w:cs="Times New Roman"/>
                <w:sz w:val="24"/>
                <w:szCs w:val="24"/>
              </w:rPr>
            </w:pPr>
            <w:bookmarkStart w:id="5" w:name="n180"/>
            <w:bookmarkEnd w:id="5"/>
            <w:r w:rsidRPr="00B90AA2">
              <w:rPr>
                <w:rFonts w:ascii="Times New Roman" w:eastAsia="Times New Roman" w:hAnsi="Times New Roman" w:cs="Times New Roman"/>
                <w:sz w:val="24"/>
                <w:szCs w:val="24"/>
              </w:rPr>
              <w:t>Вид витрат</w:t>
            </w:r>
          </w:p>
        </w:tc>
        <w:tc>
          <w:tcPr>
            <w:tcW w:w="956" w:type="pct"/>
            <w:tcBorders>
              <w:top w:val="single" w:sz="6" w:space="0" w:color="000000"/>
              <w:left w:val="single" w:sz="6" w:space="0" w:color="000000"/>
              <w:bottom w:val="single" w:sz="6" w:space="0" w:color="000000"/>
              <w:right w:val="single" w:sz="6" w:space="0" w:color="000000"/>
            </w:tcBorders>
            <w:hideMark/>
          </w:tcPr>
          <w:p w:rsidR="00B90AA2" w:rsidRPr="00B90AA2" w:rsidRDefault="00B90AA2" w:rsidP="00B90AA2">
            <w:pPr>
              <w:spacing w:after="0" w:line="240" w:lineRule="auto"/>
              <w:jc w:val="center"/>
              <w:rPr>
                <w:rFonts w:ascii="Times New Roman" w:eastAsia="Times New Roman" w:hAnsi="Times New Roman" w:cs="Times New Roman"/>
                <w:sz w:val="24"/>
                <w:szCs w:val="24"/>
              </w:rPr>
            </w:pPr>
            <w:r w:rsidRPr="00B90AA2">
              <w:rPr>
                <w:rFonts w:ascii="Times New Roman" w:eastAsia="Times New Roman" w:hAnsi="Times New Roman" w:cs="Times New Roman"/>
                <w:sz w:val="24"/>
                <w:szCs w:val="24"/>
              </w:rPr>
              <w:t>У перший рік</w:t>
            </w:r>
          </w:p>
        </w:tc>
        <w:tc>
          <w:tcPr>
            <w:tcW w:w="970" w:type="pct"/>
            <w:tcBorders>
              <w:top w:val="single" w:sz="6" w:space="0" w:color="000000"/>
              <w:left w:val="single" w:sz="6" w:space="0" w:color="000000"/>
              <w:bottom w:val="single" w:sz="6" w:space="0" w:color="000000"/>
              <w:right w:val="single" w:sz="6" w:space="0" w:color="000000"/>
            </w:tcBorders>
            <w:hideMark/>
          </w:tcPr>
          <w:p w:rsidR="00B90AA2" w:rsidRPr="00B90AA2" w:rsidRDefault="00B90AA2" w:rsidP="00B90AA2">
            <w:pPr>
              <w:spacing w:after="0" w:line="240" w:lineRule="auto"/>
              <w:jc w:val="center"/>
              <w:rPr>
                <w:rFonts w:ascii="Times New Roman" w:eastAsia="Times New Roman" w:hAnsi="Times New Roman" w:cs="Times New Roman"/>
                <w:sz w:val="24"/>
                <w:szCs w:val="24"/>
              </w:rPr>
            </w:pPr>
            <w:r w:rsidRPr="00B90AA2">
              <w:rPr>
                <w:rFonts w:ascii="Times New Roman" w:eastAsia="Times New Roman" w:hAnsi="Times New Roman" w:cs="Times New Roman"/>
                <w:sz w:val="24"/>
                <w:szCs w:val="24"/>
              </w:rPr>
              <w:t>Періодичні (за рік)</w:t>
            </w:r>
          </w:p>
        </w:tc>
        <w:tc>
          <w:tcPr>
            <w:tcW w:w="867" w:type="pct"/>
            <w:tcBorders>
              <w:top w:val="single" w:sz="6" w:space="0" w:color="000000"/>
              <w:left w:val="single" w:sz="6" w:space="0" w:color="000000"/>
              <w:bottom w:val="single" w:sz="6" w:space="0" w:color="000000"/>
              <w:right w:val="nil"/>
            </w:tcBorders>
            <w:hideMark/>
          </w:tcPr>
          <w:p w:rsidR="00B90AA2" w:rsidRPr="00B90AA2" w:rsidRDefault="00B90AA2" w:rsidP="00B90AA2">
            <w:pPr>
              <w:spacing w:after="0" w:line="240" w:lineRule="auto"/>
              <w:jc w:val="center"/>
              <w:rPr>
                <w:rFonts w:ascii="Times New Roman" w:eastAsia="Times New Roman" w:hAnsi="Times New Roman" w:cs="Times New Roman"/>
                <w:sz w:val="24"/>
                <w:szCs w:val="24"/>
              </w:rPr>
            </w:pPr>
            <w:r w:rsidRPr="00B90AA2">
              <w:rPr>
                <w:rFonts w:ascii="Times New Roman" w:eastAsia="Times New Roman" w:hAnsi="Times New Roman" w:cs="Times New Roman"/>
                <w:sz w:val="24"/>
                <w:szCs w:val="24"/>
              </w:rPr>
              <w:t>Витрати за п’ять років</w:t>
            </w:r>
          </w:p>
        </w:tc>
      </w:tr>
      <w:tr w:rsidR="00B90AA2" w:rsidRPr="00B90AA2" w:rsidTr="005754A2">
        <w:tc>
          <w:tcPr>
            <w:tcW w:w="2207" w:type="pct"/>
            <w:tcBorders>
              <w:top w:val="single" w:sz="6" w:space="0" w:color="000000"/>
              <w:left w:val="single" w:sz="2" w:space="0" w:color="auto"/>
              <w:bottom w:val="single" w:sz="2" w:space="0" w:color="auto"/>
              <w:right w:val="single" w:sz="2" w:space="0" w:color="auto"/>
            </w:tcBorders>
            <w:hideMark/>
          </w:tcPr>
          <w:p w:rsidR="00B90AA2" w:rsidRPr="00B90AA2" w:rsidRDefault="00B90AA2" w:rsidP="00B90AA2">
            <w:pPr>
              <w:spacing w:after="0" w:line="240" w:lineRule="auto"/>
              <w:rPr>
                <w:rFonts w:ascii="Times New Roman" w:eastAsia="Times New Roman" w:hAnsi="Times New Roman" w:cs="Times New Roman"/>
                <w:sz w:val="24"/>
                <w:szCs w:val="24"/>
              </w:rPr>
            </w:pPr>
            <w:r w:rsidRPr="00B90AA2">
              <w:rPr>
                <w:rFonts w:ascii="Times New Roman" w:eastAsia="Times New Roman" w:hAnsi="Times New Roman" w:cs="Times New Roman"/>
                <w:sz w:val="24"/>
                <w:szCs w:val="24"/>
              </w:rPr>
              <w:t>Витрати на придбання основних фондів, обладнання та приладів, сервісне обслуговування, навчання/підвищення кваліфікації персоналу тощо</w:t>
            </w:r>
          </w:p>
        </w:tc>
        <w:tc>
          <w:tcPr>
            <w:tcW w:w="956" w:type="pct"/>
            <w:tcBorders>
              <w:top w:val="single" w:sz="6" w:space="0" w:color="000000"/>
              <w:left w:val="single" w:sz="2" w:space="0" w:color="auto"/>
              <w:bottom w:val="single" w:sz="2" w:space="0" w:color="auto"/>
              <w:right w:val="single" w:sz="2" w:space="0" w:color="auto"/>
            </w:tcBorders>
            <w:hideMark/>
          </w:tcPr>
          <w:p w:rsidR="00B90AA2" w:rsidRPr="00B90AA2" w:rsidRDefault="005754A2" w:rsidP="00B90AA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970" w:type="pct"/>
            <w:tcBorders>
              <w:top w:val="single" w:sz="6" w:space="0" w:color="000000"/>
              <w:left w:val="single" w:sz="2" w:space="0" w:color="auto"/>
              <w:bottom w:val="single" w:sz="2" w:space="0" w:color="auto"/>
              <w:right w:val="single" w:sz="2" w:space="0" w:color="auto"/>
            </w:tcBorders>
            <w:hideMark/>
          </w:tcPr>
          <w:p w:rsidR="00B90AA2" w:rsidRPr="00B90AA2" w:rsidRDefault="005754A2" w:rsidP="00B90AA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867" w:type="pct"/>
            <w:tcBorders>
              <w:top w:val="single" w:sz="6" w:space="0" w:color="000000"/>
              <w:left w:val="single" w:sz="2" w:space="0" w:color="auto"/>
              <w:bottom w:val="single" w:sz="2" w:space="0" w:color="auto"/>
              <w:right w:val="single" w:sz="2" w:space="0" w:color="auto"/>
            </w:tcBorders>
            <w:hideMark/>
          </w:tcPr>
          <w:p w:rsidR="00B90AA2" w:rsidRPr="00B90AA2" w:rsidRDefault="005754A2" w:rsidP="00B90AA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r>
    </w:tbl>
    <w:p w:rsidR="001C58D0" w:rsidRDefault="001C58D0"/>
    <w:tbl>
      <w:tblPr>
        <w:tblW w:w="5000" w:type="pct"/>
        <w:tblCellMar>
          <w:top w:w="15" w:type="dxa"/>
          <w:left w:w="15" w:type="dxa"/>
          <w:bottom w:w="15" w:type="dxa"/>
          <w:right w:w="15" w:type="dxa"/>
        </w:tblCellMar>
        <w:tblLook w:val="04A0" w:firstRow="1" w:lastRow="0" w:firstColumn="1" w:lastColumn="0" w:noHBand="0" w:noVBand="1"/>
      </w:tblPr>
      <w:tblGrid>
        <w:gridCol w:w="4254"/>
        <w:gridCol w:w="3616"/>
        <w:gridCol w:w="1767"/>
      </w:tblGrid>
      <w:tr w:rsidR="00B90AA2" w:rsidRPr="00B90AA2" w:rsidTr="005754A2">
        <w:tc>
          <w:tcPr>
            <w:tcW w:w="2207" w:type="pct"/>
            <w:tcBorders>
              <w:top w:val="single" w:sz="6" w:space="0" w:color="000000"/>
              <w:left w:val="nil"/>
              <w:bottom w:val="single" w:sz="6" w:space="0" w:color="000000"/>
              <w:right w:val="single" w:sz="6" w:space="0" w:color="000000"/>
            </w:tcBorders>
            <w:hideMark/>
          </w:tcPr>
          <w:p w:rsidR="00B90AA2" w:rsidRPr="00B90AA2" w:rsidRDefault="00B90AA2" w:rsidP="00B90AA2">
            <w:pPr>
              <w:spacing w:after="0" w:line="240" w:lineRule="auto"/>
              <w:jc w:val="center"/>
              <w:rPr>
                <w:rFonts w:ascii="Times New Roman" w:eastAsia="Times New Roman" w:hAnsi="Times New Roman" w:cs="Times New Roman"/>
                <w:sz w:val="24"/>
                <w:szCs w:val="24"/>
              </w:rPr>
            </w:pPr>
            <w:bookmarkStart w:id="6" w:name="n181"/>
            <w:bookmarkEnd w:id="6"/>
            <w:r w:rsidRPr="00B90AA2">
              <w:rPr>
                <w:rFonts w:ascii="Times New Roman" w:eastAsia="Times New Roman" w:hAnsi="Times New Roman" w:cs="Times New Roman"/>
                <w:sz w:val="24"/>
                <w:szCs w:val="24"/>
              </w:rPr>
              <w:t>Вид витрат</w:t>
            </w:r>
          </w:p>
        </w:tc>
        <w:tc>
          <w:tcPr>
            <w:tcW w:w="1876" w:type="pct"/>
            <w:tcBorders>
              <w:top w:val="single" w:sz="6" w:space="0" w:color="000000"/>
              <w:left w:val="single" w:sz="6" w:space="0" w:color="000000"/>
              <w:bottom w:val="single" w:sz="6" w:space="0" w:color="000000"/>
              <w:right w:val="single" w:sz="6" w:space="0" w:color="000000"/>
            </w:tcBorders>
            <w:hideMark/>
          </w:tcPr>
          <w:p w:rsidR="00B90AA2" w:rsidRPr="00B90AA2" w:rsidRDefault="00B90AA2" w:rsidP="00B90AA2">
            <w:pPr>
              <w:spacing w:after="0" w:line="240" w:lineRule="auto"/>
              <w:jc w:val="center"/>
              <w:rPr>
                <w:rFonts w:ascii="Times New Roman" w:eastAsia="Times New Roman" w:hAnsi="Times New Roman" w:cs="Times New Roman"/>
                <w:sz w:val="24"/>
                <w:szCs w:val="24"/>
              </w:rPr>
            </w:pPr>
            <w:r w:rsidRPr="00B90AA2">
              <w:rPr>
                <w:rFonts w:ascii="Times New Roman" w:eastAsia="Times New Roman" w:hAnsi="Times New Roman" w:cs="Times New Roman"/>
                <w:sz w:val="24"/>
                <w:szCs w:val="24"/>
              </w:rPr>
              <w:t>Витрати на сплату податків та зборів (змінених/нововведених) (за рік)</w:t>
            </w:r>
          </w:p>
        </w:tc>
        <w:tc>
          <w:tcPr>
            <w:tcW w:w="917" w:type="pct"/>
            <w:tcBorders>
              <w:top w:val="single" w:sz="6" w:space="0" w:color="000000"/>
              <w:left w:val="single" w:sz="6" w:space="0" w:color="000000"/>
              <w:bottom w:val="single" w:sz="6" w:space="0" w:color="000000"/>
              <w:right w:val="nil"/>
            </w:tcBorders>
            <w:hideMark/>
          </w:tcPr>
          <w:p w:rsidR="00B90AA2" w:rsidRPr="00B90AA2" w:rsidRDefault="00B90AA2" w:rsidP="00B90AA2">
            <w:pPr>
              <w:spacing w:after="0" w:line="240" w:lineRule="auto"/>
              <w:jc w:val="center"/>
              <w:rPr>
                <w:rFonts w:ascii="Times New Roman" w:eastAsia="Times New Roman" w:hAnsi="Times New Roman" w:cs="Times New Roman"/>
                <w:sz w:val="24"/>
                <w:szCs w:val="24"/>
              </w:rPr>
            </w:pPr>
            <w:r w:rsidRPr="00B90AA2">
              <w:rPr>
                <w:rFonts w:ascii="Times New Roman" w:eastAsia="Times New Roman" w:hAnsi="Times New Roman" w:cs="Times New Roman"/>
                <w:sz w:val="24"/>
                <w:szCs w:val="24"/>
              </w:rPr>
              <w:t>Витрати за п’ять років</w:t>
            </w:r>
          </w:p>
        </w:tc>
      </w:tr>
      <w:tr w:rsidR="00B90AA2" w:rsidRPr="00B90AA2" w:rsidTr="005754A2">
        <w:tc>
          <w:tcPr>
            <w:tcW w:w="2207" w:type="pct"/>
            <w:tcBorders>
              <w:top w:val="single" w:sz="6" w:space="0" w:color="000000"/>
              <w:left w:val="single" w:sz="2" w:space="0" w:color="auto"/>
              <w:bottom w:val="single" w:sz="2" w:space="0" w:color="auto"/>
              <w:right w:val="single" w:sz="2" w:space="0" w:color="auto"/>
            </w:tcBorders>
            <w:hideMark/>
          </w:tcPr>
          <w:p w:rsidR="00B90AA2" w:rsidRPr="00B90AA2" w:rsidRDefault="00B90AA2" w:rsidP="00B90AA2">
            <w:pPr>
              <w:spacing w:after="0" w:line="240" w:lineRule="auto"/>
              <w:rPr>
                <w:rFonts w:ascii="Times New Roman" w:eastAsia="Times New Roman" w:hAnsi="Times New Roman" w:cs="Times New Roman"/>
                <w:sz w:val="24"/>
                <w:szCs w:val="24"/>
              </w:rPr>
            </w:pPr>
            <w:r w:rsidRPr="00B90AA2">
              <w:rPr>
                <w:rFonts w:ascii="Times New Roman" w:eastAsia="Times New Roman" w:hAnsi="Times New Roman" w:cs="Times New Roman"/>
                <w:sz w:val="24"/>
                <w:szCs w:val="24"/>
              </w:rPr>
              <w:t>Податки та збори (зміна розміру податків/зборів, виникнення необхідності у сплаті податків/зборів)</w:t>
            </w:r>
          </w:p>
        </w:tc>
        <w:tc>
          <w:tcPr>
            <w:tcW w:w="1876" w:type="pct"/>
            <w:tcBorders>
              <w:top w:val="single" w:sz="6" w:space="0" w:color="000000"/>
              <w:left w:val="single" w:sz="2" w:space="0" w:color="auto"/>
              <w:bottom w:val="single" w:sz="2" w:space="0" w:color="auto"/>
              <w:right w:val="single" w:sz="2" w:space="0" w:color="auto"/>
            </w:tcBorders>
            <w:hideMark/>
          </w:tcPr>
          <w:p w:rsidR="00B90AA2" w:rsidRPr="00B90AA2" w:rsidRDefault="005754A2" w:rsidP="00B90AA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917" w:type="pct"/>
            <w:tcBorders>
              <w:top w:val="single" w:sz="6" w:space="0" w:color="000000"/>
              <w:left w:val="single" w:sz="2" w:space="0" w:color="auto"/>
              <w:bottom w:val="single" w:sz="2" w:space="0" w:color="auto"/>
              <w:right w:val="single" w:sz="2" w:space="0" w:color="auto"/>
            </w:tcBorders>
            <w:hideMark/>
          </w:tcPr>
          <w:p w:rsidR="00B90AA2" w:rsidRPr="00B90AA2" w:rsidRDefault="005754A2" w:rsidP="00B90AA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r>
    </w:tbl>
    <w:p w:rsidR="00B90AA2" w:rsidRPr="00B90AA2" w:rsidRDefault="00B90AA2" w:rsidP="00B90AA2">
      <w:pPr>
        <w:spacing w:after="0" w:line="240" w:lineRule="auto"/>
        <w:rPr>
          <w:rFonts w:ascii="Times New Roman" w:eastAsia="Times New Roman" w:hAnsi="Times New Roman" w:cs="Times New Roman"/>
          <w:vanish/>
          <w:sz w:val="24"/>
          <w:szCs w:val="24"/>
        </w:rPr>
      </w:pPr>
      <w:bookmarkStart w:id="7" w:name="n182"/>
      <w:bookmarkEnd w:id="7"/>
    </w:p>
    <w:tbl>
      <w:tblPr>
        <w:tblW w:w="5000" w:type="pct"/>
        <w:tblCellMar>
          <w:top w:w="15" w:type="dxa"/>
          <w:left w:w="15" w:type="dxa"/>
          <w:bottom w:w="15" w:type="dxa"/>
          <w:right w:w="15" w:type="dxa"/>
        </w:tblCellMar>
        <w:tblLook w:val="04A0" w:firstRow="1" w:lastRow="0" w:firstColumn="1" w:lastColumn="0" w:noHBand="0" w:noVBand="1"/>
      </w:tblPr>
      <w:tblGrid>
        <w:gridCol w:w="2952"/>
        <w:gridCol w:w="1770"/>
        <w:gridCol w:w="1770"/>
        <w:gridCol w:w="1671"/>
        <w:gridCol w:w="1474"/>
      </w:tblGrid>
      <w:tr w:rsidR="00B90AA2" w:rsidRPr="00B90AA2" w:rsidTr="00B90AA2">
        <w:tc>
          <w:tcPr>
            <w:tcW w:w="1500" w:type="pct"/>
            <w:tcBorders>
              <w:top w:val="single" w:sz="6" w:space="0" w:color="000000"/>
              <w:left w:val="nil"/>
              <w:bottom w:val="single" w:sz="6" w:space="0" w:color="000000"/>
              <w:right w:val="single" w:sz="6" w:space="0" w:color="000000"/>
            </w:tcBorders>
            <w:hideMark/>
          </w:tcPr>
          <w:p w:rsidR="00B90AA2" w:rsidRPr="00B90AA2" w:rsidRDefault="00B90AA2" w:rsidP="00B90AA2">
            <w:pPr>
              <w:spacing w:after="0" w:line="240" w:lineRule="auto"/>
              <w:jc w:val="center"/>
              <w:rPr>
                <w:rFonts w:ascii="Times New Roman" w:eastAsia="Times New Roman" w:hAnsi="Times New Roman" w:cs="Times New Roman"/>
                <w:sz w:val="24"/>
                <w:szCs w:val="24"/>
              </w:rPr>
            </w:pPr>
            <w:r w:rsidRPr="00B90AA2">
              <w:rPr>
                <w:rFonts w:ascii="Times New Roman" w:eastAsia="Times New Roman" w:hAnsi="Times New Roman" w:cs="Times New Roman"/>
                <w:sz w:val="24"/>
                <w:szCs w:val="24"/>
              </w:rPr>
              <w:t>Вид витрат</w:t>
            </w:r>
          </w:p>
        </w:tc>
        <w:tc>
          <w:tcPr>
            <w:tcW w:w="900" w:type="pct"/>
            <w:tcBorders>
              <w:top w:val="single" w:sz="6" w:space="0" w:color="000000"/>
              <w:left w:val="single" w:sz="6" w:space="0" w:color="000000"/>
              <w:bottom w:val="single" w:sz="6" w:space="0" w:color="000000"/>
              <w:right w:val="single" w:sz="6" w:space="0" w:color="000000"/>
            </w:tcBorders>
            <w:hideMark/>
          </w:tcPr>
          <w:p w:rsidR="00B90AA2" w:rsidRPr="00B90AA2" w:rsidRDefault="00605CA0" w:rsidP="00B90AA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Витрати</w:t>
            </w:r>
            <w:r w:rsidR="00B90AA2" w:rsidRPr="00B90AA2">
              <w:rPr>
                <w:rFonts w:ascii="Times New Roman" w:eastAsia="Times New Roman" w:hAnsi="Times New Roman" w:cs="Times New Roman"/>
                <w:sz w:val="24"/>
                <w:szCs w:val="24"/>
              </w:rPr>
              <w:t xml:space="preserve"> на ведення обліку, підготовку та подання звітності (за рік)</w:t>
            </w:r>
          </w:p>
        </w:tc>
        <w:tc>
          <w:tcPr>
            <w:tcW w:w="900" w:type="pct"/>
            <w:tcBorders>
              <w:top w:val="single" w:sz="6" w:space="0" w:color="000000"/>
              <w:left w:val="single" w:sz="6" w:space="0" w:color="000000"/>
              <w:bottom w:val="single" w:sz="6" w:space="0" w:color="000000"/>
              <w:right w:val="single" w:sz="6" w:space="0" w:color="000000"/>
            </w:tcBorders>
            <w:hideMark/>
          </w:tcPr>
          <w:p w:rsidR="00B90AA2" w:rsidRPr="00B90AA2" w:rsidRDefault="00B90AA2" w:rsidP="00B90AA2">
            <w:pPr>
              <w:spacing w:after="0" w:line="240" w:lineRule="auto"/>
              <w:jc w:val="center"/>
              <w:rPr>
                <w:rFonts w:ascii="Times New Roman" w:eastAsia="Times New Roman" w:hAnsi="Times New Roman" w:cs="Times New Roman"/>
                <w:sz w:val="24"/>
                <w:szCs w:val="24"/>
              </w:rPr>
            </w:pPr>
            <w:r w:rsidRPr="00B90AA2">
              <w:rPr>
                <w:rFonts w:ascii="Times New Roman" w:eastAsia="Times New Roman" w:hAnsi="Times New Roman" w:cs="Times New Roman"/>
                <w:sz w:val="24"/>
                <w:szCs w:val="24"/>
              </w:rPr>
              <w:t>Витрати на оплату штрафних санкцій за рік</w:t>
            </w:r>
          </w:p>
        </w:tc>
        <w:tc>
          <w:tcPr>
            <w:tcW w:w="850" w:type="pct"/>
            <w:tcBorders>
              <w:top w:val="single" w:sz="6" w:space="0" w:color="000000"/>
              <w:left w:val="single" w:sz="6" w:space="0" w:color="000000"/>
              <w:bottom w:val="single" w:sz="6" w:space="0" w:color="000000"/>
              <w:right w:val="single" w:sz="6" w:space="0" w:color="000000"/>
            </w:tcBorders>
            <w:hideMark/>
          </w:tcPr>
          <w:p w:rsidR="00B90AA2" w:rsidRPr="00B90AA2" w:rsidRDefault="00B90AA2" w:rsidP="00B90AA2">
            <w:pPr>
              <w:spacing w:after="0" w:line="240" w:lineRule="auto"/>
              <w:jc w:val="center"/>
              <w:rPr>
                <w:rFonts w:ascii="Times New Roman" w:eastAsia="Times New Roman" w:hAnsi="Times New Roman" w:cs="Times New Roman"/>
                <w:sz w:val="24"/>
                <w:szCs w:val="24"/>
              </w:rPr>
            </w:pPr>
            <w:r w:rsidRPr="00B90AA2">
              <w:rPr>
                <w:rFonts w:ascii="Times New Roman" w:eastAsia="Times New Roman" w:hAnsi="Times New Roman" w:cs="Times New Roman"/>
                <w:sz w:val="24"/>
                <w:szCs w:val="24"/>
              </w:rPr>
              <w:t>Разом за рік</w:t>
            </w:r>
          </w:p>
        </w:tc>
        <w:tc>
          <w:tcPr>
            <w:tcW w:w="750" w:type="pct"/>
            <w:tcBorders>
              <w:top w:val="single" w:sz="6" w:space="0" w:color="000000"/>
              <w:left w:val="single" w:sz="6" w:space="0" w:color="000000"/>
              <w:bottom w:val="single" w:sz="6" w:space="0" w:color="000000"/>
              <w:right w:val="nil"/>
            </w:tcBorders>
            <w:hideMark/>
          </w:tcPr>
          <w:p w:rsidR="00B90AA2" w:rsidRPr="00B90AA2" w:rsidRDefault="00B90AA2" w:rsidP="00B90AA2">
            <w:pPr>
              <w:spacing w:after="0" w:line="240" w:lineRule="auto"/>
              <w:jc w:val="center"/>
              <w:rPr>
                <w:rFonts w:ascii="Times New Roman" w:eastAsia="Times New Roman" w:hAnsi="Times New Roman" w:cs="Times New Roman"/>
                <w:sz w:val="24"/>
                <w:szCs w:val="24"/>
              </w:rPr>
            </w:pPr>
            <w:r w:rsidRPr="00B90AA2">
              <w:rPr>
                <w:rFonts w:ascii="Times New Roman" w:eastAsia="Times New Roman" w:hAnsi="Times New Roman" w:cs="Times New Roman"/>
                <w:sz w:val="24"/>
                <w:szCs w:val="24"/>
              </w:rPr>
              <w:t>Витрати за п’ять років</w:t>
            </w:r>
          </w:p>
        </w:tc>
      </w:tr>
      <w:tr w:rsidR="00B90AA2" w:rsidRPr="00B90AA2" w:rsidTr="00B90AA2">
        <w:tc>
          <w:tcPr>
            <w:tcW w:w="1500" w:type="pct"/>
            <w:tcBorders>
              <w:top w:val="single" w:sz="6" w:space="0" w:color="000000"/>
              <w:left w:val="single" w:sz="2" w:space="0" w:color="auto"/>
              <w:bottom w:val="single" w:sz="2" w:space="0" w:color="auto"/>
              <w:right w:val="single" w:sz="2" w:space="0" w:color="auto"/>
            </w:tcBorders>
            <w:hideMark/>
          </w:tcPr>
          <w:p w:rsidR="00B90AA2" w:rsidRPr="00B90AA2" w:rsidRDefault="00B90AA2" w:rsidP="00B90AA2">
            <w:pPr>
              <w:spacing w:after="0" w:line="240" w:lineRule="auto"/>
              <w:rPr>
                <w:rFonts w:ascii="Times New Roman" w:eastAsia="Times New Roman" w:hAnsi="Times New Roman" w:cs="Times New Roman"/>
                <w:sz w:val="24"/>
                <w:szCs w:val="24"/>
              </w:rPr>
            </w:pPr>
            <w:r w:rsidRPr="00B90AA2">
              <w:rPr>
                <w:rFonts w:ascii="Times New Roman" w:eastAsia="Times New Roman" w:hAnsi="Times New Roman" w:cs="Times New Roman"/>
                <w:sz w:val="24"/>
                <w:szCs w:val="24"/>
              </w:rPr>
              <w:t>Витрати, пов’язані із веденням обліку, підготовкою та поданням звітності державним органам (витрати часу персоналу)</w:t>
            </w:r>
          </w:p>
        </w:tc>
        <w:tc>
          <w:tcPr>
            <w:tcW w:w="900" w:type="pct"/>
            <w:tcBorders>
              <w:top w:val="single" w:sz="6" w:space="0" w:color="000000"/>
              <w:left w:val="single" w:sz="2" w:space="0" w:color="auto"/>
              <w:bottom w:val="single" w:sz="2" w:space="0" w:color="auto"/>
              <w:right w:val="single" w:sz="2" w:space="0" w:color="auto"/>
            </w:tcBorders>
            <w:hideMark/>
          </w:tcPr>
          <w:p w:rsidR="00B90AA2" w:rsidRPr="00B90AA2" w:rsidRDefault="001C58D0" w:rsidP="00B90AA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96,00</w:t>
            </w:r>
          </w:p>
        </w:tc>
        <w:tc>
          <w:tcPr>
            <w:tcW w:w="900" w:type="pct"/>
            <w:tcBorders>
              <w:top w:val="single" w:sz="6" w:space="0" w:color="000000"/>
              <w:left w:val="single" w:sz="2" w:space="0" w:color="auto"/>
              <w:bottom w:val="single" w:sz="2" w:space="0" w:color="auto"/>
              <w:right w:val="single" w:sz="2" w:space="0" w:color="auto"/>
            </w:tcBorders>
            <w:hideMark/>
          </w:tcPr>
          <w:p w:rsidR="00B90AA2" w:rsidRPr="00B90AA2" w:rsidRDefault="00605CA0" w:rsidP="00B90AA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0" w:type="pct"/>
            <w:tcBorders>
              <w:top w:val="single" w:sz="6" w:space="0" w:color="000000"/>
              <w:left w:val="single" w:sz="2" w:space="0" w:color="auto"/>
              <w:bottom w:val="single" w:sz="2" w:space="0" w:color="auto"/>
              <w:right w:val="single" w:sz="2" w:space="0" w:color="auto"/>
            </w:tcBorders>
            <w:hideMark/>
          </w:tcPr>
          <w:p w:rsidR="00B90AA2" w:rsidRPr="00B90AA2" w:rsidRDefault="001C58D0" w:rsidP="00B90AA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96,00</w:t>
            </w:r>
          </w:p>
        </w:tc>
        <w:tc>
          <w:tcPr>
            <w:tcW w:w="750" w:type="pct"/>
            <w:tcBorders>
              <w:top w:val="single" w:sz="6" w:space="0" w:color="000000"/>
              <w:left w:val="single" w:sz="2" w:space="0" w:color="auto"/>
              <w:bottom w:val="single" w:sz="2" w:space="0" w:color="auto"/>
              <w:right w:val="single" w:sz="2" w:space="0" w:color="auto"/>
            </w:tcBorders>
            <w:hideMark/>
          </w:tcPr>
          <w:p w:rsidR="00B90AA2" w:rsidRPr="00B90AA2" w:rsidRDefault="001C58D0" w:rsidP="00B90AA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480,00</w:t>
            </w:r>
          </w:p>
        </w:tc>
      </w:tr>
    </w:tbl>
    <w:p w:rsidR="00B90AA2" w:rsidRPr="00B90AA2" w:rsidRDefault="00B90AA2" w:rsidP="00B90AA2">
      <w:pPr>
        <w:spacing w:after="0" w:line="240" w:lineRule="auto"/>
        <w:jc w:val="both"/>
        <w:rPr>
          <w:rFonts w:ascii="Times New Roman" w:eastAsia="Times New Roman" w:hAnsi="Times New Roman" w:cs="Times New Roman"/>
          <w:sz w:val="24"/>
          <w:szCs w:val="24"/>
        </w:rPr>
      </w:pPr>
      <w:bookmarkStart w:id="8" w:name="n183"/>
      <w:bookmarkEnd w:id="8"/>
    </w:p>
    <w:tbl>
      <w:tblPr>
        <w:tblW w:w="5000" w:type="pct"/>
        <w:tblCellMar>
          <w:top w:w="15" w:type="dxa"/>
          <w:left w:w="15" w:type="dxa"/>
          <w:bottom w:w="15" w:type="dxa"/>
          <w:right w:w="15" w:type="dxa"/>
        </w:tblCellMar>
        <w:tblLook w:val="04A0" w:firstRow="1" w:lastRow="0" w:firstColumn="1" w:lastColumn="0" w:noHBand="0" w:noVBand="1"/>
      </w:tblPr>
      <w:tblGrid>
        <w:gridCol w:w="3050"/>
        <w:gridCol w:w="2360"/>
        <w:gridCol w:w="1671"/>
        <w:gridCol w:w="1278"/>
        <w:gridCol w:w="1278"/>
      </w:tblGrid>
      <w:tr w:rsidR="00B90AA2" w:rsidRPr="00B90AA2" w:rsidTr="00B90AA2">
        <w:tc>
          <w:tcPr>
            <w:tcW w:w="1550" w:type="pct"/>
            <w:tcBorders>
              <w:top w:val="single" w:sz="6" w:space="0" w:color="000000"/>
              <w:left w:val="nil"/>
              <w:bottom w:val="single" w:sz="6" w:space="0" w:color="000000"/>
              <w:right w:val="single" w:sz="6" w:space="0" w:color="000000"/>
            </w:tcBorders>
            <w:hideMark/>
          </w:tcPr>
          <w:p w:rsidR="00B90AA2" w:rsidRPr="00B90AA2" w:rsidRDefault="00B90AA2" w:rsidP="00B90AA2">
            <w:pPr>
              <w:spacing w:after="0" w:line="240" w:lineRule="auto"/>
              <w:jc w:val="center"/>
              <w:rPr>
                <w:rFonts w:ascii="Times New Roman" w:eastAsia="Times New Roman" w:hAnsi="Times New Roman" w:cs="Times New Roman"/>
                <w:sz w:val="24"/>
                <w:szCs w:val="24"/>
              </w:rPr>
            </w:pPr>
            <w:bookmarkStart w:id="9" w:name="n184"/>
            <w:bookmarkEnd w:id="9"/>
            <w:r w:rsidRPr="00B90AA2">
              <w:rPr>
                <w:rFonts w:ascii="Times New Roman" w:eastAsia="Times New Roman" w:hAnsi="Times New Roman" w:cs="Times New Roman"/>
                <w:sz w:val="24"/>
                <w:szCs w:val="24"/>
              </w:rPr>
              <w:t>Вид витрат</w:t>
            </w:r>
          </w:p>
        </w:tc>
        <w:tc>
          <w:tcPr>
            <w:tcW w:w="1200" w:type="pct"/>
            <w:tcBorders>
              <w:top w:val="single" w:sz="6" w:space="0" w:color="000000"/>
              <w:left w:val="single" w:sz="6" w:space="0" w:color="000000"/>
              <w:bottom w:val="single" w:sz="6" w:space="0" w:color="000000"/>
              <w:right w:val="single" w:sz="6" w:space="0" w:color="000000"/>
            </w:tcBorders>
            <w:hideMark/>
          </w:tcPr>
          <w:p w:rsidR="00B90AA2" w:rsidRPr="00B90AA2" w:rsidRDefault="00B90AA2" w:rsidP="00B90AA2">
            <w:pPr>
              <w:spacing w:after="0" w:line="240" w:lineRule="auto"/>
              <w:jc w:val="center"/>
              <w:rPr>
                <w:rFonts w:ascii="Times New Roman" w:eastAsia="Times New Roman" w:hAnsi="Times New Roman" w:cs="Times New Roman"/>
                <w:sz w:val="24"/>
                <w:szCs w:val="24"/>
              </w:rPr>
            </w:pPr>
            <w:r w:rsidRPr="00B90AA2">
              <w:rPr>
                <w:rFonts w:ascii="Times New Roman" w:eastAsia="Times New Roman" w:hAnsi="Times New Roman" w:cs="Times New Roman"/>
                <w:sz w:val="24"/>
                <w:szCs w:val="24"/>
              </w:rPr>
              <w:t>Витрати* на адміністрування заходів державного нагляду (контролю) (за рік)</w:t>
            </w:r>
          </w:p>
        </w:tc>
        <w:tc>
          <w:tcPr>
            <w:tcW w:w="850" w:type="pct"/>
            <w:tcBorders>
              <w:top w:val="single" w:sz="6" w:space="0" w:color="000000"/>
              <w:left w:val="single" w:sz="6" w:space="0" w:color="000000"/>
              <w:bottom w:val="single" w:sz="6" w:space="0" w:color="000000"/>
              <w:right w:val="single" w:sz="6" w:space="0" w:color="000000"/>
            </w:tcBorders>
            <w:hideMark/>
          </w:tcPr>
          <w:p w:rsidR="00B90AA2" w:rsidRPr="00B90AA2" w:rsidRDefault="00B90AA2" w:rsidP="00B90AA2">
            <w:pPr>
              <w:spacing w:after="0" w:line="240" w:lineRule="auto"/>
              <w:jc w:val="center"/>
              <w:rPr>
                <w:rFonts w:ascii="Times New Roman" w:eastAsia="Times New Roman" w:hAnsi="Times New Roman" w:cs="Times New Roman"/>
                <w:sz w:val="24"/>
                <w:szCs w:val="24"/>
              </w:rPr>
            </w:pPr>
            <w:r w:rsidRPr="00B90AA2">
              <w:rPr>
                <w:rFonts w:ascii="Times New Roman" w:eastAsia="Times New Roman" w:hAnsi="Times New Roman" w:cs="Times New Roman"/>
                <w:sz w:val="24"/>
                <w:szCs w:val="24"/>
              </w:rPr>
              <w:t>Витрати на оплату штрафних санкцій та усунення виявлених порушень (за рік)</w:t>
            </w:r>
          </w:p>
        </w:tc>
        <w:tc>
          <w:tcPr>
            <w:tcW w:w="650" w:type="pct"/>
            <w:tcBorders>
              <w:top w:val="single" w:sz="6" w:space="0" w:color="000000"/>
              <w:left w:val="single" w:sz="6" w:space="0" w:color="000000"/>
              <w:bottom w:val="single" w:sz="6" w:space="0" w:color="000000"/>
              <w:right w:val="single" w:sz="6" w:space="0" w:color="000000"/>
            </w:tcBorders>
            <w:hideMark/>
          </w:tcPr>
          <w:p w:rsidR="00B90AA2" w:rsidRPr="00B90AA2" w:rsidRDefault="00B90AA2" w:rsidP="00B90AA2">
            <w:pPr>
              <w:spacing w:after="0" w:line="240" w:lineRule="auto"/>
              <w:jc w:val="center"/>
              <w:rPr>
                <w:rFonts w:ascii="Times New Roman" w:eastAsia="Times New Roman" w:hAnsi="Times New Roman" w:cs="Times New Roman"/>
                <w:sz w:val="24"/>
                <w:szCs w:val="24"/>
              </w:rPr>
            </w:pPr>
            <w:r w:rsidRPr="00B90AA2">
              <w:rPr>
                <w:rFonts w:ascii="Times New Roman" w:eastAsia="Times New Roman" w:hAnsi="Times New Roman" w:cs="Times New Roman"/>
                <w:sz w:val="24"/>
                <w:szCs w:val="24"/>
              </w:rPr>
              <w:t>Разом за рік</w:t>
            </w:r>
          </w:p>
        </w:tc>
        <w:tc>
          <w:tcPr>
            <w:tcW w:w="650" w:type="pct"/>
            <w:tcBorders>
              <w:top w:val="single" w:sz="6" w:space="0" w:color="000000"/>
              <w:left w:val="single" w:sz="6" w:space="0" w:color="000000"/>
              <w:bottom w:val="single" w:sz="6" w:space="0" w:color="000000"/>
              <w:right w:val="nil"/>
            </w:tcBorders>
            <w:hideMark/>
          </w:tcPr>
          <w:p w:rsidR="00B90AA2" w:rsidRPr="00B90AA2" w:rsidRDefault="00B90AA2" w:rsidP="00B90AA2">
            <w:pPr>
              <w:spacing w:after="0" w:line="240" w:lineRule="auto"/>
              <w:jc w:val="center"/>
              <w:rPr>
                <w:rFonts w:ascii="Times New Roman" w:eastAsia="Times New Roman" w:hAnsi="Times New Roman" w:cs="Times New Roman"/>
                <w:sz w:val="24"/>
                <w:szCs w:val="24"/>
              </w:rPr>
            </w:pPr>
            <w:r w:rsidRPr="00B90AA2">
              <w:rPr>
                <w:rFonts w:ascii="Times New Roman" w:eastAsia="Times New Roman" w:hAnsi="Times New Roman" w:cs="Times New Roman"/>
                <w:sz w:val="24"/>
                <w:szCs w:val="24"/>
              </w:rPr>
              <w:t>Витрати за п’ять років</w:t>
            </w:r>
          </w:p>
        </w:tc>
      </w:tr>
      <w:tr w:rsidR="00B90AA2" w:rsidRPr="00B90AA2" w:rsidTr="00B90AA2">
        <w:tc>
          <w:tcPr>
            <w:tcW w:w="1550" w:type="pct"/>
            <w:tcBorders>
              <w:top w:val="single" w:sz="6" w:space="0" w:color="000000"/>
              <w:left w:val="single" w:sz="2" w:space="0" w:color="auto"/>
              <w:bottom w:val="single" w:sz="2" w:space="0" w:color="auto"/>
              <w:right w:val="single" w:sz="2" w:space="0" w:color="auto"/>
            </w:tcBorders>
            <w:hideMark/>
          </w:tcPr>
          <w:p w:rsidR="00B90AA2" w:rsidRPr="00B90AA2" w:rsidRDefault="00B90AA2" w:rsidP="00B90AA2">
            <w:pPr>
              <w:spacing w:after="0" w:line="240" w:lineRule="auto"/>
              <w:rPr>
                <w:rFonts w:ascii="Times New Roman" w:eastAsia="Times New Roman" w:hAnsi="Times New Roman" w:cs="Times New Roman"/>
                <w:sz w:val="24"/>
                <w:szCs w:val="24"/>
              </w:rPr>
            </w:pPr>
            <w:r w:rsidRPr="00B90AA2">
              <w:rPr>
                <w:rFonts w:ascii="Times New Roman" w:eastAsia="Times New Roman" w:hAnsi="Times New Roman" w:cs="Times New Roman"/>
                <w:sz w:val="24"/>
                <w:szCs w:val="24"/>
              </w:rPr>
              <w:t>Витрати, пов’язані з адмініструванням заходів державного нагляду (контролю) (перевірок, штрафних санкцій, виконання рішень/ приписів тощо)</w:t>
            </w:r>
          </w:p>
        </w:tc>
        <w:tc>
          <w:tcPr>
            <w:tcW w:w="1200" w:type="pct"/>
            <w:tcBorders>
              <w:top w:val="single" w:sz="6" w:space="0" w:color="000000"/>
              <w:left w:val="single" w:sz="2" w:space="0" w:color="auto"/>
              <w:bottom w:val="single" w:sz="2" w:space="0" w:color="auto"/>
              <w:right w:val="single" w:sz="2" w:space="0" w:color="auto"/>
            </w:tcBorders>
            <w:hideMark/>
          </w:tcPr>
          <w:p w:rsidR="00B90AA2" w:rsidRPr="00B90AA2" w:rsidRDefault="00605CA0" w:rsidP="00605CA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850" w:type="pct"/>
            <w:tcBorders>
              <w:top w:val="single" w:sz="6" w:space="0" w:color="000000"/>
              <w:left w:val="single" w:sz="2" w:space="0" w:color="auto"/>
              <w:bottom w:val="single" w:sz="2" w:space="0" w:color="auto"/>
              <w:right w:val="single" w:sz="2" w:space="0" w:color="auto"/>
            </w:tcBorders>
            <w:hideMark/>
          </w:tcPr>
          <w:p w:rsidR="00B90AA2" w:rsidRPr="00B90AA2" w:rsidRDefault="00605CA0" w:rsidP="00605CA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650" w:type="pct"/>
            <w:tcBorders>
              <w:top w:val="single" w:sz="6" w:space="0" w:color="000000"/>
              <w:left w:val="single" w:sz="2" w:space="0" w:color="auto"/>
              <w:bottom w:val="single" w:sz="2" w:space="0" w:color="auto"/>
              <w:right w:val="single" w:sz="2" w:space="0" w:color="auto"/>
            </w:tcBorders>
            <w:hideMark/>
          </w:tcPr>
          <w:p w:rsidR="00B90AA2" w:rsidRPr="00B90AA2" w:rsidRDefault="00605CA0" w:rsidP="00605CA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650" w:type="pct"/>
            <w:tcBorders>
              <w:top w:val="single" w:sz="6" w:space="0" w:color="000000"/>
              <w:left w:val="single" w:sz="2" w:space="0" w:color="auto"/>
              <w:bottom w:val="single" w:sz="2" w:space="0" w:color="auto"/>
              <w:right w:val="single" w:sz="2" w:space="0" w:color="auto"/>
            </w:tcBorders>
            <w:hideMark/>
          </w:tcPr>
          <w:p w:rsidR="00B90AA2" w:rsidRPr="00B90AA2" w:rsidRDefault="00605CA0" w:rsidP="00605CA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r>
    </w:tbl>
    <w:p w:rsidR="00B90AA2" w:rsidRDefault="00B90AA2" w:rsidP="00B90AA2">
      <w:pPr>
        <w:spacing w:after="0" w:line="240" w:lineRule="auto"/>
        <w:jc w:val="both"/>
        <w:rPr>
          <w:rFonts w:ascii="Times New Roman" w:eastAsia="Times New Roman" w:hAnsi="Times New Roman" w:cs="Times New Roman"/>
          <w:sz w:val="20"/>
          <w:szCs w:val="20"/>
        </w:rPr>
      </w:pPr>
      <w:bookmarkStart w:id="10" w:name="n185"/>
      <w:bookmarkEnd w:id="10"/>
      <w:r w:rsidRPr="00B90AA2">
        <w:rPr>
          <w:rFonts w:ascii="Times New Roman" w:eastAsia="Times New Roman" w:hAnsi="Times New Roman" w:cs="Times New Roman"/>
          <w:sz w:val="20"/>
          <w:szCs w:val="20"/>
        </w:rPr>
        <w:t>__________</w:t>
      </w:r>
      <w:r w:rsidRPr="00B90AA2">
        <w:rPr>
          <w:rFonts w:ascii="Times New Roman" w:eastAsia="Times New Roman" w:hAnsi="Times New Roman" w:cs="Times New Roman"/>
          <w:sz w:val="24"/>
          <w:szCs w:val="24"/>
        </w:rPr>
        <w:br/>
      </w:r>
      <w:r w:rsidRPr="00B90AA2">
        <w:rPr>
          <w:rFonts w:ascii="Times New Roman" w:eastAsia="Times New Roman" w:hAnsi="Times New Roman" w:cs="Times New Roman"/>
          <w:sz w:val="20"/>
          <w:szCs w:val="20"/>
        </w:rPr>
        <w:t>* Вартість витрат, пов’язаних з адмініструванням заходів державного нагляду (контролю), визначається шляхом множення фактичних витрат часу персоналу на заробітну плату спеціаліста відповідної кваліфікації.</w:t>
      </w:r>
    </w:p>
    <w:p w:rsidR="001C58D0" w:rsidRDefault="001C58D0" w:rsidP="00B90AA2">
      <w:pPr>
        <w:spacing w:after="0" w:line="240" w:lineRule="auto"/>
        <w:jc w:val="both"/>
        <w:rPr>
          <w:rFonts w:ascii="Times New Roman" w:eastAsia="Times New Roman" w:hAnsi="Times New Roman" w:cs="Times New Roman"/>
          <w:sz w:val="24"/>
          <w:szCs w:val="24"/>
        </w:rPr>
      </w:pPr>
    </w:p>
    <w:p w:rsidR="001C58D0" w:rsidRPr="00B90AA2" w:rsidRDefault="001C58D0" w:rsidP="00B90AA2">
      <w:pPr>
        <w:spacing w:after="0" w:line="240" w:lineRule="auto"/>
        <w:jc w:val="both"/>
        <w:rPr>
          <w:rFonts w:ascii="Times New Roman" w:eastAsia="Times New Roman" w:hAnsi="Times New Roman" w:cs="Times New Roman"/>
          <w:sz w:val="24"/>
          <w:szCs w:val="24"/>
        </w:rPr>
      </w:pPr>
    </w:p>
    <w:tbl>
      <w:tblPr>
        <w:tblW w:w="5000" w:type="pct"/>
        <w:tblCellMar>
          <w:top w:w="15" w:type="dxa"/>
          <w:left w:w="15" w:type="dxa"/>
          <w:bottom w:w="15" w:type="dxa"/>
          <w:right w:w="15" w:type="dxa"/>
        </w:tblCellMar>
        <w:tblLook w:val="04A0" w:firstRow="1" w:lastRow="0" w:firstColumn="1" w:lastColumn="0" w:noHBand="0" w:noVBand="1"/>
      </w:tblPr>
      <w:tblGrid>
        <w:gridCol w:w="3050"/>
        <w:gridCol w:w="1770"/>
        <w:gridCol w:w="1966"/>
        <w:gridCol w:w="1671"/>
        <w:gridCol w:w="1180"/>
      </w:tblGrid>
      <w:tr w:rsidR="00B90AA2" w:rsidRPr="00B90AA2" w:rsidTr="001C58D0">
        <w:tc>
          <w:tcPr>
            <w:tcW w:w="1582" w:type="pct"/>
            <w:tcBorders>
              <w:top w:val="single" w:sz="6" w:space="0" w:color="000000"/>
              <w:left w:val="nil"/>
              <w:bottom w:val="single" w:sz="6" w:space="0" w:color="000000"/>
              <w:right w:val="single" w:sz="6" w:space="0" w:color="000000"/>
            </w:tcBorders>
            <w:hideMark/>
          </w:tcPr>
          <w:p w:rsidR="00B90AA2" w:rsidRPr="00B90AA2" w:rsidRDefault="00B90AA2" w:rsidP="00B90AA2">
            <w:pPr>
              <w:spacing w:after="0" w:line="240" w:lineRule="auto"/>
              <w:jc w:val="center"/>
              <w:rPr>
                <w:rFonts w:ascii="Times New Roman" w:eastAsia="Times New Roman" w:hAnsi="Times New Roman" w:cs="Times New Roman"/>
                <w:sz w:val="24"/>
                <w:szCs w:val="24"/>
              </w:rPr>
            </w:pPr>
            <w:bookmarkStart w:id="11" w:name="n186"/>
            <w:bookmarkEnd w:id="11"/>
            <w:r w:rsidRPr="00B90AA2">
              <w:rPr>
                <w:rFonts w:ascii="Times New Roman" w:eastAsia="Times New Roman" w:hAnsi="Times New Roman" w:cs="Times New Roman"/>
                <w:sz w:val="24"/>
                <w:szCs w:val="24"/>
              </w:rPr>
              <w:t>Вид витрат</w:t>
            </w:r>
          </w:p>
        </w:tc>
        <w:tc>
          <w:tcPr>
            <w:tcW w:w="918" w:type="pct"/>
            <w:tcBorders>
              <w:top w:val="single" w:sz="6" w:space="0" w:color="000000"/>
              <w:left w:val="single" w:sz="6" w:space="0" w:color="000000"/>
              <w:bottom w:val="single" w:sz="6" w:space="0" w:color="000000"/>
              <w:right w:val="single" w:sz="6" w:space="0" w:color="000000"/>
            </w:tcBorders>
            <w:hideMark/>
          </w:tcPr>
          <w:p w:rsidR="00B90AA2" w:rsidRPr="00B90AA2" w:rsidRDefault="00B90AA2" w:rsidP="00B90AA2">
            <w:pPr>
              <w:spacing w:after="0" w:line="240" w:lineRule="auto"/>
              <w:jc w:val="center"/>
              <w:rPr>
                <w:rFonts w:ascii="Times New Roman" w:eastAsia="Times New Roman" w:hAnsi="Times New Roman" w:cs="Times New Roman"/>
                <w:sz w:val="24"/>
                <w:szCs w:val="24"/>
              </w:rPr>
            </w:pPr>
            <w:r w:rsidRPr="00B90AA2">
              <w:rPr>
                <w:rFonts w:ascii="Times New Roman" w:eastAsia="Times New Roman" w:hAnsi="Times New Roman" w:cs="Times New Roman"/>
                <w:sz w:val="24"/>
                <w:szCs w:val="24"/>
              </w:rPr>
              <w:t>Витрати на проходження відповідних процедур (витрати часу, витрати на експертизи, тощо)</w:t>
            </w:r>
          </w:p>
        </w:tc>
        <w:tc>
          <w:tcPr>
            <w:tcW w:w="1020" w:type="pct"/>
            <w:tcBorders>
              <w:top w:val="single" w:sz="6" w:space="0" w:color="000000"/>
              <w:left w:val="single" w:sz="6" w:space="0" w:color="000000"/>
              <w:bottom w:val="single" w:sz="6" w:space="0" w:color="000000"/>
              <w:right w:val="single" w:sz="6" w:space="0" w:color="000000"/>
            </w:tcBorders>
            <w:hideMark/>
          </w:tcPr>
          <w:p w:rsidR="00B90AA2" w:rsidRPr="00B90AA2" w:rsidRDefault="00B90AA2" w:rsidP="00B90AA2">
            <w:pPr>
              <w:spacing w:after="0" w:line="240" w:lineRule="auto"/>
              <w:jc w:val="center"/>
              <w:rPr>
                <w:rFonts w:ascii="Times New Roman" w:eastAsia="Times New Roman" w:hAnsi="Times New Roman" w:cs="Times New Roman"/>
                <w:sz w:val="24"/>
                <w:szCs w:val="24"/>
              </w:rPr>
            </w:pPr>
            <w:r w:rsidRPr="00B90AA2">
              <w:rPr>
                <w:rFonts w:ascii="Times New Roman" w:eastAsia="Times New Roman" w:hAnsi="Times New Roman" w:cs="Times New Roman"/>
                <w:sz w:val="24"/>
                <w:szCs w:val="24"/>
              </w:rPr>
              <w:t>Витрати безпосередньо на дозволи, ліцензії, сертифікати, страхові поліси (за рік - стартовий)</w:t>
            </w:r>
          </w:p>
        </w:tc>
        <w:tc>
          <w:tcPr>
            <w:tcW w:w="867" w:type="pct"/>
            <w:tcBorders>
              <w:top w:val="single" w:sz="6" w:space="0" w:color="000000"/>
              <w:left w:val="single" w:sz="6" w:space="0" w:color="000000"/>
              <w:bottom w:val="single" w:sz="6" w:space="0" w:color="000000"/>
              <w:right w:val="single" w:sz="6" w:space="0" w:color="000000"/>
            </w:tcBorders>
            <w:hideMark/>
          </w:tcPr>
          <w:p w:rsidR="00B90AA2" w:rsidRPr="00B90AA2" w:rsidRDefault="00B90AA2" w:rsidP="00B90AA2">
            <w:pPr>
              <w:spacing w:after="0" w:line="240" w:lineRule="auto"/>
              <w:jc w:val="center"/>
              <w:rPr>
                <w:rFonts w:ascii="Times New Roman" w:eastAsia="Times New Roman" w:hAnsi="Times New Roman" w:cs="Times New Roman"/>
                <w:sz w:val="24"/>
                <w:szCs w:val="24"/>
              </w:rPr>
            </w:pPr>
            <w:r w:rsidRPr="00B90AA2">
              <w:rPr>
                <w:rFonts w:ascii="Times New Roman" w:eastAsia="Times New Roman" w:hAnsi="Times New Roman" w:cs="Times New Roman"/>
                <w:sz w:val="24"/>
                <w:szCs w:val="24"/>
              </w:rPr>
              <w:t>Разом за рік (стартовий)</w:t>
            </w:r>
          </w:p>
        </w:tc>
        <w:tc>
          <w:tcPr>
            <w:tcW w:w="612" w:type="pct"/>
            <w:tcBorders>
              <w:top w:val="single" w:sz="6" w:space="0" w:color="000000"/>
              <w:left w:val="single" w:sz="6" w:space="0" w:color="000000"/>
              <w:bottom w:val="single" w:sz="6" w:space="0" w:color="000000"/>
              <w:right w:val="nil"/>
            </w:tcBorders>
            <w:hideMark/>
          </w:tcPr>
          <w:p w:rsidR="00B90AA2" w:rsidRPr="00B90AA2" w:rsidRDefault="00B90AA2" w:rsidP="00B90AA2">
            <w:pPr>
              <w:spacing w:after="0" w:line="240" w:lineRule="auto"/>
              <w:jc w:val="center"/>
              <w:rPr>
                <w:rFonts w:ascii="Times New Roman" w:eastAsia="Times New Roman" w:hAnsi="Times New Roman" w:cs="Times New Roman"/>
                <w:sz w:val="24"/>
                <w:szCs w:val="24"/>
              </w:rPr>
            </w:pPr>
            <w:r w:rsidRPr="00B90AA2">
              <w:rPr>
                <w:rFonts w:ascii="Times New Roman" w:eastAsia="Times New Roman" w:hAnsi="Times New Roman" w:cs="Times New Roman"/>
                <w:sz w:val="24"/>
                <w:szCs w:val="24"/>
              </w:rPr>
              <w:t>Витрати за п’ять років</w:t>
            </w:r>
          </w:p>
        </w:tc>
      </w:tr>
      <w:tr w:rsidR="00B90AA2" w:rsidRPr="00B90AA2" w:rsidTr="001C58D0">
        <w:tc>
          <w:tcPr>
            <w:tcW w:w="1582" w:type="pct"/>
            <w:tcBorders>
              <w:top w:val="single" w:sz="6" w:space="0" w:color="000000"/>
              <w:left w:val="single" w:sz="2" w:space="0" w:color="auto"/>
              <w:bottom w:val="single" w:sz="2" w:space="0" w:color="auto"/>
              <w:right w:val="single" w:sz="2" w:space="0" w:color="auto"/>
            </w:tcBorders>
            <w:hideMark/>
          </w:tcPr>
          <w:p w:rsidR="00B90AA2" w:rsidRPr="00B90AA2" w:rsidRDefault="00B90AA2" w:rsidP="00B90AA2">
            <w:pPr>
              <w:spacing w:after="0" w:line="240" w:lineRule="auto"/>
              <w:rPr>
                <w:rFonts w:ascii="Times New Roman" w:eastAsia="Times New Roman" w:hAnsi="Times New Roman" w:cs="Times New Roman"/>
                <w:sz w:val="24"/>
                <w:szCs w:val="24"/>
              </w:rPr>
            </w:pPr>
            <w:r w:rsidRPr="00B90AA2">
              <w:rPr>
                <w:rFonts w:ascii="Times New Roman" w:eastAsia="Times New Roman" w:hAnsi="Times New Roman" w:cs="Times New Roman"/>
                <w:sz w:val="24"/>
                <w:szCs w:val="24"/>
              </w:rPr>
              <w:t>Витрати на отримання адміністративних послуг (дозволів, ліцензій, сертифікатів, атестатів, погоджень, висновків, проведення незалежних / обов’язкових експертиз, сертифікації, атестації тощо) та інших послуг (проведення наукових, інших експертиз, страхування тощо)</w:t>
            </w:r>
          </w:p>
        </w:tc>
        <w:tc>
          <w:tcPr>
            <w:tcW w:w="918" w:type="pct"/>
            <w:tcBorders>
              <w:top w:val="single" w:sz="6" w:space="0" w:color="000000"/>
              <w:left w:val="single" w:sz="2" w:space="0" w:color="auto"/>
              <w:bottom w:val="single" w:sz="2" w:space="0" w:color="auto"/>
              <w:right w:val="single" w:sz="2" w:space="0" w:color="auto"/>
            </w:tcBorders>
            <w:hideMark/>
          </w:tcPr>
          <w:p w:rsidR="00B90AA2" w:rsidRPr="00B90AA2" w:rsidRDefault="00605CA0" w:rsidP="00605CA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020" w:type="pct"/>
            <w:tcBorders>
              <w:top w:val="single" w:sz="6" w:space="0" w:color="000000"/>
              <w:left w:val="single" w:sz="2" w:space="0" w:color="auto"/>
              <w:bottom w:val="single" w:sz="2" w:space="0" w:color="auto"/>
              <w:right w:val="single" w:sz="2" w:space="0" w:color="auto"/>
            </w:tcBorders>
            <w:hideMark/>
          </w:tcPr>
          <w:p w:rsidR="00B90AA2" w:rsidRPr="00B90AA2" w:rsidRDefault="00605CA0" w:rsidP="00605CA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867" w:type="pct"/>
            <w:tcBorders>
              <w:top w:val="single" w:sz="6" w:space="0" w:color="000000"/>
              <w:left w:val="single" w:sz="2" w:space="0" w:color="auto"/>
              <w:bottom w:val="single" w:sz="2" w:space="0" w:color="auto"/>
              <w:right w:val="single" w:sz="2" w:space="0" w:color="auto"/>
            </w:tcBorders>
            <w:hideMark/>
          </w:tcPr>
          <w:p w:rsidR="00B90AA2" w:rsidRPr="00B90AA2" w:rsidRDefault="00605CA0" w:rsidP="00605CA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612" w:type="pct"/>
            <w:tcBorders>
              <w:top w:val="single" w:sz="6" w:space="0" w:color="000000"/>
              <w:left w:val="single" w:sz="2" w:space="0" w:color="auto"/>
              <w:bottom w:val="single" w:sz="2" w:space="0" w:color="auto"/>
              <w:right w:val="single" w:sz="2" w:space="0" w:color="auto"/>
            </w:tcBorders>
            <w:hideMark/>
          </w:tcPr>
          <w:p w:rsidR="00B90AA2" w:rsidRPr="00B90AA2" w:rsidRDefault="00605CA0" w:rsidP="00605CA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r>
    </w:tbl>
    <w:p w:rsidR="001C58D0" w:rsidRDefault="001C58D0"/>
    <w:tbl>
      <w:tblPr>
        <w:tblW w:w="5000" w:type="pct"/>
        <w:tblCellMar>
          <w:top w:w="15" w:type="dxa"/>
          <w:left w:w="15" w:type="dxa"/>
          <w:bottom w:w="15" w:type="dxa"/>
          <w:right w:w="15" w:type="dxa"/>
        </w:tblCellMar>
        <w:tblLook w:val="04A0" w:firstRow="1" w:lastRow="0" w:firstColumn="1" w:lastColumn="0" w:noHBand="0" w:noVBand="1"/>
      </w:tblPr>
      <w:tblGrid>
        <w:gridCol w:w="3739"/>
        <w:gridCol w:w="1966"/>
        <w:gridCol w:w="2064"/>
        <w:gridCol w:w="1868"/>
      </w:tblGrid>
      <w:tr w:rsidR="00B90AA2" w:rsidRPr="00B90AA2" w:rsidTr="001C58D0">
        <w:tc>
          <w:tcPr>
            <w:tcW w:w="1940" w:type="pct"/>
            <w:tcBorders>
              <w:top w:val="single" w:sz="6" w:space="0" w:color="000000"/>
              <w:left w:val="nil"/>
              <w:bottom w:val="single" w:sz="6" w:space="0" w:color="000000"/>
              <w:right w:val="single" w:sz="6" w:space="0" w:color="000000"/>
            </w:tcBorders>
            <w:hideMark/>
          </w:tcPr>
          <w:p w:rsidR="00B90AA2" w:rsidRPr="00B90AA2" w:rsidRDefault="00B90AA2" w:rsidP="00B90AA2">
            <w:pPr>
              <w:spacing w:after="0" w:line="240" w:lineRule="auto"/>
              <w:jc w:val="center"/>
              <w:rPr>
                <w:rFonts w:ascii="Times New Roman" w:eastAsia="Times New Roman" w:hAnsi="Times New Roman" w:cs="Times New Roman"/>
                <w:sz w:val="24"/>
                <w:szCs w:val="24"/>
              </w:rPr>
            </w:pPr>
            <w:bookmarkStart w:id="12" w:name="n187"/>
            <w:bookmarkEnd w:id="12"/>
            <w:r w:rsidRPr="00B90AA2">
              <w:rPr>
                <w:rFonts w:ascii="Times New Roman" w:eastAsia="Times New Roman" w:hAnsi="Times New Roman" w:cs="Times New Roman"/>
                <w:sz w:val="24"/>
                <w:szCs w:val="24"/>
              </w:rPr>
              <w:t>Вид витрат</w:t>
            </w:r>
          </w:p>
        </w:tc>
        <w:tc>
          <w:tcPr>
            <w:tcW w:w="1020" w:type="pct"/>
            <w:tcBorders>
              <w:top w:val="single" w:sz="6" w:space="0" w:color="000000"/>
              <w:left w:val="single" w:sz="6" w:space="0" w:color="000000"/>
              <w:bottom w:val="single" w:sz="6" w:space="0" w:color="000000"/>
              <w:right w:val="single" w:sz="6" w:space="0" w:color="000000"/>
            </w:tcBorders>
            <w:hideMark/>
          </w:tcPr>
          <w:p w:rsidR="00B90AA2" w:rsidRPr="00B90AA2" w:rsidRDefault="00B90AA2" w:rsidP="00B90AA2">
            <w:pPr>
              <w:spacing w:after="0" w:line="240" w:lineRule="auto"/>
              <w:jc w:val="center"/>
              <w:rPr>
                <w:rFonts w:ascii="Times New Roman" w:eastAsia="Times New Roman" w:hAnsi="Times New Roman" w:cs="Times New Roman"/>
                <w:sz w:val="24"/>
                <w:szCs w:val="24"/>
              </w:rPr>
            </w:pPr>
            <w:r w:rsidRPr="00B90AA2">
              <w:rPr>
                <w:rFonts w:ascii="Times New Roman" w:eastAsia="Times New Roman" w:hAnsi="Times New Roman" w:cs="Times New Roman"/>
                <w:sz w:val="24"/>
                <w:szCs w:val="24"/>
              </w:rPr>
              <w:t>За рік (стартовий)</w:t>
            </w:r>
          </w:p>
        </w:tc>
        <w:tc>
          <w:tcPr>
            <w:tcW w:w="1071" w:type="pct"/>
            <w:tcBorders>
              <w:top w:val="single" w:sz="6" w:space="0" w:color="000000"/>
              <w:left w:val="single" w:sz="6" w:space="0" w:color="000000"/>
              <w:bottom w:val="single" w:sz="6" w:space="0" w:color="000000"/>
              <w:right w:val="single" w:sz="6" w:space="0" w:color="000000"/>
            </w:tcBorders>
            <w:hideMark/>
          </w:tcPr>
          <w:p w:rsidR="00B90AA2" w:rsidRPr="00B90AA2" w:rsidRDefault="00B90AA2" w:rsidP="00B90AA2">
            <w:pPr>
              <w:spacing w:after="0" w:line="240" w:lineRule="auto"/>
              <w:jc w:val="center"/>
              <w:rPr>
                <w:rFonts w:ascii="Times New Roman" w:eastAsia="Times New Roman" w:hAnsi="Times New Roman" w:cs="Times New Roman"/>
                <w:sz w:val="24"/>
                <w:szCs w:val="24"/>
              </w:rPr>
            </w:pPr>
            <w:r w:rsidRPr="00B90AA2">
              <w:rPr>
                <w:rFonts w:ascii="Times New Roman" w:eastAsia="Times New Roman" w:hAnsi="Times New Roman" w:cs="Times New Roman"/>
                <w:sz w:val="24"/>
                <w:szCs w:val="24"/>
              </w:rPr>
              <w:t>Періодичні</w:t>
            </w:r>
            <w:r w:rsidRPr="00B90AA2">
              <w:rPr>
                <w:rFonts w:ascii="Times New Roman" w:eastAsia="Times New Roman" w:hAnsi="Times New Roman" w:cs="Times New Roman"/>
                <w:sz w:val="24"/>
                <w:szCs w:val="24"/>
              </w:rPr>
              <w:br/>
              <w:t>(за наступний рік)</w:t>
            </w:r>
          </w:p>
        </w:tc>
        <w:tc>
          <w:tcPr>
            <w:tcW w:w="969" w:type="pct"/>
            <w:tcBorders>
              <w:top w:val="single" w:sz="6" w:space="0" w:color="000000"/>
              <w:left w:val="single" w:sz="6" w:space="0" w:color="000000"/>
              <w:bottom w:val="single" w:sz="6" w:space="0" w:color="000000"/>
              <w:right w:val="nil"/>
            </w:tcBorders>
            <w:hideMark/>
          </w:tcPr>
          <w:p w:rsidR="00B90AA2" w:rsidRPr="00B90AA2" w:rsidRDefault="00B90AA2" w:rsidP="00B90AA2">
            <w:pPr>
              <w:spacing w:after="0" w:line="240" w:lineRule="auto"/>
              <w:jc w:val="center"/>
              <w:rPr>
                <w:rFonts w:ascii="Times New Roman" w:eastAsia="Times New Roman" w:hAnsi="Times New Roman" w:cs="Times New Roman"/>
                <w:sz w:val="24"/>
                <w:szCs w:val="24"/>
              </w:rPr>
            </w:pPr>
            <w:r w:rsidRPr="00B90AA2">
              <w:rPr>
                <w:rFonts w:ascii="Times New Roman" w:eastAsia="Times New Roman" w:hAnsi="Times New Roman" w:cs="Times New Roman"/>
                <w:sz w:val="24"/>
                <w:szCs w:val="24"/>
              </w:rPr>
              <w:t>Витрати за п’ять років</w:t>
            </w:r>
          </w:p>
        </w:tc>
      </w:tr>
      <w:tr w:rsidR="00B90AA2" w:rsidRPr="00B90AA2" w:rsidTr="001C58D0">
        <w:tc>
          <w:tcPr>
            <w:tcW w:w="1940" w:type="pct"/>
            <w:tcBorders>
              <w:top w:val="single" w:sz="6" w:space="0" w:color="000000"/>
              <w:left w:val="single" w:sz="2" w:space="0" w:color="auto"/>
              <w:bottom w:val="single" w:sz="2" w:space="0" w:color="auto"/>
              <w:right w:val="single" w:sz="2" w:space="0" w:color="auto"/>
            </w:tcBorders>
            <w:hideMark/>
          </w:tcPr>
          <w:p w:rsidR="00B90AA2" w:rsidRPr="00B90AA2" w:rsidRDefault="00B90AA2" w:rsidP="00B90AA2">
            <w:pPr>
              <w:spacing w:after="0" w:line="240" w:lineRule="auto"/>
              <w:rPr>
                <w:rFonts w:ascii="Times New Roman" w:eastAsia="Times New Roman" w:hAnsi="Times New Roman" w:cs="Times New Roman"/>
                <w:sz w:val="24"/>
                <w:szCs w:val="24"/>
              </w:rPr>
            </w:pPr>
            <w:r w:rsidRPr="00B90AA2">
              <w:rPr>
                <w:rFonts w:ascii="Times New Roman" w:eastAsia="Times New Roman" w:hAnsi="Times New Roman" w:cs="Times New Roman"/>
                <w:sz w:val="24"/>
                <w:szCs w:val="24"/>
              </w:rPr>
              <w:t>Витрати на оборотні активи (матеріали, канцелярські товари тощо)</w:t>
            </w:r>
          </w:p>
        </w:tc>
        <w:tc>
          <w:tcPr>
            <w:tcW w:w="1020" w:type="pct"/>
            <w:tcBorders>
              <w:top w:val="single" w:sz="6" w:space="0" w:color="000000"/>
              <w:left w:val="single" w:sz="2" w:space="0" w:color="auto"/>
              <w:bottom w:val="single" w:sz="2" w:space="0" w:color="auto"/>
              <w:right w:val="single" w:sz="2" w:space="0" w:color="auto"/>
            </w:tcBorders>
            <w:hideMark/>
          </w:tcPr>
          <w:p w:rsidR="00B90AA2" w:rsidRPr="00B90AA2" w:rsidRDefault="00605CA0" w:rsidP="00B90AA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071" w:type="pct"/>
            <w:tcBorders>
              <w:top w:val="single" w:sz="6" w:space="0" w:color="000000"/>
              <w:left w:val="single" w:sz="2" w:space="0" w:color="auto"/>
              <w:bottom w:val="single" w:sz="2" w:space="0" w:color="auto"/>
              <w:right w:val="single" w:sz="2" w:space="0" w:color="auto"/>
            </w:tcBorders>
            <w:hideMark/>
          </w:tcPr>
          <w:p w:rsidR="00B90AA2" w:rsidRPr="00B90AA2" w:rsidRDefault="00605CA0" w:rsidP="00B90AA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969" w:type="pct"/>
            <w:tcBorders>
              <w:top w:val="single" w:sz="6" w:space="0" w:color="000000"/>
              <w:left w:val="single" w:sz="2" w:space="0" w:color="auto"/>
              <w:bottom w:val="single" w:sz="2" w:space="0" w:color="auto"/>
              <w:right w:val="single" w:sz="2" w:space="0" w:color="auto"/>
            </w:tcBorders>
            <w:hideMark/>
          </w:tcPr>
          <w:p w:rsidR="00B90AA2" w:rsidRPr="00B90AA2" w:rsidRDefault="00605CA0" w:rsidP="00B90AA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r>
    </w:tbl>
    <w:p w:rsidR="00B90AA2" w:rsidRPr="00B90AA2" w:rsidRDefault="00B90AA2" w:rsidP="00B90AA2">
      <w:pPr>
        <w:spacing w:after="0" w:line="240" w:lineRule="auto"/>
        <w:rPr>
          <w:rFonts w:ascii="Times New Roman" w:eastAsia="Times New Roman" w:hAnsi="Times New Roman" w:cs="Times New Roman"/>
          <w:vanish/>
          <w:sz w:val="24"/>
          <w:szCs w:val="24"/>
        </w:rPr>
      </w:pPr>
      <w:bookmarkStart w:id="13" w:name="n188"/>
      <w:bookmarkEnd w:id="13"/>
    </w:p>
    <w:tbl>
      <w:tblPr>
        <w:tblW w:w="5000" w:type="pct"/>
        <w:tblCellMar>
          <w:top w:w="15" w:type="dxa"/>
          <w:left w:w="15" w:type="dxa"/>
          <w:bottom w:w="15" w:type="dxa"/>
          <w:right w:w="15" w:type="dxa"/>
        </w:tblCellMar>
        <w:tblLook w:val="04A0" w:firstRow="1" w:lastRow="0" w:firstColumn="1" w:lastColumn="0" w:noHBand="0" w:noVBand="1"/>
      </w:tblPr>
      <w:tblGrid>
        <w:gridCol w:w="3836"/>
        <w:gridCol w:w="4032"/>
        <w:gridCol w:w="1769"/>
      </w:tblGrid>
      <w:tr w:rsidR="00B90AA2" w:rsidRPr="00B90AA2" w:rsidTr="00B90AA2">
        <w:tc>
          <w:tcPr>
            <w:tcW w:w="1950" w:type="pct"/>
            <w:tcBorders>
              <w:top w:val="single" w:sz="6" w:space="0" w:color="000000"/>
              <w:left w:val="nil"/>
              <w:bottom w:val="single" w:sz="6" w:space="0" w:color="000000"/>
              <w:right w:val="single" w:sz="6" w:space="0" w:color="000000"/>
            </w:tcBorders>
            <w:hideMark/>
          </w:tcPr>
          <w:p w:rsidR="00B90AA2" w:rsidRPr="00B90AA2" w:rsidRDefault="00B90AA2" w:rsidP="00B90AA2">
            <w:pPr>
              <w:spacing w:after="0" w:line="240" w:lineRule="auto"/>
              <w:jc w:val="center"/>
              <w:rPr>
                <w:rFonts w:ascii="Times New Roman" w:eastAsia="Times New Roman" w:hAnsi="Times New Roman" w:cs="Times New Roman"/>
                <w:sz w:val="24"/>
                <w:szCs w:val="24"/>
              </w:rPr>
            </w:pPr>
            <w:r w:rsidRPr="00B90AA2">
              <w:rPr>
                <w:rFonts w:ascii="Times New Roman" w:eastAsia="Times New Roman" w:hAnsi="Times New Roman" w:cs="Times New Roman"/>
                <w:sz w:val="24"/>
                <w:szCs w:val="24"/>
              </w:rPr>
              <w:t>Вид витрат</w:t>
            </w:r>
          </w:p>
        </w:tc>
        <w:tc>
          <w:tcPr>
            <w:tcW w:w="2050" w:type="pct"/>
            <w:tcBorders>
              <w:top w:val="single" w:sz="6" w:space="0" w:color="000000"/>
              <w:left w:val="single" w:sz="6" w:space="0" w:color="000000"/>
              <w:bottom w:val="single" w:sz="6" w:space="0" w:color="000000"/>
              <w:right w:val="single" w:sz="6" w:space="0" w:color="000000"/>
            </w:tcBorders>
            <w:hideMark/>
          </w:tcPr>
          <w:p w:rsidR="00B90AA2" w:rsidRPr="00B90AA2" w:rsidRDefault="00B90AA2" w:rsidP="00B90AA2">
            <w:pPr>
              <w:spacing w:after="0" w:line="240" w:lineRule="auto"/>
              <w:jc w:val="center"/>
              <w:rPr>
                <w:rFonts w:ascii="Times New Roman" w:eastAsia="Times New Roman" w:hAnsi="Times New Roman" w:cs="Times New Roman"/>
                <w:sz w:val="24"/>
                <w:szCs w:val="24"/>
              </w:rPr>
            </w:pPr>
            <w:r w:rsidRPr="00B90AA2">
              <w:rPr>
                <w:rFonts w:ascii="Times New Roman" w:eastAsia="Times New Roman" w:hAnsi="Times New Roman" w:cs="Times New Roman"/>
                <w:sz w:val="24"/>
                <w:szCs w:val="24"/>
              </w:rPr>
              <w:t>Витрати на оплату праці додатково найманого персоналу (за рік)</w:t>
            </w:r>
          </w:p>
        </w:tc>
        <w:tc>
          <w:tcPr>
            <w:tcW w:w="900" w:type="pct"/>
            <w:tcBorders>
              <w:top w:val="single" w:sz="6" w:space="0" w:color="000000"/>
              <w:left w:val="single" w:sz="6" w:space="0" w:color="000000"/>
              <w:bottom w:val="single" w:sz="6" w:space="0" w:color="000000"/>
              <w:right w:val="nil"/>
            </w:tcBorders>
            <w:hideMark/>
          </w:tcPr>
          <w:p w:rsidR="00B90AA2" w:rsidRPr="00B90AA2" w:rsidRDefault="00B90AA2" w:rsidP="00B90AA2">
            <w:pPr>
              <w:spacing w:after="0" w:line="240" w:lineRule="auto"/>
              <w:jc w:val="center"/>
              <w:rPr>
                <w:rFonts w:ascii="Times New Roman" w:eastAsia="Times New Roman" w:hAnsi="Times New Roman" w:cs="Times New Roman"/>
                <w:sz w:val="24"/>
                <w:szCs w:val="24"/>
              </w:rPr>
            </w:pPr>
            <w:r w:rsidRPr="00B90AA2">
              <w:rPr>
                <w:rFonts w:ascii="Times New Roman" w:eastAsia="Times New Roman" w:hAnsi="Times New Roman" w:cs="Times New Roman"/>
                <w:sz w:val="24"/>
                <w:szCs w:val="24"/>
              </w:rPr>
              <w:t>Витрати за</w:t>
            </w:r>
            <w:r w:rsidRPr="00B90AA2">
              <w:rPr>
                <w:rFonts w:ascii="Times New Roman" w:eastAsia="Times New Roman" w:hAnsi="Times New Roman" w:cs="Times New Roman"/>
                <w:sz w:val="24"/>
                <w:szCs w:val="24"/>
              </w:rPr>
              <w:br/>
              <w:t>п’ять років</w:t>
            </w:r>
          </w:p>
        </w:tc>
      </w:tr>
      <w:tr w:rsidR="00B90AA2" w:rsidRPr="00B90AA2" w:rsidTr="00B90AA2">
        <w:tc>
          <w:tcPr>
            <w:tcW w:w="1950" w:type="pct"/>
            <w:tcBorders>
              <w:top w:val="single" w:sz="6" w:space="0" w:color="000000"/>
              <w:left w:val="single" w:sz="2" w:space="0" w:color="auto"/>
              <w:bottom w:val="single" w:sz="2" w:space="0" w:color="auto"/>
              <w:right w:val="single" w:sz="2" w:space="0" w:color="auto"/>
            </w:tcBorders>
            <w:hideMark/>
          </w:tcPr>
          <w:p w:rsidR="00B90AA2" w:rsidRPr="00B90AA2" w:rsidRDefault="00B90AA2" w:rsidP="00B90AA2">
            <w:pPr>
              <w:spacing w:after="0" w:line="240" w:lineRule="auto"/>
              <w:rPr>
                <w:rFonts w:ascii="Times New Roman" w:eastAsia="Times New Roman" w:hAnsi="Times New Roman" w:cs="Times New Roman"/>
                <w:sz w:val="24"/>
                <w:szCs w:val="24"/>
              </w:rPr>
            </w:pPr>
            <w:r w:rsidRPr="00B90AA2">
              <w:rPr>
                <w:rFonts w:ascii="Times New Roman" w:eastAsia="Times New Roman" w:hAnsi="Times New Roman" w:cs="Times New Roman"/>
                <w:sz w:val="24"/>
                <w:szCs w:val="24"/>
              </w:rPr>
              <w:t xml:space="preserve">Витрати, пов’язані із </w:t>
            </w:r>
            <w:proofErr w:type="spellStart"/>
            <w:r w:rsidRPr="00B90AA2">
              <w:rPr>
                <w:rFonts w:ascii="Times New Roman" w:eastAsia="Times New Roman" w:hAnsi="Times New Roman" w:cs="Times New Roman"/>
                <w:sz w:val="24"/>
                <w:szCs w:val="24"/>
              </w:rPr>
              <w:t>наймом</w:t>
            </w:r>
            <w:proofErr w:type="spellEnd"/>
            <w:r w:rsidRPr="00B90AA2">
              <w:rPr>
                <w:rFonts w:ascii="Times New Roman" w:eastAsia="Times New Roman" w:hAnsi="Times New Roman" w:cs="Times New Roman"/>
                <w:sz w:val="24"/>
                <w:szCs w:val="24"/>
              </w:rPr>
              <w:t xml:space="preserve"> додаткового персоналу</w:t>
            </w:r>
          </w:p>
        </w:tc>
        <w:tc>
          <w:tcPr>
            <w:tcW w:w="2050" w:type="pct"/>
            <w:tcBorders>
              <w:top w:val="single" w:sz="6" w:space="0" w:color="000000"/>
              <w:left w:val="single" w:sz="2" w:space="0" w:color="auto"/>
              <w:bottom w:val="single" w:sz="2" w:space="0" w:color="auto"/>
              <w:right w:val="single" w:sz="2" w:space="0" w:color="auto"/>
            </w:tcBorders>
            <w:hideMark/>
          </w:tcPr>
          <w:p w:rsidR="00B90AA2" w:rsidRPr="00B90AA2" w:rsidRDefault="00605CA0" w:rsidP="00B90AA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900" w:type="pct"/>
            <w:tcBorders>
              <w:top w:val="single" w:sz="6" w:space="0" w:color="000000"/>
              <w:left w:val="single" w:sz="2" w:space="0" w:color="auto"/>
              <w:bottom w:val="single" w:sz="2" w:space="0" w:color="auto"/>
              <w:right w:val="single" w:sz="2" w:space="0" w:color="auto"/>
            </w:tcBorders>
            <w:hideMark/>
          </w:tcPr>
          <w:p w:rsidR="00B90AA2" w:rsidRPr="00B90AA2" w:rsidRDefault="00605CA0" w:rsidP="00B90AA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r>
    </w:tbl>
    <w:p w:rsidR="00FD6BD5" w:rsidRPr="00300B0E" w:rsidRDefault="00FD6BD5" w:rsidP="00B90AA2">
      <w:pPr>
        <w:tabs>
          <w:tab w:val="left" w:pos="7371"/>
        </w:tabs>
        <w:spacing w:after="0" w:line="240" w:lineRule="auto"/>
        <w:jc w:val="center"/>
        <w:rPr>
          <w:rFonts w:ascii="Times New Roman" w:eastAsia="Times New Roman" w:hAnsi="Times New Roman" w:cs="Times New Roman"/>
          <w:sz w:val="28"/>
          <w:szCs w:val="28"/>
        </w:rPr>
      </w:pPr>
    </w:p>
    <w:p w:rsidR="00DF3D94" w:rsidRPr="00300B0E" w:rsidRDefault="00FD6BD5" w:rsidP="00B90AA2">
      <w:pPr>
        <w:tabs>
          <w:tab w:val="left" w:pos="7371"/>
        </w:tabs>
        <w:spacing w:after="0" w:line="240" w:lineRule="auto"/>
        <w:jc w:val="center"/>
        <w:rPr>
          <w:rFonts w:ascii="Times New Roman" w:eastAsia="Times New Roman" w:hAnsi="Times New Roman" w:cs="Times New Roman"/>
          <w:sz w:val="28"/>
          <w:szCs w:val="28"/>
        </w:rPr>
      </w:pPr>
      <w:r w:rsidRPr="00300B0E">
        <w:rPr>
          <w:rFonts w:ascii="Times New Roman" w:eastAsia="Times New Roman" w:hAnsi="Times New Roman" w:cs="Times New Roman"/>
          <w:sz w:val="28"/>
          <w:szCs w:val="28"/>
        </w:rPr>
        <w:t>______________________________________</w:t>
      </w:r>
    </w:p>
    <w:p w:rsidR="007B3EBC" w:rsidRPr="00300B0E" w:rsidRDefault="007B3EBC" w:rsidP="00B90AA2">
      <w:pPr>
        <w:tabs>
          <w:tab w:val="left" w:pos="7371"/>
        </w:tabs>
        <w:spacing w:after="0" w:line="240" w:lineRule="auto"/>
        <w:jc w:val="center"/>
        <w:rPr>
          <w:rFonts w:ascii="Times New Roman" w:eastAsia="Times New Roman" w:hAnsi="Times New Roman" w:cs="Times New Roman"/>
          <w:sz w:val="28"/>
          <w:szCs w:val="28"/>
        </w:rPr>
      </w:pPr>
    </w:p>
    <w:sectPr w:rsidR="007B3EBC" w:rsidRPr="00300B0E" w:rsidSect="00B32392">
      <w:headerReference w:type="default" r:id="rId9"/>
      <w:pgSz w:w="11906" w:h="16838"/>
      <w:pgMar w:top="851" w:right="851" w:bottom="1701" w:left="1418" w:header="709" w:footer="709"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F57FE" w:rsidRDefault="00CF57FE" w:rsidP="00210328">
      <w:pPr>
        <w:spacing w:after="0" w:line="240" w:lineRule="auto"/>
      </w:pPr>
      <w:r>
        <w:separator/>
      </w:r>
    </w:p>
  </w:endnote>
  <w:endnote w:type="continuationSeparator" w:id="0">
    <w:p w:rsidR="00CF57FE" w:rsidRDefault="00CF57FE" w:rsidP="002103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F57FE" w:rsidRDefault="00CF57FE" w:rsidP="00210328">
      <w:pPr>
        <w:spacing w:after="0" w:line="240" w:lineRule="auto"/>
      </w:pPr>
      <w:r>
        <w:separator/>
      </w:r>
    </w:p>
  </w:footnote>
  <w:footnote w:type="continuationSeparator" w:id="0">
    <w:p w:rsidR="00CF57FE" w:rsidRDefault="00CF57FE" w:rsidP="002103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03066282"/>
      <w:docPartObj>
        <w:docPartGallery w:val="Page Numbers (Top of Page)"/>
        <w:docPartUnique/>
      </w:docPartObj>
    </w:sdtPr>
    <w:sdtEndPr>
      <w:rPr>
        <w:rFonts w:ascii="Times New Roman" w:hAnsi="Times New Roman" w:cs="Times New Roman"/>
        <w:sz w:val="24"/>
      </w:rPr>
    </w:sdtEndPr>
    <w:sdtContent>
      <w:p w:rsidR="00CF57FE" w:rsidRPr="00210328" w:rsidRDefault="00CF57FE">
        <w:pPr>
          <w:pStyle w:val="ae"/>
          <w:jc w:val="center"/>
          <w:rPr>
            <w:rFonts w:ascii="Times New Roman" w:hAnsi="Times New Roman" w:cs="Times New Roman"/>
            <w:sz w:val="24"/>
          </w:rPr>
        </w:pPr>
        <w:r w:rsidRPr="00210328">
          <w:rPr>
            <w:rFonts w:ascii="Times New Roman" w:hAnsi="Times New Roman" w:cs="Times New Roman"/>
            <w:sz w:val="24"/>
          </w:rPr>
          <w:fldChar w:fldCharType="begin"/>
        </w:r>
        <w:r w:rsidRPr="00210328">
          <w:rPr>
            <w:rFonts w:ascii="Times New Roman" w:hAnsi="Times New Roman" w:cs="Times New Roman"/>
            <w:sz w:val="24"/>
          </w:rPr>
          <w:instrText>PAGE   \* MERGEFORMAT</w:instrText>
        </w:r>
        <w:r w:rsidRPr="00210328">
          <w:rPr>
            <w:rFonts w:ascii="Times New Roman" w:hAnsi="Times New Roman" w:cs="Times New Roman"/>
            <w:sz w:val="24"/>
          </w:rPr>
          <w:fldChar w:fldCharType="separate"/>
        </w:r>
        <w:r w:rsidR="00D942BA">
          <w:rPr>
            <w:rFonts w:ascii="Times New Roman" w:hAnsi="Times New Roman" w:cs="Times New Roman"/>
            <w:noProof/>
            <w:sz w:val="24"/>
          </w:rPr>
          <w:t>2</w:t>
        </w:r>
        <w:r w:rsidRPr="00210328">
          <w:rPr>
            <w:rFonts w:ascii="Times New Roman" w:hAnsi="Times New Roman" w:cs="Times New Roman"/>
            <w:sz w:val="24"/>
          </w:rPr>
          <w:fldChar w:fldCharType="end"/>
        </w:r>
      </w:p>
    </w:sdtContent>
  </w:sdt>
  <w:p w:rsidR="00CF57FE" w:rsidRDefault="00CF57FE">
    <w:pPr>
      <w:pStyle w:val="a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A7AA1"/>
    <w:multiLevelType w:val="hybridMultilevel"/>
    <w:tmpl w:val="7B22354E"/>
    <w:lvl w:ilvl="0" w:tplc="121E6036">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 w15:restartNumberingAfterBreak="0">
    <w:nsid w:val="57BA4232"/>
    <w:multiLevelType w:val="hybridMultilevel"/>
    <w:tmpl w:val="97E000B4"/>
    <w:lvl w:ilvl="0" w:tplc="EA6A9F3C">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149D"/>
    <w:rsid w:val="00005240"/>
    <w:rsid w:val="000A30FA"/>
    <w:rsid w:val="000B01E2"/>
    <w:rsid w:val="000D4951"/>
    <w:rsid w:val="000F183A"/>
    <w:rsid w:val="00124845"/>
    <w:rsid w:val="00125DF2"/>
    <w:rsid w:val="00127438"/>
    <w:rsid w:val="00172B14"/>
    <w:rsid w:val="001C58D0"/>
    <w:rsid w:val="001D1B3F"/>
    <w:rsid w:val="00210328"/>
    <w:rsid w:val="002133E1"/>
    <w:rsid w:val="00230252"/>
    <w:rsid w:val="00252326"/>
    <w:rsid w:val="002A6CA6"/>
    <w:rsid w:val="002D7622"/>
    <w:rsid w:val="002F508E"/>
    <w:rsid w:val="00300B0E"/>
    <w:rsid w:val="00332FA1"/>
    <w:rsid w:val="003C537D"/>
    <w:rsid w:val="003C6377"/>
    <w:rsid w:val="004072B6"/>
    <w:rsid w:val="00442D01"/>
    <w:rsid w:val="004F3E07"/>
    <w:rsid w:val="00561511"/>
    <w:rsid w:val="005754A2"/>
    <w:rsid w:val="00576E4F"/>
    <w:rsid w:val="005C510D"/>
    <w:rsid w:val="005E75EB"/>
    <w:rsid w:val="006057BF"/>
    <w:rsid w:val="00605CA0"/>
    <w:rsid w:val="006246EF"/>
    <w:rsid w:val="00637203"/>
    <w:rsid w:val="006464D0"/>
    <w:rsid w:val="006B25BB"/>
    <w:rsid w:val="006D4CFA"/>
    <w:rsid w:val="006F6558"/>
    <w:rsid w:val="00716C69"/>
    <w:rsid w:val="007237D7"/>
    <w:rsid w:val="0073605A"/>
    <w:rsid w:val="00766403"/>
    <w:rsid w:val="007A1C60"/>
    <w:rsid w:val="007B3EBC"/>
    <w:rsid w:val="007B6B97"/>
    <w:rsid w:val="007C5923"/>
    <w:rsid w:val="007D2B04"/>
    <w:rsid w:val="007F715E"/>
    <w:rsid w:val="0087725E"/>
    <w:rsid w:val="008A51B1"/>
    <w:rsid w:val="009725AC"/>
    <w:rsid w:val="00982CB6"/>
    <w:rsid w:val="009850D3"/>
    <w:rsid w:val="009C17BF"/>
    <w:rsid w:val="00A5724F"/>
    <w:rsid w:val="00A7092D"/>
    <w:rsid w:val="00AB1AF8"/>
    <w:rsid w:val="00AF0F98"/>
    <w:rsid w:val="00AF149D"/>
    <w:rsid w:val="00AF65E9"/>
    <w:rsid w:val="00B32392"/>
    <w:rsid w:val="00B47B0E"/>
    <w:rsid w:val="00B60B99"/>
    <w:rsid w:val="00B834BE"/>
    <w:rsid w:val="00B90AA2"/>
    <w:rsid w:val="00BE0A13"/>
    <w:rsid w:val="00BF6B09"/>
    <w:rsid w:val="00C12D7F"/>
    <w:rsid w:val="00C2325B"/>
    <w:rsid w:val="00C60A7D"/>
    <w:rsid w:val="00C66DE3"/>
    <w:rsid w:val="00C90E21"/>
    <w:rsid w:val="00CC0200"/>
    <w:rsid w:val="00CE1957"/>
    <w:rsid w:val="00CE1EF3"/>
    <w:rsid w:val="00CF57FE"/>
    <w:rsid w:val="00D379BE"/>
    <w:rsid w:val="00D50D05"/>
    <w:rsid w:val="00D5110F"/>
    <w:rsid w:val="00D53202"/>
    <w:rsid w:val="00D747E3"/>
    <w:rsid w:val="00D8248E"/>
    <w:rsid w:val="00D92D23"/>
    <w:rsid w:val="00D942BA"/>
    <w:rsid w:val="00DA649D"/>
    <w:rsid w:val="00DB0804"/>
    <w:rsid w:val="00DC1566"/>
    <w:rsid w:val="00DC1FD5"/>
    <w:rsid w:val="00DF3D94"/>
    <w:rsid w:val="00E2564D"/>
    <w:rsid w:val="00E6399D"/>
    <w:rsid w:val="00EE0211"/>
    <w:rsid w:val="00F5713F"/>
    <w:rsid w:val="00F75890"/>
    <w:rsid w:val="00FD6BD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4030AE"/>
  <w15:docId w15:val="{18350281-5BC9-4051-825A-BFE4C8810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customStyle="1" w:styleId="rvps12">
    <w:name w:val="rvps12"/>
    <w:basedOn w:val="a"/>
    <w:rsid w:val="00155E6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15">
    <w:name w:val="rvts15"/>
    <w:basedOn w:val="a0"/>
    <w:rsid w:val="00155E69"/>
  </w:style>
  <w:style w:type="paragraph" w:customStyle="1" w:styleId="rvps2">
    <w:name w:val="rvps2"/>
    <w:basedOn w:val="a"/>
    <w:rsid w:val="00155E6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vps14">
    <w:name w:val="rvps14"/>
    <w:basedOn w:val="a"/>
    <w:rsid w:val="00155E6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vps8">
    <w:name w:val="rvps8"/>
    <w:basedOn w:val="a"/>
    <w:rsid w:val="00155E6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82">
    <w:name w:val="rvts82"/>
    <w:basedOn w:val="a0"/>
    <w:rsid w:val="00155E69"/>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top w:w="15" w:type="dxa"/>
        <w:left w:w="15" w:type="dxa"/>
        <w:bottom w:w="15" w:type="dxa"/>
        <w:right w:w="15" w:type="dxa"/>
      </w:tblCellMar>
    </w:tblPr>
  </w:style>
  <w:style w:type="table" w:customStyle="1" w:styleId="a6">
    <w:basedOn w:val="TableNormal"/>
    <w:tblPr>
      <w:tblStyleRowBandSize w:val="1"/>
      <w:tblStyleColBandSize w:val="1"/>
      <w:tblCellMar>
        <w:top w:w="15" w:type="dxa"/>
        <w:left w:w="15" w:type="dxa"/>
        <w:bottom w:w="15" w:type="dxa"/>
        <w:right w:w="15" w:type="dxa"/>
      </w:tblCellMar>
    </w:tblPr>
  </w:style>
  <w:style w:type="table" w:customStyle="1" w:styleId="a7">
    <w:basedOn w:val="TableNormal"/>
    <w:tblPr>
      <w:tblStyleRowBandSize w:val="1"/>
      <w:tblStyleColBandSize w:val="1"/>
      <w:tblCellMar>
        <w:top w:w="15" w:type="dxa"/>
        <w:left w:w="15" w:type="dxa"/>
        <w:bottom w:w="15" w:type="dxa"/>
        <w:right w:w="15" w:type="dxa"/>
      </w:tblCellMar>
    </w:tblPr>
  </w:style>
  <w:style w:type="table" w:customStyle="1" w:styleId="a8">
    <w:basedOn w:val="TableNormal"/>
    <w:tblPr>
      <w:tblStyleRowBandSize w:val="1"/>
      <w:tblStyleColBandSize w:val="1"/>
      <w:tblCellMar>
        <w:top w:w="15" w:type="dxa"/>
        <w:left w:w="15" w:type="dxa"/>
        <w:bottom w:w="15" w:type="dxa"/>
        <w:right w:w="15" w:type="dxa"/>
      </w:tblCellMar>
    </w:tblPr>
  </w:style>
  <w:style w:type="table" w:customStyle="1" w:styleId="a9">
    <w:basedOn w:val="TableNormal"/>
    <w:tblPr>
      <w:tblStyleRowBandSize w:val="1"/>
      <w:tblStyleColBandSize w:val="1"/>
      <w:tblCellMar>
        <w:top w:w="15" w:type="dxa"/>
        <w:left w:w="15" w:type="dxa"/>
        <w:bottom w:w="15" w:type="dxa"/>
        <w:right w:w="15" w:type="dxa"/>
      </w:tblCellMar>
    </w:tblPr>
  </w:style>
  <w:style w:type="table" w:customStyle="1" w:styleId="aa">
    <w:basedOn w:val="TableNormal"/>
    <w:tblPr>
      <w:tblStyleRowBandSize w:val="1"/>
      <w:tblStyleColBandSize w:val="1"/>
      <w:tblCellMar>
        <w:top w:w="15" w:type="dxa"/>
        <w:left w:w="15" w:type="dxa"/>
        <w:bottom w:w="15" w:type="dxa"/>
        <w:right w:w="15" w:type="dxa"/>
      </w:tblCellMar>
    </w:tblPr>
  </w:style>
  <w:style w:type="table" w:customStyle="1" w:styleId="ab">
    <w:basedOn w:val="TableNormal"/>
    <w:tblPr>
      <w:tblStyleRowBandSize w:val="1"/>
      <w:tblStyleColBandSize w:val="1"/>
      <w:tblCellMar>
        <w:top w:w="15" w:type="dxa"/>
        <w:left w:w="15" w:type="dxa"/>
        <w:bottom w:w="15" w:type="dxa"/>
        <w:right w:w="15" w:type="dxa"/>
      </w:tblCellMar>
    </w:tblPr>
  </w:style>
  <w:style w:type="table" w:customStyle="1" w:styleId="ac">
    <w:basedOn w:val="TableNormal"/>
    <w:tblPr>
      <w:tblStyleRowBandSize w:val="1"/>
      <w:tblStyleColBandSize w:val="1"/>
      <w:tblCellMar>
        <w:top w:w="15" w:type="dxa"/>
        <w:left w:w="15" w:type="dxa"/>
        <w:bottom w:w="15" w:type="dxa"/>
        <w:right w:w="15" w:type="dxa"/>
      </w:tblCellMar>
    </w:tblPr>
  </w:style>
  <w:style w:type="paragraph" w:styleId="ad">
    <w:name w:val="List Paragraph"/>
    <w:basedOn w:val="a"/>
    <w:uiPriority w:val="34"/>
    <w:qFormat/>
    <w:rsid w:val="00D747E3"/>
    <w:pPr>
      <w:ind w:left="720"/>
      <w:contextualSpacing/>
    </w:pPr>
  </w:style>
  <w:style w:type="paragraph" w:styleId="ae">
    <w:name w:val="header"/>
    <w:basedOn w:val="a"/>
    <w:link w:val="af"/>
    <w:uiPriority w:val="99"/>
    <w:unhideWhenUsed/>
    <w:rsid w:val="00210328"/>
    <w:pPr>
      <w:tabs>
        <w:tab w:val="center" w:pos="4819"/>
        <w:tab w:val="right" w:pos="9639"/>
      </w:tabs>
      <w:spacing w:after="0" w:line="240" w:lineRule="auto"/>
    </w:pPr>
  </w:style>
  <w:style w:type="character" w:customStyle="1" w:styleId="af">
    <w:name w:val="Верхний колонтитул Знак"/>
    <w:basedOn w:val="a0"/>
    <w:link w:val="ae"/>
    <w:uiPriority w:val="99"/>
    <w:rsid w:val="00210328"/>
  </w:style>
  <w:style w:type="paragraph" w:styleId="af0">
    <w:name w:val="footer"/>
    <w:basedOn w:val="a"/>
    <w:link w:val="af1"/>
    <w:uiPriority w:val="99"/>
    <w:unhideWhenUsed/>
    <w:rsid w:val="00210328"/>
    <w:pPr>
      <w:tabs>
        <w:tab w:val="center" w:pos="4819"/>
        <w:tab w:val="right" w:pos="9639"/>
      </w:tabs>
      <w:spacing w:after="0" w:line="240" w:lineRule="auto"/>
    </w:pPr>
  </w:style>
  <w:style w:type="character" w:customStyle="1" w:styleId="af1">
    <w:name w:val="Нижний колонтитул Знак"/>
    <w:basedOn w:val="a0"/>
    <w:link w:val="af0"/>
    <w:uiPriority w:val="99"/>
    <w:rsid w:val="00210328"/>
  </w:style>
  <w:style w:type="table" w:customStyle="1" w:styleId="10">
    <w:name w:val="Сітка таблиці1"/>
    <w:basedOn w:val="a1"/>
    <w:next w:val="af2"/>
    <w:uiPriority w:val="39"/>
    <w:rsid w:val="00B32392"/>
    <w:pPr>
      <w:spacing w:after="0" w:line="240" w:lineRule="auto"/>
    </w:pPr>
    <w:rPr>
      <w:rFonts w:eastAsiaTheme="minorHAns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footnote text"/>
    <w:basedOn w:val="a"/>
    <w:link w:val="af4"/>
    <w:uiPriority w:val="99"/>
    <w:semiHidden/>
    <w:unhideWhenUsed/>
    <w:rsid w:val="00B32392"/>
    <w:pPr>
      <w:spacing w:after="0" w:line="240" w:lineRule="auto"/>
    </w:pPr>
    <w:rPr>
      <w:rFonts w:eastAsia="Times New Roman"/>
      <w:sz w:val="20"/>
      <w:szCs w:val="20"/>
      <w:lang w:eastAsia="en-US"/>
    </w:rPr>
  </w:style>
  <w:style w:type="character" w:customStyle="1" w:styleId="af4">
    <w:name w:val="Текст сноски Знак"/>
    <w:basedOn w:val="a0"/>
    <w:link w:val="af3"/>
    <w:uiPriority w:val="99"/>
    <w:semiHidden/>
    <w:rsid w:val="00B32392"/>
    <w:rPr>
      <w:rFonts w:eastAsia="Times New Roman"/>
      <w:sz w:val="20"/>
      <w:szCs w:val="20"/>
      <w:lang w:eastAsia="en-US"/>
    </w:rPr>
  </w:style>
  <w:style w:type="character" w:styleId="af5">
    <w:name w:val="footnote reference"/>
    <w:basedOn w:val="a0"/>
    <w:uiPriority w:val="99"/>
    <w:semiHidden/>
    <w:unhideWhenUsed/>
    <w:rsid w:val="00B32392"/>
    <w:rPr>
      <w:vertAlign w:val="superscript"/>
    </w:rPr>
  </w:style>
  <w:style w:type="table" w:styleId="af2">
    <w:name w:val="Table Grid"/>
    <w:basedOn w:val="a1"/>
    <w:uiPriority w:val="39"/>
    <w:rsid w:val="00B323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Body Text"/>
    <w:basedOn w:val="a"/>
    <w:link w:val="af7"/>
    <w:uiPriority w:val="1"/>
    <w:qFormat/>
    <w:rsid w:val="000F183A"/>
    <w:pPr>
      <w:widowControl w:val="0"/>
      <w:autoSpaceDE w:val="0"/>
      <w:autoSpaceDN w:val="0"/>
      <w:spacing w:after="0" w:line="240" w:lineRule="auto"/>
    </w:pPr>
    <w:rPr>
      <w:rFonts w:ascii="Times New Roman" w:eastAsia="Times New Roman" w:hAnsi="Times New Roman" w:cs="Times New Roman"/>
      <w:sz w:val="28"/>
      <w:szCs w:val="28"/>
      <w:lang w:eastAsia="en-US"/>
    </w:rPr>
  </w:style>
  <w:style w:type="character" w:customStyle="1" w:styleId="af7">
    <w:name w:val="Основной текст Знак"/>
    <w:basedOn w:val="a0"/>
    <w:link w:val="af6"/>
    <w:uiPriority w:val="1"/>
    <w:rsid w:val="000F183A"/>
    <w:rPr>
      <w:rFonts w:ascii="Times New Roman" w:eastAsia="Times New Roman" w:hAnsi="Times New Roman" w:cs="Times New Roman"/>
      <w:sz w:val="28"/>
      <w:szCs w:val="28"/>
      <w:lang w:eastAsia="en-US"/>
    </w:rPr>
  </w:style>
  <w:style w:type="paragraph" w:styleId="af8">
    <w:name w:val="Balloon Text"/>
    <w:basedOn w:val="a"/>
    <w:link w:val="af9"/>
    <w:uiPriority w:val="99"/>
    <w:semiHidden/>
    <w:unhideWhenUsed/>
    <w:rsid w:val="00561511"/>
    <w:pPr>
      <w:spacing w:after="0" w:line="240" w:lineRule="auto"/>
    </w:pPr>
    <w:rPr>
      <w:rFonts w:ascii="Segoe UI" w:hAnsi="Segoe UI" w:cs="Segoe UI"/>
      <w:sz w:val="18"/>
      <w:szCs w:val="18"/>
    </w:rPr>
  </w:style>
  <w:style w:type="character" w:customStyle="1" w:styleId="af9">
    <w:name w:val="Текст выноски Знак"/>
    <w:basedOn w:val="a0"/>
    <w:link w:val="af8"/>
    <w:uiPriority w:val="99"/>
    <w:semiHidden/>
    <w:rsid w:val="00561511"/>
    <w:rPr>
      <w:rFonts w:ascii="Segoe UI" w:hAnsi="Segoe UI" w:cs="Segoe UI"/>
      <w:sz w:val="18"/>
      <w:szCs w:val="18"/>
    </w:rPr>
  </w:style>
  <w:style w:type="paragraph" w:customStyle="1" w:styleId="rvps3">
    <w:name w:val="rvps3"/>
    <w:basedOn w:val="a"/>
    <w:rsid w:val="00B90AA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5873211">
      <w:bodyDiv w:val="1"/>
      <w:marLeft w:val="0"/>
      <w:marRight w:val="0"/>
      <w:marTop w:val="0"/>
      <w:marBottom w:val="0"/>
      <w:divBdr>
        <w:top w:val="none" w:sz="0" w:space="0" w:color="auto"/>
        <w:left w:val="none" w:sz="0" w:space="0" w:color="auto"/>
        <w:bottom w:val="none" w:sz="0" w:space="0" w:color="auto"/>
        <w:right w:val="none" w:sz="0" w:space="0" w:color="auto"/>
      </w:divBdr>
      <w:divsChild>
        <w:div w:id="1885830473">
          <w:marLeft w:val="0"/>
          <w:marRight w:val="0"/>
          <w:marTop w:val="0"/>
          <w:marBottom w:val="0"/>
          <w:divBdr>
            <w:top w:val="none" w:sz="0" w:space="0" w:color="auto"/>
            <w:left w:val="none" w:sz="0" w:space="0" w:color="auto"/>
            <w:bottom w:val="none" w:sz="0" w:space="0" w:color="auto"/>
            <w:right w:val="none" w:sz="0" w:space="0" w:color="auto"/>
          </w:divBdr>
          <w:divsChild>
            <w:div w:id="486020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743732">
      <w:bodyDiv w:val="1"/>
      <w:marLeft w:val="0"/>
      <w:marRight w:val="0"/>
      <w:marTop w:val="0"/>
      <w:marBottom w:val="0"/>
      <w:divBdr>
        <w:top w:val="none" w:sz="0" w:space="0" w:color="auto"/>
        <w:left w:val="none" w:sz="0" w:space="0" w:color="auto"/>
        <w:bottom w:val="none" w:sz="0" w:space="0" w:color="auto"/>
        <w:right w:val="none" w:sz="0" w:space="0" w:color="auto"/>
      </w:divBdr>
      <w:divsChild>
        <w:div w:id="534274202">
          <w:marLeft w:val="0"/>
          <w:marRight w:val="0"/>
          <w:marTop w:val="0"/>
          <w:marBottom w:val="0"/>
          <w:divBdr>
            <w:top w:val="none" w:sz="0" w:space="0" w:color="auto"/>
            <w:left w:val="none" w:sz="0" w:space="0" w:color="auto"/>
            <w:bottom w:val="none" w:sz="0" w:space="0" w:color="auto"/>
            <w:right w:val="none" w:sz="0" w:space="0" w:color="auto"/>
          </w:divBdr>
          <w:divsChild>
            <w:div w:id="1287466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34482">
      <w:bodyDiv w:val="1"/>
      <w:marLeft w:val="0"/>
      <w:marRight w:val="0"/>
      <w:marTop w:val="0"/>
      <w:marBottom w:val="0"/>
      <w:divBdr>
        <w:top w:val="none" w:sz="0" w:space="0" w:color="auto"/>
        <w:left w:val="none" w:sz="0" w:space="0" w:color="auto"/>
        <w:bottom w:val="none" w:sz="0" w:space="0" w:color="auto"/>
        <w:right w:val="none" w:sz="0" w:space="0" w:color="auto"/>
      </w:divBdr>
    </w:div>
    <w:div w:id="282349606">
      <w:bodyDiv w:val="1"/>
      <w:marLeft w:val="0"/>
      <w:marRight w:val="0"/>
      <w:marTop w:val="0"/>
      <w:marBottom w:val="0"/>
      <w:divBdr>
        <w:top w:val="none" w:sz="0" w:space="0" w:color="auto"/>
        <w:left w:val="none" w:sz="0" w:space="0" w:color="auto"/>
        <w:bottom w:val="none" w:sz="0" w:space="0" w:color="auto"/>
        <w:right w:val="none" w:sz="0" w:space="0" w:color="auto"/>
      </w:divBdr>
      <w:divsChild>
        <w:div w:id="2007585439">
          <w:marLeft w:val="0"/>
          <w:marRight w:val="0"/>
          <w:marTop w:val="0"/>
          <w:marBottom w:val="0"/>
          <w:divBdr>
            <w:top w:val="none" w:sz="0" w:space="0" w:color="auto"/>
            <w:left w:val="none" w:sz="0" w:space="0" w:color="auto"/>
            <w:bottom w:val="none" w:sz="0" w:space="0" w:color="auto"/>
            <w:right w:val="none" w:sz="0" w:space="0" w:color="auto"/>
          </w:divBdr>
          <w:divsChild>
            <w:div w:id="623384000">
              <w:marLeft w:val="0"/>
              <w:marRight w:val="0"/>
              <w:marTop w:val="0"/>
              <w:marBottom w:val="150"/>
              <w:divBdr>
                <w:top w:val="none" w:sz="0" w:space="0" w:color="auto"/>
                <w:left w:val="none" w:sz="0" w:space="0" w:color="auto"/>
                <w:bottom w:val="none" w:sz="0" w:space="0" w:color="auto"/>
                <w:right w:val="none" w:sz="0" w:space="0" w:color="auto"/>
              </w:divBdr>
            </w:div>
          </w:divsChild>
        </w:div>
        <w:div w:id="1078092528">
          <w:marLeft w:val="0"/>
          <w:marRight w:val="0"/>
          <w:marTop w:val="0"/>
          <w:marBottom w:val="0"/>
          <w:divBdr>
            <w:top w:val="none" w:sz="0" w:space="0" w:color="auto"/>
            <w:left w:val="none" w:sz="0" w:space="0" w:color="auto"/>
            <w:bottom w:val="none" w:sz="0" w:space="0" w:color="auto"/>
            <w:right w:val="none" w:sz="0" w:space="0" w:color="auto"/>
          </w:divBdr>
        </w:div>
        <w:div w:id="183596353">
          <w:marLeft w:val="0"/>
          <w:marRight w:val="0"/>
          <w:marTop w:val="0"/>
          <w:marBottom w:val="0"/>
          <w:divBdr>
            <w:top w:val="none" w:sz="0" w:space="0" w:color="auto"/>
            <w:left w:val="none" w:sz="0" w:space="0" w:color="auto"/>
            <w:bottom w:val="none" w:sz="0" w:space="0" w:color="auto"/>
            <w:right w:val="none" w:sz="0" w:space="0" w:color="auto"/>
          </w:divBdr>
          <w:divsChild>
            <w:div w:id="697047435">
              <w:marLeft w:val="0"/>
              <w:marRight w:val="0"/>
              <w:marTop w:val="150"/>
              <w:marBottom w:val="150"/>
              <w:divBdr>
                <w:top w:val="none" w:sz="0" w:space="0" w:color="auto"/>
                <w:left w:val="none" w:sz="0" w:space="0" w:color="auto"/>
                <w:bottom w:val="none" w:sz="0" w:space="0" w:color="auto"/>
                <w:right w:val="none" w:sz="0" w:space="0" w:color="auto"/>
              </w:divBdr>
            </w:div>
          </w:divsChild>
        </w:div>
        <w:div w:id="1960795095">
          <w:marLeft w:val="0"/>
          <w:marRight w:val="0"/>
          <w:marTop w:val="0"/>
          <w:marBottom w:val="0"/>
          <w:divBdr>
            <w:top w:val="none" w:sz="0" w:space="0" w:color="auto"/>
            <w:left w:val="none" w:sz="0" w:space="0" w:color="auto"/>
            <w:bottom w:val="none" w:sz="0" w:space="0" w:color="auto"/>
            <w:right w:val="none" w:sz="0" w:space="0" w:color="auto"/>
          </w:divBdr>
        </w:div>
        <w:div w:id="320620877">
          <w:marLeft w:val="0"/>
          <w:marRight w:val="0"/>
          <w:marTop w:val="0"/>
          <w:marBottom w:val="0"/>
          <w:divBdr>
            <w:top w:val="none" w:sz="0" w:space="0" w:color="auto"/>
            <w:left w:val="none" w:sz="0" w:space="0" w:color="auto"/>
            <w:bottom w:val="none" w:sz="0" w:space="0" w:color="auto"/>
            <w:right w:val="none" w:sz="0" w:space="0" w:color="auto"/>
          </w:divBdr>
          <w:divsChild>
            <w:div w:id="1718895514">
              <w:marLeft w:val="0"/>
              <w:marRight w:val="0"/>
              <w:marTop w:val="150"/>
              <w:marBottom w:val="150"/>
              <w:divBdr>
                <w:top w:val="none" w:sz="0" w:space="0" w:color="auto"/>
                <w:left w:val="none" w:sz="0" w:space="0" w:color="auto"/>
                <w:bottom w:val="none" w:sz="0" w:space="0" w:color="auto"/>
                <w:right w:val="none" w:sz="0" w:space="0" w:color="auto"/>
              </w:divBdr>
            </w:div>
          </w:divsChild>
        </w:div>
        <w:div w:id="1374428645">
          <w:marLeft w:val="0"/>
          <w:marRight w:val="0"/>
          <w:marTop w:val="0"/>
          <w:marBottom w:val="0"/>
          <w:divBdr>
            <w:top w:val="none" w:sz="0" w:space="0" w:color="auto"/>
            <w:left w:val="none" w:sz="0" w:space="0" w:color="auto"/>
            <w:bottom w:val="none" w:sz="0" w:space="0" w:color="auto"/>
            <w:right w:val="none" w:sz="0" w:space="0" w:color="auto"/>
          </w:divBdr>
          <w:divsChild>
            <w:div w:id="1917088011">
              <w:marLeft w:val="0"/>
              <w:marRight w:val="0"/>
              <w:marTop w:val="150"/>
              <w:marBottom w:val="150"/>
              <w:divBdr>
                <w:top w:val="none" w:sz="0" w:space="0" w:color="auto"/>
                <w:left w:val="none" w:sz="0" w:space="0" w:color="auto"/>
                <w:bottom w:val="none" w:sz="0" w:space="0" w:color="auto"/>
                <w:right w:val="none" w:sz="0" w:space="0" w:color="auto"/>
              </w:divBdr>
            </w:div>
          </w:divsChild>
        </w:div>
        <w:div w:id="2064333088">
          <w:marLeft w:val="0"/>
          <w:marRight w:val="0"/>
          <w:marTop w:val="0"/>
          <w:marBottom w:val="0"/>
          <w:divBdr>
            <w:top w:val="none" w:sz="0" w:space="0" w:color="auto"/>
            <w:left w:val="none" w:sz="0" w:space="0" w:color="auto"/>
            <w:bottom w:val="none" w:sz="0" w:space="0" w:color="auto"/>
            <w:right w:val="none" w:sz="0" w:space="0" w:color="auto"/>
          </w:divBdr>
        </w:div>
        <w:div w:id="1177693549">
          <w:marLeft w:val="0"/>
          <w:marRight w:val="0"/>
          <w:marTop w:val="0"/>
          <w:marBottom w:val="0"/>
          <w:divBdr>
            <w:top w:val="none" w:sz="0" w:space="0" w:color="auto"/>
            <w:left w:val="none" w:sz="0" w:space="0" w:color="auto"/>
            <w:bottom w:val="none" w:sz="0" w:space="0" w:color="auto"/>
            <w:right w:val="none" w:sz="0" w:space="0" w:color="auto"/>
          </w:divBdr>
          <w:divsChild>
            <w:div w:id="1471246846">
              <w:marLeft w:val="0"/>
              <w:marRight w:val="0"/>
              <w:marTop w:val="150"/>
              <w:marBottom w:val="150"/>
              <w:divBdr>
                <w:top w:val="none" w:sz="0" w:space="0" w:color="auto"/>
                <w:left w:val="none" w:sz="0" w:space="0" w:color="auto"/>
                <w:bottom w:val="none" w:sz="0" w:space="0" w:color="auto"/>
                <w:right w:val="none" w:sz="0" w:space="0" w:color="auto"/>
              </w:divBdr>
            </w:div>
          </w:divsChild>
        </w:div>
        <w:div w:id="839586041">
          <w:marLeft w:val="0"/>
          <w:marRight w:val="0"/>
          <w:marTop w:val="0"/>
          <w:marBottom w:val="0"/>
          <w:divBdr>
            <w:top w:val="none" w:sz="0" w:space="0" w:color="auto"/>
            <w:left w:val="none" w:sz="0" w:space="0" w:color="auto"/>
            <w:bottom w:val="none" w:sz="0" w:space="0" w:color="auto"/>
            <w:right w:val="none" w:sz="0" w:space="0" w:color="auto"/>
          </w:divBdr>
        </w:div>
        <w:div w:id="1765226916">
          <w:marLeft w:val="0"/>
          <w:marRight w:val="0"/>
          <w:marTop w:val="0"/>
          <w:marBottom w:val="0"/>
          <w:divBdr>
            <w:top w:val="none" w:sz="0" w:space="0" w:color="auto"/>
            <w:left w:val="none" w:sz="0" w:space="0" w:color="auto"/>
            <w:bottom w:val="none" w:sz="0" w:space="0" w:color="auto"/>
            <w:right w:val="none" w:sz="0" w:space="0" w:color="auto"/>
          </w:divBdr>
          <w:divsChild>
            <w:div w:id="593438522">
              <w:marLeft w:val="0"/>
              <w:marRight w:val="0"/>
              <w:marTop w:val="150"/>
              <w:marBottom w:val="150"/>
              <w:divBdr>
                <w:top w:val="none" w:sz="0" w:space="0" w:color="auto"/>
                <w:left w:val="none" w:sz="0" w:space="0" w:color="auto"/>
                <w:bottom w:val="none" w:sz="0" w:space="0" w:color="auto"/>
                <w:right w:val="none" w:sz="0" w:space="0" w:color="auto"/>
              </w:divBdr>
            </w:div>
          </w:divsChild>
        </w:div>
        <w:div w:id="890967766">
          <w:marLeft w:val="0"/>
          <w:marRight w:val="0"/>
          <w:marTop w:val="0"/>
          <w:marBottom w:val="0"/>
          <w:divBdr>
            <w:top w:val="none" w:sz="0" w:space="0" w:color="auto"/>
            <w:left w:val="none" w:sz="0" w:space="0" w:color="auto"/>
            <w:bottom w:val="none" w:sz="0" w:space="0" w:color="auto"/>
            <w:right w:val="none" w:sz="0" w:space="0" w:color="auto"/>
          </w:divBdr>
          <w:divsChild>
            <w:div w:id="118720919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346952458">
      <w:bodyDiv w:val="1"/>
      <w:marLeft w:val="0"/>
      <w:marRight w:val="0"/>
      <w:marTop w:val="0"/>
      <w:marBottom w:val="0"/>
      <w:divBdr>
        <w:top w:val="none" w:sz="0" w:space="0" w:color="auto"/>
        <w:left w:val="none" w:sz="0" w:space="0" w:color="auto"/>
        <w:bottom w:val="none" w:sz="0" w:space="0" w:color="auto"/>
        <w:right w:val="none" w:sz="0" w:space="0" w:color="auto"/>
      </w:divBdr>
    </w:div>
    <w:div w:id="463932175">
      <w:bodyDiv w:val="1"/>
      <w:marLeft w:val="0"/>
      <w:marRight w:val="0"/>
      <w:marTop w:val="0"/>
      <w:marBottom w:val="0"/>
      <w:divBdr>
        <w:top w:val="none" w:sz="0" w:space="0" w:color="auto"/>
        <w:left w:val="none" w:sz="0" w:space="0" w:color="auto"/>
        <w:bottom w:val="none" w:sz="0" w:space="0" w:color="auto"/>
        <w:right w:val="none" w:sz="0" w:space="0" w:color="auto"/>
      </w:divBdr>
    </w:div>
    <w:div w:id="537546878">
      <w:bodyDiv w:val="1"/>
      <w:marLeft w:val="0"/>
      <w:marRight w:val="0"/>
      <w:marTop w:val="0"/>
      <w:marBottom w:val="0"/>
      <w:divBdr>
        <w:top w:val="none" w:sz="0" w:space="0" w:color="auto"/>
        <w:left w:val="none" w:sz="0" w:space="0" w:color="auto"/>
        <w:bottom w:val="none" w:sz="0" w:space="0" w:color="auto"/>
        <w:right w:val="none" w:sz="0" w:space="0" w:color="auto"/>
      </w:divBdr>
    </w:div>
    <w:div w:id="853232256">
      <w:bodyDiv w:val="1"/>
      <w:marLeft w:val="0"/>
      <w:marRight w:val="0"/>
      <w:marTop w:val="0"/>
      <w:marBottom w:val="0"/>
      <w:divBdr>
        <w:top w:val="none" w:sz="0" w:space="0" w:color="auto"/>
        <w:left w:val="none" w:sz="0" w:space="0" w:color="auto"/>
        <w:bottom w:val="none" w:sz="0" w:space="0" w:color="auto"/>
        <w:right w:val="none" w:sz="0" w:space="0" w:color="auto"/>
      </w:divBdr>
      <w:divsChild>
        <w:div w:id="15498056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05861601">
      <w:bodyDiv w:val="1"/>
      <w:marLeft w:val="0"/>
      <w:marRight w:val="0"/>
      <w:marTop w:val="0"/>
      <w:marBottom w:val="0"/>
      <w:divBdr>
        <w:top w:val="none" w:sz="0" w:space="0" w:color="auto"/>
        <w:left w:val="none" w:sz="0" w:space="0" w:color="auto"/>
        <w:bottom w:val="none" w:sz="0" w:space="0" w:color="auto"/>
        <w:right w:val="none" w:sz="0" w:space="0" w:color="auto"/>
      </w:divBdr>
    </w:div>
    <w:div w:id="1819952121">
      <w:bodyDiv w:val="1"/>
      <w:marLeft w:val="0"/>
      <w:marRight w:val="0"/>
      <w:marTop w:val="0"/>
      <w:marBottom w:val="0"/>
      <w:divBdr>
        <w:top w:val="none" w:sz="0" w:space="0" w:color="auto"/>
        <w:left w:val="none" w:sz="0" w:space="0" w:color="auto"/>
        <w:bottom w:val="none" w:sz="0" w:space="0" w:color="auto"/>
        <w:right w:val="none" w:sz="0" w:space="0" w:color="auto"/>
      </w:divBdr>
    </w:div>
    <w:div w:id="1881042826">
      <w:bodyDiv w:val="1"/>
      <w:marLeft w:val="0"/>
      <w:marRight w:val="0"/>
      <w:marTop w:val="0"/>
      <w:marBottom w:val="0"/>
      <w:divBdr>
        <w:top w:val="none" w:sz="0" w:space="0" w:color="auto"/>
        <w:left w:val="none" w:sz="0" w:space="0" w:color="auto"/>
        <w:bottom w:val="none" w:sz="0" w:space="0" w:color="auto"/>
        <w:right w:val="none" w:sz="0" w:space="0" w:color="auto"/>
      </w:divBdr>
    </w:div>
    <w:div w:id="2026783790">
      <w:bodyDiv w:val="1"/>
      <w:marLeft w:val="0"/>
      <w:marRight w:val="0"/>
      <w:marTop w:val="0"/>
      <w:marBottom w:val="0"/>
      <w:divBdr>
        <w:top w:val="none" w:sz="0" w:space="0" w:color="auto"/>
        <w:left w:val="none" w:sz="0" w:space="0" w:color="auto"/>
        <w:bottom w:val="none" w:sz="0" w:space="0" w:color="auto"/>
        <w:right w:val="none" w:sz="0" w:space="0" w:color="auto"/>
      </w:divBdr>
      <w:divsChild>
        <w:div w:id="1713574950">
          <w:marLeft w:val="0"/>
          <w:marRight w:val="0"/>
          <w:marTop w:val="0"/>
          <w:marBottom w:val="0"/>
          <w:divBdr>
            <w:top w:val="none" w:sz="0" w:space="0" w:color="auto"/>
            <w:left w:val="none" w:sz="0" w:space="0" w:color="auto"/>
            <w:bottom w:val="none" w:sz="0" w:space="0" w:color="auto"/>
            <w:right w:val="none" w:sz="0" w:space="0" w:color="auto"/>
          </w:divBdr>
          <w:divsChild>
            <w:div w:id="1793788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teCYvTf9P148xEaR27cBsT6t7yg==">CgMxLjAyD2lkLnM1emRzbjlvbTN2ZjgAciExWUZkeG44UUVXaU5iV2VhRjlWNDBXZVRZLWJFV0hkeXM=</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6F717C24-5BD5-4502-8171-1431C8274E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967</TotalTime>
  <Pages>17</Pages>
  <Words>22115</Words>
  <Characters>12606</Characters>
  <Application>Microsoft Office Word</Application>
  <DocSecurity>0</DocSecurity>
  <Lines>105</Lines>
  <Paragraphs>69</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34652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Заїка Олена</dc:creator>
  <cp:lastModifiedBy>Prudka O.V.</cp:lastModifiedBy>
  <cp:revision>28</cp:revision>
  <cp:lastPrinted>2025-08-07T12:24:00Z</cp:lastPrinted>
  <dcterms:created xsi:type="dcterms:W3CDTF">2025-07-30T07:13:00Z</dcterms:created>
  <dcterms:modified xsi:type="dcterms:W3CDTF">2025-08-11T13:47:00Z</dcterms:modified>
</cp:coreProperties>
</file>