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97" w:rsidRDefault="00974C97" w:rsidP="00282949">
      <w:pPr>
        <w:spacing w:after="0"/>
        <w:rPr>
          <w:b/>
        </w:rPr>
      </w:pPr>
    </w:p>
    <w:p w:rsidR="00974C97" w:rsidRDefault="00DB5BF0">
      <w:pPr>
        <w:spacing w:after="0"/>
        <w:ind w:firstLine="709"/>
        <w:jc w:val="center"/>
        <w:rPr>
          <w:b/>
        </w:rPr>
      </w:pPr>
      <w:r>
        <w:rPr>
          <w:b/>
        </w:rPr>
        <w:t>АНАЛІЗ РЕГУЛЯТОРНОГО ВПЛИВУ</w:t>
      </w:r>
    </w:p>
    <w:p w:rsidR="00974C97" w:rsidRDefault="00DB5BF0">
      <w:pPr>
        <w:spacing w:after="0"/>
        <w:jc w:val="center"/>
        <w:rPr>
          <w:b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наказу Міністерства освіти і науки України «Про визнання таким, що втратив чинність, наказу Міністерства освіти і науки України від </w:t>
      </w:r>
      <w:r>
        <w:rPr>
          <w:b/>
          <w:highlight w:val="white"/>
        </w:rPr>
        <w:t>05.09.2022 року № 792</w:t>
      </w:r>
      <w:r>
        <w:rPr>
          <w:b/>
        </w:rPr>
        <w:t>»</w:t>
      </w:r>
    </w:p>
    <w:p w:rsidR="00974C97" w:rsidRDefault="00974C97">
      <w:pPr>
        <w:spacing w:after="0"/>
        <w:jc w:val="center"/>
        <w:rPr>
          <w:b/>
        </w:rPr>
      </w:pPr>
    </w:p>
    <w:p w:rsidR="00974C97" w:rsidRDefault="00DB5BF0">
      <w:pPr>
        <w:spacing w:after="0"/>
        <w:jc w:val="center"/>
        <w:rPr>
          <w:b/>
        </w:rPr>
      </w:pPr>
      <w:r>
        <w:rPr>
          <w:b/>
        </w:rPr>
        <w:t>І. Визначення проблеми</w:t>
      </w:r>
    </w:p>
    <w:p w:rsidR="00974C97" w:rsidRDefault="00DB5BF0">
      <w:pPr>
        <w:spacing w:after="0"/>
        <w:ind w:firstLine="708"/>
        <w:jc w:val="both"/>
      </w:pPr>
      <w:r>
        <w:t>Частиною першою ст. 74</w:t>
      </w:r>
      <w:r>
        <w:rPr>
          <w:vertAlign w:val="superscript"/>
        </w:rPr>
        <w:t>1</w:t>
      </w:r>
      <w:r>
        <w:t xml:space="preserve"> Закону України «Про освіту» визначено, що з метою забезпечення належної цифрової взаємодії в системі освіти між органами державної влади, органами місцевого самоврядування, закладами та установами освіти, їхніми структурними підрозділами, учасниками освітнього процесу та іншими юридичними та фізичними особами в Україні функціонує програмно-апаратний комплекс «Автоматизований інформаційний комплекс освітнього менеджменту» (далі – ПАК «АІКОМ»).</w:t>
      </w:r>
    </w:p>
    <w:p w:rsidR="00974C97" w:rsidRDefault="00DB5BF0">
      <w:pPr>
        <w:spacing w:after="0"/>
        <w:ind w:firstLine="708"/>
        <w:jc w:val="both"/>
      </w:pPr>
      <w:r>
        <w:t>Наказом Міністерства о</w:t>
      </w:r>
      <w:r w:rsidR="00B61CCE">
        <w:t>світи і науки України від 05</w:t>
      </w:r>
      <w:r w:rsidR="00B61CCE">
        <w:rPr>
          <w:lang w:val="uk-UA"/>
        </w:rPr>
        <w:t xml:space="preserve"> вересня </w:t>
      </w:r>
      <w:r>
        <w:t>2022</w:t>
      </w:r>
      <w:r w:rsidR="00B61CCE">
        <w:rPr>
          <w:lang w:val="uk-UA"/>
        </w:rPr>
        <w:t xml:space="preserve"> року</w:t>
      </w:r>
      <w:r>
        <w:t xml:space="preserve"> № 792 «Про затвердження Порядку доступу до інформації центральної бази даних програмно-апаратного комплексу «Автоматизований інформаційний комплекс освітнього менеджменту», зареєстрований у Міністерстві юстиції України 11 жовтня 2022 року</w:t>
      </w:r>
      <w:r w:rsidR="00282949">
        <w:t xml:space="preserve"> за № 1218/38554</w:t>
      </w:r>
      <w:r w:rsidR="00B61CCE">
        <w:rPr>
          <w:lang w:val="uk-UA"/>
        </w:rPr>
        <w:t>,</w:t>
      </w:r>
      <w:r w:rsidR="00282949">
        <w:t xml:space="preserve"> </w:t>
      </w:r>
      <w:proofErr w:type="spellStart"/>
      <w:r w:rsidR="00282949">
        <w:t>врегулю</w:t>
      </w:r>
      <w:r w:rsidR="00282949">
        <w:rPr>
          <w:lang w:val="uk-UA"/>
        </w:rPr>
        <w:t>вано</w:t>
      </w:r>
      <w:proofErr w:type="spellEnd"/>
      <w:r w:rsidR="00282949">
        <w:t xml:space="preserve"> </w:t>
      </w:r>
      <w:proofErr w:type="spellStart"/>
      <w:r w:rsidR="00282949">
        <w:t>порядк</w:t>
      </w:r>
      <w:proofErr w:type="spellEnd"/>
      <w:r>
        <w:t xml:space="preserve"> доступу до інформації центральної бази даних ПАК «АІКОМ» (далі – ЦБД ПАК «АІКОМ»).</w:t>
      </w:r>
    </w:p>
    <w:p w:rsidR="00974C97" w:rsidRDefault="00B61CCE">
      <w:pPr>
        <w:spacing w:after="0"/>
        <w:ind w:firstLine="708"/>
        <w:jc w:val="both"/>
      </w:pPr>
      <w:r>
        <w:t xml:space="preserve">Одночасно з цим, відповідно до </w:t>
      </w:r>
      <w:r w:rsidR="00DB5BF0">
        <w:t>Положення про програмно-апаратний комплекс «Автоматизований інформаційний комплекс освітнього менеджменту», затвердженого постановою Кабінету Міністрів України від 02 грудня 2021 року № 1255 (зі змінами) (д</w:t>
      </w:r>
      <w:r>
        <w:t xml:space="preserve">алі – Положення), </w:t>
      </w:r>
      <w:proofErr w:type="spellStart"/>
      <w:r>
        <w:t>регламен</w:t>
      </w:r>
      <w:r>
        <w:rPr>
          <w:lang w:val="uk-UA"/>
        </w:rPr>
        <w:t>товано</w:t>
      </w:r>
      <w:proofErr w:type="spellEnd"/>
      <w:r w:rsidR="00DB5BF0">
        <w:t xml:space="preserve">, що </w:t>
      </w:r>
      <w:r w:rsidR="00DB5BF0">
        <w:rPr>
          <w:highlight w:val="white"/>
        </w:rPr>
        <w:t xml:space="preserve">порядок доступу до інформації, </w:t>
      </w:r>
      <w:r w:rsidR="00DB5BF0">
        <w:t xml:space="preserve">визначено Кабінетом Міністрів України, що й обумовлює необхідність розроблення </w:t>
      </w:r>
      <w:proofErr w:type="spellStart"/>
      <w:r w:rsidR="00DB5BF0">
        <w:t>проєкту</w:t>
      </w:r>
      <w:proofErr w:type="spellEnd"/>
      <w:r w:rsidR="00DB5BF0">
        <w:t xml:space="preserve"> </w:t>
      </w:r>
      <w:proofErr w:type="spellStart"/>
      <w:r w:rsidR="00DB5BF0">
        <w:t>акта</w:t>
      </w:r>
      <w:proofErr w:type="spellEnd"/>
      <w:r w:rsidR="00DB5BF0">
        <w:t>.</w:t>
      </w:r>
    </w:p>
    <w:p w:rsidR="00974C97" w:rsidRDefault="00DB5BF0">
      <w:pPr>
        <w:spacing w:after="0"/>
        <w:ind w:firstLine="708"/>
        <w:jc w:val="both"/>
      </w:pPr>
      <w:r>
        <w:t xml:space="preserve">Наразі МОН ведеться робота над впровадженням модернізованої версії програмного забезпечення ПАК «АІКОМ», що дозволить підвищити продуктивність та функціональність комплексу, оптимізувати адміністрування та підтримку користувачів, забезпечити інтеграцію з іншими державними інформаційно-комунікаційними системами та підвищення рівня безпеки даних. </w:t>
      </w:r>
    </w:p>
    <w:p w:rsidR="00974C97" w:rsidRDefault="00DB5BF0">
      <w:pPr>
        <w:spacing w:after="0"/>
        <w:ind w:firstLine="708"/>
        <w:jc w:val="both"/>
      </w:pPr>
      <w:r>
        <w:t xml:space="preserve">Зважаючи на зазначене, підготовлено </w:t>
      </w:r>
      <w:proofErr w:type="spellStart"/>
      <w:r>
        <w:t>проєкт</w:t>
      </w:r>
      <w:proofErr w:type="spellEnd"/>
      <w:r>
        <w:t xml:space="preserve"> оновлених технічних вимог до електронних освітніх інформаційних систем (далі – ОІС) для інтеграції з ЦБД ПАК «АІКОМ», який планується затвердити наказом МОН. Відповідний наказ, згідно із абзацом сьомим пункту 5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 року № 731, є нормативно-технічним документом і не підлягає державній реєстрації.</w:t>
      </w:r>
    </w:p>
    <w:p w:rsidR="00974C97" w:rsidRDefault="00DB5BF0" w:rsidP="00847591">
      <w:pPr>
        <w:spacing w:after="0"/>
        <w:ind w:firstLine="708"/>
        <w:jc w:val="both"/>
      </w:pPr>
      <w:r>
        <w:t xml:space="preserve">З огляду на те, що технічні вимоги є внутрішнім документом власника ПАК «АІКОМ» і призначені для використання у діяльності технічного </w:t>
      </w:r>
      <w:r>
        <w:lastRenderedPageBreak/>
        <w:t xml:space="preserve">адміністратора </w:t>
      </w:r>
      <w:r w:rsidR="00B61CCE" w:rsidRPr="00E1080E">
        <w:t>пропонується визнати таким, що втратив чинність</w:t>
      </w:r>
      <w:r w:rsidR="00B61CCE">
        <w:t>, відповідний</w:t>
      </w:r>
      <w:r w:rsidR="00B61CCE" w:rsidRPr="00E1080E">
        <w:t xml:space="preserve"> </w:t>
      </w:r>
      <w:proofErr w:type="spellStart"/>
      <w:r w:rsidR="00B61CCE" w:rsidRPr="00E1080E">
        <w:t>проєкт</w:t>
      </w:r>
      <w:proofErr w:type="spellEnd"/>
      <w:r w:rsidR="00B61CCE" w:rsidRPr="00E1080E">
        <w:t xml:space="preserve"> </w:t>
      </w:r>
      <w:proofErr w:type="spellStart"/>
      <w:r w:rsidR="00B61CCE" w:rsidRPr="00E1080E">
        <w:t>акта</w:t>
      </w:r>
      <w:proofErr w:type="spellEnd"/>
      <w:r w:rsidR="00B61CCE" w:rsidRPr="00E1080E">
        <w:t xml:space="preserve">. </w:t>
      </w:r>
      <w:r>
        <w:t xml:space="preserve">Це забезпечить приведення у відповідність організаційно-розпорядчих актів МОН як суб’єкта </w:t>
      </w:r>
      <w:proofErr w:type="spellStart"/>
      <w:r>
        <w:t>нормотворення</w:t>
      </w:r>
      <w:proofErr w:type="spellEnd"/>
      <w:r>
        <w:t>, до вимог чинного законодавства.</w:t>
      </w:r>
    </w:p>
    <w:p w:rsidR="00974C97" w:rsidRDefault="00DB5BF0">
      <w:pPr>
        <w:spacing w:after="0"/>
        <w:ind w:firstLine="708"/>
        <w:jc w:val="both"/>
      </w:pPr>
      <w:r>
        <w:t>Основні групи (підгрупи), на які проблема справляє вплив:</w:t>
      </w:r>
    </w:p>
    <w:tbl>
      <w:tblPr>
        <w:tblStyle w:val="a5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193"/>
        <w:gridCol w:w="2194"/>
      </w:tblGrid>
      <w:tr w:rsidR="00974C97">
        <w:tc>
          <w:tcPr>
            <w:tcW w:w="4957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Групи (підгрупи)</w:t>
            </w:r>
          </w:p>
        </w:tc>
        <w:tc>
          <w:tcPr>
            <w:tcW w:w="2193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Так</w:t>
            </w:r>
          </w:p>
        </w:tc>
        <w:tc>
          <w:tcPr>
            <w:tcW w:w="2194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Ні</w:t>
            </w:r>
          </w:p>
        </w:tc>
      </w:tr>
      <w:tr w:rsidR="00974C97">
        <w:tc>
          <w:tcPr>
            <w:tcW w:w="4957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Громадяни</w:t>
            </w:r>
          </w:p>
        </w:tc>
        <w:tc>
          <w:tcPr>
            <w:tcW w:w="219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9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4C97">
        <w:tc>
          <w:tcPr>
            <w:tcW w:w="4957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Держава</w:t>
            </w:r>
          </w:p>
        </w:tc>
        <w:tc>
          <w:tcPr>
            <w:tcW w:w="219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19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4C97">
        <w:tc>
          <w:tcPr>
            <w:tcW w:w="4957" w:type="dxa"/>
          </w:tcPr>
          <w:p w:rsidR="00974C97" w:rsidRDefault="00DB5BF0">
            <w:pPr>
              <w:rPr>
                <w:b/>
              </w:rPr>
            </w:pPr>
            <w:r>
              <w:t>Суб’єкти господарювання</w:t>
            </w:r>
          </w:p>
        </w:tc>
        <w:tc>
          <w:tcPr>
            <w:tcW w:w="219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9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4C97">
        <w:tc>
          <w:tcPr>
            <w:tcW w:w="4957" w:type="dxa"/>
          </w:tcPr>
          <w:p w:rsidR="00974C97" w:rsidRDefault="00DB5BF0">
            <w:pPr>
              <w:jc w:val="both"/>
              <w:rPr>
                <w:b/>
              </w:rPr>
            </w:pPr>
            <w:r>
              <w:t>у т. ч. суб’єкти малого підприємництва</w:t>
            </w:r>
          </w:p>
        </w:tc>
        <w:tc>
          <w:tcPr>
            <w:tcW w:w="219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9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74C97" w:rsidRDefault="00DB5BF0">
      <w:pPr>
        <w:spacing w:after="0"/>
        <w:ind w:firstLine="708"/>
        <w:jc w:val="both"/>
      </w:pPr>
      <w:r>
        <w:t>Врегулювання зазначеної проблеми питання не може бути здійснено за допомогою:</w:t>
      </w:r>
    </w:p>
    <w:p w:rsidR="00974C97" w:rsidRDefault="00DB5BF0">
      <w:pPr>
        <w:spacing w:after="0"/>
        <w:ind w:firstLine="708"/>
        <w:jc w:val="both"/>
      </w:pPr>
      <w:r>
        <w:t xml:space="preserve">ринкових механізмів, оскільки такі питання регулюються виключно нормативно-правовими актами; </w:t>
      </w:r>
    </w:p>
    <w:p w:rsidR="00974C97" w:rsidRDefault="00DB5BF0">
      <w:pPr>
        <w:spacing w:after="0"/>
        <w:ind w:firstLine="708"/>
        <w:jc w:val="both"/>
      </w:pPr>
      <w:r>
        <w:t>діючих регуляторних актів, оскільки чинним законодавством дублюються норми.</w:t>
      </w:r>
    </w:p>
    <w:p w:rsidR="00974C97" w:rsidRDefault="00974C97">
      <w:pPr>
        <w:spacing w:after="0"/>
        <w:ind w:firstLine="708"/>
        <w:jc w:val="both"/>
      </w:pPr>
    </w:p>
    <w:p w:rsidR="00974C97" w:rsidRDefault="00DB5BF0" w:rsidP="00282949">
      <w:pPr>
        <w:spacing w:after="0"/>
        <w:ind w:firstLine="708"/>
        <w:jc w:val="center"/>
        <w:rPr>
          <w:b/>
        </w:rPr>
      </w:pPr>
      <w:r>
        <w:rPr>
          <w:b/>
        </w:rPr>
        <w:t>II. Цілі державного регулювання</w:t>
      </w:r>
    </w:p>
    <w:p w:rsidR="00974C97" w:rsidRDefault="00DB5BF0">
      <w:pPr>
        <w:spacing w:after="0"/>
        <w:ind w:firstLine="708"/>
        <w:rPr>
          <w:u w:val="single"/>
        </w:rPr>
      </w:pPr>
      <w:r>
        <w:rPr>
          <w:u w:val="single"/>
        </w:rPr>
        <w:t xml:space="preserve">Основними цілями державного регулювання є: </w:t>
      </w:r>
    </w:p>
    <w:p w:rsidR="00974C97" w:rsidRDefault="00DB5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</w:pPr>
      <w:r>
        <w:t>актуалізація власних організаційно-розпорядчих актів відповідно до вимог законодавства.</w:t>
      </w:r>
    </w:p>
    <w:p w:rsidR="00974C97" w:rsidRDefault="00974C97">
      <w:pPr>
        <w:spacing w:after="0"/>
        <w:jc w:val="both"/>
        <w:rPr>
          <w:b/>
          <w:u w:val="single"/>
        </w:rPr>
      </w:pPr>
    </w:p>
    <w:p w:rsidR="00974C97" w:rsidRDefault="00DB5BF0" w:rsidP="00282949">
      <w:pPr>
        <w:spacing w:after="0"/>
        <w:jc w:val="center"/>
        <w:rPr>
          <w:b/>
        </w:rPr>
      </w:pPr>
      <w:r>
        <w:rPr>
          <w:b/>
        </w:rPr>
        <w:t>III. Визначення та оцінка альтернативних способів досягнення цілей</w:t>
      </w:r>
    </w:p>
    <w:p w:rsidR="00974C97" w:rsidRDefault="00DB5BF0">
      <w:pPr>
        <w:spacing w:after="0"/>
        <w:jc w:val="center"/>
        <w:rPr>
          <w:b/>
          <w:u w:val="single"/>
        </w:rPr>
      </w:pPr>
      <w:r>
        <w:t>1. Визначення альтернативних способів</w:t>
      </w:r>
    </w:p>
    <w:tbl>
      <w:tblPr>
        <w:tblStyle w:val="a6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974C97">
        <w:tc>
          <w:tcPr>
            <w:tcW w:w="467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Вид альтернативи</w:t>
            </w:r>
          </w:p>
        </w:tc>
        <w:tc>
          <w:tcPr>
            <w:tcW w:w="467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Опис альтернативи</w:t>
            </w:r>
          </w:p>
        </w:tc>
      </w:tr>
      <w:tr w:rsidR="00974C97">
        <w:tc>
          <w:tcPr>
            <w:tcW w:w="467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Альтернатива 1</w:t>
            </w:r>
          </w:p>
        </w:tc>
        <w:tc>
          <w:tcPr>
            <w:tcW w:w="4672" w:type="dxa"/>
          </w:tcPr>
          <w:p w:rsidR="00974C97" w:rsidRDefault="00DB5BF0">
            <w:r>
              <w:t xml:space="preserve">Збереження чинного регулювання. </w:t>
            </w:r>
          </w:p>
          <w:p w:rsidR="00974C97" w:rsidRDefault="00DB5BF0">
            <w:r>
              <w:t>Дублювання норм чинних нормативно-правових актів.</w:t>
            </w:r>
          </w:p>
        </w:tc>
      </w:tr>
      <w:tr w:rsidR="00974C97">
        <w:tc>
          <w:tcPr>
            <w:tcW w:w="467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Альтернатива 2</w:t>
            </w:r>
          </w:p>
        </w:tc>
        <w:tc>
          <w:tcPr>
            <w:tcW w:w="4672" w:type="dxa"/>
          </w:tcPr>
          <w:p w:rsidR="00974C97" w:rsidRDefault="00DB5BF0">
            <w:pPr>
              <w:rPr>
                <w:b/>
                <w:u w:val="single"/>
              </w:rPr>
            </w:pPr>
            <w:r>
              <w:t xml:space="preserve">Затвердження </w:t>
            </w:r>
            <w:proofErr w:type="spellStart"/>
            <w:r>
              <w:t>проєкту</w:t>
            </w:r>
            <w:proofErr w:type="spellEnd"/>
            <w:r>
              <w:t xml:space="preserve"> наказу МОН «Про визнання таким, що втратив чинність, наказу Міністерства освіти і науки України від </w:t>
            </w:r>
            <w:r>
              <w:rPr>
                <w:highlight w:val="white"/>
              </w:rPr>
              <w:t>05.09.2022 року № 792</w:t>
            </w:r>
            <w:r>
              <w:t>»</w:t>
            </w:r>
            <w:r w:rsidR="00282949">
              <w:rPr>
                <w:lang w:val="uk-UA"/>
              </w:rPr>
              <w:t>,</w:t>
            </w:r>
            <w:r>
              <w:t xml:space="preserve"> дозволить привести у відповідність організаційно-розпорядчі акти МОН до вимог законодавства.</w:t>
            </w:r>
          </w:p>
        </w:tc>
      </w:tr>
    </w:tbl>
    <w:p w:rsidR="00282949" w:rsidRDefault="00282949">
      <w:pPr>
        <w:spacing w:after="0"/>
        <w:jc w:val="center"/>
      </w:pPr>
    </w:p>
    <w:p w:rsidR="00974C97" w:rsidRDefault="00DB5BF0">
      <w:pPr>
        <w:spacing w:after="0"/>
        <w:jc w:val="center"/>
      </w:pPr>
      <w:r>
        <w:t xml:space="preserve">2. Оцінка вибраних альтернативних способів досягнення цілей </w:t>
      </w:r>
    </w:p>
    <w:p w:rsidR="00974C97" w:rsidRDefault="00DB5BF0">
      <w:pPr>
        <w:spacing w:after="0"/>
        <w:jc w:val="center"/>
        <w:rPr>
          <w:i/>
        </w:rPr>
      </w:pPr>
      <w:r>
        <w:rPr>
          <w:i/>
        </w:rPr>
        <w:t>Оцінка впливу на сферу інтересів держави</w:t>
      </w:r>
    </w:p>
    <w:tbl>
      <w:tblPr>
        <w:tblStyle w:val="a7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386"/>
        <w:gridCol w:w="1852"/>
      </w:tblGrid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Вид альтернативи</w:t>
            </w:r>
          </w:p>
        </w:tc>
        <w:tc>
          <w:tcPr>
            <w:tcW w:w="5386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Вигоди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Витрати</w:t>
            </w:r>
          </w:p>
        </w:tc>
      </w:tr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Альтернатива 1</w:t>
            </w:r>
          </w:p>
        </w:tc>
        <w:tc>
          <w:tcPr>
            <w:tcW w:w="5386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Відсутні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Відсутні</w:t>
            </w:r>
          </w:p>
        </w:tc>
      </w:tr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lastRenderedPageBreak/>
              <w:t>Альтернатива 2</w:t>
            </w:r>
          </w:p>
        </w:tc>
        <w:tc>
          <w:tcPr>
            <w:tcW w:w="5386" w:type="dxa"/>
          </w:tcPr>
          <w:p w:rsidR="00974C97" w:rsidRDefault="00282949">
            <w:pPr>
              <w:rPr>
                <w:b/>
                <w:u w:val="single"/>
              </w:rPr>
            </w:pPr>
            <w:r>
              <w:rPr>
                <w:lang w:val="uk-UA"/>
              </w:rPr>
              <w:t>А</w:t>
            </w:r>
            <w:proofErr w:type="spellStart"/>
            <w:r w:rsidR="00DB5BF0">
              <w:t>ктуалізація</w:t>
            </w:r>
            <w:proofErr w:type="spellEnd"/>
            <w:r w:rsidR="00DB5BF0">
              <w:t xml:space="preserve"> власних організаційно-розпорядчих актів відповідно до вимог законодавства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Не потребує</w:t>
            </w:r>
          </w:p>
        </w:tc>
      </w:tr>
    </w:tbl>
    <w:p w:rsidR="00974C97" w:rsidRDefault="00974C97">
      <w:pPr>
        <w:spacing w:after="0"/>
        <w:jc w:val="center"/>
        <w:rPr>
          <w:b/>
          <w:u w:val="single"/>
        </w:rPr>
      </w:pPr>
    </w:p>
    <w:p w:rsidR="00974C97" w:rsidRDefault="00DB5BF0">
      <w:pPr>
        <w:spacing w:after="0"/>
        <w:jc w:val="center"/>
        <w:rPr>
          <w:i/>
        </w:rPr>
      </w:pPr>
      <w:r>
        <w:rPr>
          <w:i/>
        </w:rPr>
        <w:t>Оцінка впливу на сферу інтересів громадян</w:t>
      </w:r>
    </w:p>
    <w:tbl>
      <w:tblPr>
        <w:tblStyle w:val="a8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386"/>
        <w:gridCol w:w="1852"/>
      </w:tblGrid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Вид альтернативи</w:t>
            </w:r>
          </w:p>
        </w:tc>
        <w:tc>
          <w:tcPr>
            <w:tcW w:w="5386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Вигоди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Витрати</w:t>
            </w:r>
          </w:p>
        </w:tc>
      </w:tr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Альтернатива 1</w:t>
            </w:r>
          </w:p>
        </w:tc>
        <w:tc>
          <w:tcPr>
            <w:tcW w:w="5386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Відсутні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Відсутні</w:t>
            </w:r>
          </w:p>
        </w:tc>
      </w:tr>
      <w:tr w:rsidR="00974C97" w:rsidTr="00282949">
        <w:tc>
          <w:tcPr>
            <w:tcW w:w="2122" w:type="dxa"/>
          </w:tcPr>
          <w:p w:rsidR="00974C97" w:rsidRDefault="00DB5BF0">
            <w:pPr>
              <w:jc w:val="center"/>
              <w:rPr>
                <w:b/>
                <w:u w:val="single"/>
              </w:rPr>
            </w:pPr>
            <w:r>
              <w:t>Альтернатива 2</w:t>
            </w:r>
          </w:p>
        </w:tc>
        <w:tc>
          <w:tcPr>
            <w:tcW w:w="5386" w:type="dxa"/>
          </w:tcPr>
          <w:p w:rsidR="00974C97" w:rsidRDefault="00DB5BF0">
            <w:pPr>
              <w:jc w:val="both"/>
              <w:rPr>
                <w:b/>
                <w:u w:val="single"/>
              </w:rPr>
            </w:pPr>
            <w:r>
              <w:t>Правове регулювання, виконання норм визначених  організаційно-розпорядчими актами МОН</w:t>
            </w:r>
          </w:p>
        </w:tc>
        <w:tc>
          <w:tcPr>
            <w:tcW w:w="1852" w:type="dxa"/>
          </w:tcPr>
          <w:p w:rsidR="00974C97" w:rsidRDefault="00DB5BF0">
            <w:pPr>
              <w:jc w:val="center"/>
            </w:pPr>
            <w:r>
              <w:t>Не потребує</w:t>
            </w:r>
          </w:p>
        </w:tc>
      </w:tr>
    </w:tbl>
    <w:p w:rsidR="00974C97" w:rsidRDefault="00DB5BF0" w:rsidP="00282949">
      <w:pPr>
        <w:spacing w:after="0"/>
        <w:jc w:val="center"/>
        <w:rPr>
          <w:i/>
        </w:rPr>
      </w:pPr>
      <w:r>
        <w:rPr>
          <w:i/>
        </w:rPr>
        <w:t>Оцінка впливу на сферу інтересів суб’єктів господарювання</w:t>
      </w:r>
    </w:p>
    <w:p w:rsidR="00974C97" w:rsidRDefault="00DB5BF0">
      <w:pPr>
        <w:spacing w:after="0"/>
        <w:ind w:firstLine="708"/>
        <w:jc w:val="both"/>
      </w:pPr>
      <w:r>
        <w:t>Суб’єкти господарювання, які є власниками освітніх інформаційних систем, призначених для автоматизації управління закладом освіти в сферах дошкільної, загальної середньої, позашкільної, професійної (</w:t>
      </w:r>
      <w:proofErr w:type="spellStart"/>
      <w:r>
        <w:t>професійн</w:t>
      </w:r>
      <w:bookmarkStart w:id="0" w:name="_GoBack"/>
      <w:bookmarkEnd w:id="0"/>
      <w:r>
        <w:t>о</w:t>
      </w:r>
      <w:proofErr w:type="spellEnd"/>
      <w:r w:rsidR="00847591">
        <w:rPr>
          <w:lang w:val="uk-UA"/>
        </w:rPr>
        <w:t>-</w:t>
      </w:r>
      <w:r>
        <w:t>технічної) освіти, створення, обробки, обміну інформацією й документами в електронній формі для регулювання порядку доступу до інформації ЦБД ПАК «</w:t>
      </w:r>
      <w:r w:rsidR="00282949">
        <w:t>АІКОМ» керуватимуться</w:t>
      </w:r>
      <w:r>
        <w:t xml:space="preserve"> Положення</w:t>
      </w:r>
      <w:r w:rsidR="00282949">
        <w:rPr>
          <w:lang w:val="uk-UA"/>
        </w:rPr>
        <w:t>м</w:t>
      </w:r>
      <w:r>
        <w:t>.</w:t>
      </w:r>
    </w:p>
    <w:tbl>
      <w:tblPr>
        <w:tblStyle w:val="a9"/>
        <w:tblW w:w="9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1"/>
        <w:gridCol w:w="1332"/>
        <w:gridCol w:w="1332"/>
        <w:gridCol w:w="1333"/>
        <w:gridCol w:w="1332"/>
        <w:gridCol w:w="1333"/>
      </w:tblGrid>
      <w:tr w:rsidR="00974C97">
        <w:tc>
          <w:tcPr>
            <w:tcW w:w="2682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Показник</w:t>
            </w:r>
          </w:p>
        </w:tc>
        <w:tc>
          <w:tcPr>
            <w:tcW w:w="1332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Великі</w:t>
            </w:r>
          </w:p>
        </w:tc>
        <w:tc>
          <w:tcPr>
            <w:tcW w:w="1332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Середні</w:t>
            </w:r>
          </w:p>
        </w:tc>
        <w:tc>
          <w:tcPr>
            <w:tcW w:w="1333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Малі</w:t>
            </w:r>
          </w:p>
        </w:tc>
        <w:tc>
          <w:tcPr>
            <w:tcW w:w="1332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Мікро</w:t>
            </w:r>
          </w:p>
        </w:tc>
        <w:tc>
          <w:tcPr>
            <w:tcW w:w="1333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Разом</w:t>
            </w:r>
          </w:p>
        </w:tc>
      </w:tr>
      <w:tr w:rsidR="00974C97">
        <w:tc>
          <w:tcPr>
            <w:tcW w:w="2682" w:type="dxa"/>
          </w:tcPr>
          <w:p w:rsidR="00974C97" w:rsidRDefault="00DB5BF0">
            <w:pPr>
              <w:jc w:val="both"/>
            </w:pPr>
            <w:r>
              <w:t>Кількість суб’єктів господарювання, що підпадають під дію регулювання, од.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</w:t>
            </w:r>
          </w:p>
        </w:tc>
        <w:tc>
          <w:tcPr>
            <w:tcW w:w="1333" w:type="dxa"/>
          </w:tcPr>
          <w:p w:rsidR="00974C97" w:rsidRDefault="00DB5BF0">
            <w:pPr>
              <w:jc w:val="both"/>
            </w:pPr>
            <w:r>
              <w:t>0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</w:t>
            </w:r>
          </w:p>
        </w:tc>
        <w:tc>
          <w:tcPr>
            <w:tcW w:w="1333" w:type="dxa"/>
          </w:tcPr>
          <w:p w:rsidR="00974C97" w:rsidRDefault="00DB5BF0">
            <w:pPr>
              <w:jc w:val="both"/>
            </w:pPr>
            <w:r>
              <w:t>0</w:t>
            </w:r>
          </w:p>
        </w:tc>
      </w:tr>
      <w:tr w:rsidR="00974C97">
        <w:tc>
          <w:tcPr>
            <w:tcW w:w="2682" w:type="dxa"/>
          </w:tcPr>
          <w:p w:rsidR="00974C97" w:rsidRDefault="00DB5BF0">
            <w:pPr>
              <w:jc w:val="both"/>
            </w:pPr>
            <w:r>
              <w:t>Питома вага групи в загальній кількості, відсотків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0 %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0 %</w:t>
            </w:r>
          </w:p>
        </w:tc>
        <w:tc>
          <w:tcPr>
            <w:tcW w:w="1333" w:type="dxa"/>
          </w:tcPr>
          <w:p w:rsidR="00974C97" w:rsidRDefault="00DB5BF0">
            <w:pPr>
              <w:jc w:val="both"/>
            </w:pPr>
            <w:r>
              <w:t>0%</w:t>
            </w:r>
          </w:p>
        </w:tc>
        <w:tc>
          <w:tcPr>
            <w:tcW w:w="1332" w:type="dxa"/>
          </w:tcPr>
          <w:p w:rsidR="00974C97" w:rsidRDefault="00DB5BF0">
            <w:pPr>
              <w:jc w:val="both"/>
            </w:pPr>
            <w:r>
              <w:t>0 %</w:t>
            </w:r>
          </w:p>
        </w:tc>
        <w:tc>
          <w:tcPr>
            <w:tcW w:w="1333" w:type="dxa"/>
          </w:tcPr>
          <w:p w:rsidR="00974C97" w:rsidRDefault="00DB5BF0">
            <w:pPr>
              <w:jc w:val="both"/>
            </w:pPr>
            <w:r>
              <w:t>0%</w:t>
            </w:r>
          </w:p>
        </w:tc>
      </w:tr>
    </w:tbl>
    <w:p w:rsidR="00974C97" w:rsidRDefault="00DB5BF0">
      <w:pPr>
        <w:spacing w:after="0"/>
        <w:ind w:firstLine="708"/>
        <w:jc w:val="both"/>
      </w:pPr>
      <w:r>
        <w:t>Питома вага суб’єктів малого підприємництва в загальній кількості суб’єктів господарювання, на яких проблема справляє вплив 0 % (відсотків).</w:t>
      </w:r>
    </w:p>
    <w:tbl>
      <w:tblPr>
        <w:tblStyle w:val="a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540"/>
        <w:gridCol w:w="3115"/>
      </w:tblGrid>
      <w:tr w:rsidR="00974C97" w:rsidTr="00785AFC">
        <w:tc>
          <w:tcPr>
            <w:tcW w:w="2689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Вид альтернативи</w:t>
            </w:r>
          </w:p>
        </w:tc>
        <w:tc>
          <w:tcPr>
            <w:tcW w:w="3540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Вигоди</w:t>
            </w:r>
          </w:p>
        </w:tc>
        <w:tc>
          <w:tcPr>
            <w:tcW w:w="3115" w:type="dxa"/>
          </w:tcPr>
          <w:p w:rsidR="00974C97" w:rsidRDefault="00DB5BF0">
            <w:pPr>
              <w:jc w:val="center"/>
              <w:rPr>
                <w:b/>
              </w:rPr>
            </w:pPr>
            <w:r>
              <w:rPr>
                <w:b/>
              </w:rPr>
              <w:t>Витрати</w:t>
            </w:r>
          </w:p>
        </w:tc>
      </w:tr>
      <w:tr w:rsidR="00974C97" w:rsidTr="00785AFC">
        <w:tc>
          <w:tcPr>
            <w:tcW w:w="2689" w:type="dxa"/>
          </w:tcPr>
          <w:p w:rsidR="00974C97" w:rsidRDefault="00DB5BF0">
            <w:pPr>
              <w:jc w:val="both"/>
            </w:pPr>
            <w:r>
              <w:t>Альтернатива 1</w:t>
            </w:r>
          </w:p>
        </w:tc>
        <w:tc>
          <w:tcPr>
            <w:tcW w:w="3540" w:type="dxa"/>
          </w:tcPr>
          <w:p w:rsidR="00974C97" w:rsidRDefault="00DB5BF0" w:rsidP="00785AFC">
            <w:pPr>
              <w:jc w:val="both"/>
            </w:pPr>
            <w:r>
              <w:t xml:space="preserve">Відсутні. 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</w:pPr>
            <w:r>
              <w:t>Додаткові витрати відсутні.</w:t>
            </w:r>
          </w:p>
        </w:tc>
      </w:tr>
      <w:tr w:rsidR="00974C97" w:rsidTr="00785AFC">
        <w:tc>
          <w:tcPr>
            <w:tcW w:w="2689" w:type="dxa"/>
          </w:tcPr>
          <w:p w:rsidR="00974C97" w:rsidRDefault="00DB5BF0">
            <w:pPr>
              <w:jc w:val="both"/>
            </w:pPr>
            <w:r>
              <w:t>Альтернатива 2</w:t>
            </w:r>
          </w:p>
        </w:tc>
        <w:tc>
          <w:tcPr>
            <w:tcW w:w="3540" w:type="dxa"/>
          </w:tcPr>
          <w:p w:rsidR="00974C97" w:rsidRDefault="00785AFC">
            <w:pPr>
              <w:jc w:val="both"/>
            </w:pPr>
            <w:r>
              <w:t>Порядок доступу визначено в Положенні.</w:t>
            </w:r>
            <w:r>
              <w:rPr>
                <w:lang w:val="uk-UA"/>
              </w:rPr>
              <w:t xml:space="preserve"> </w:t>
            </w:r>
            <w:r w:rsidR="00DB5BF0">
              <w:t>Приведення у відповідність організаційно-розпорядчих актів МОН до вимог законодавства.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</w:pPr>
            <w:r>
              <w:t>Відсутні.</w:t>
            </w:r>
          </w:p>
        </w:tc>
      </w:tr>
    </w:tbl>
    <w:p w:rsidR="00974C97" w:rsidRDefault="00974C97">
      <w:pPr>
        <w:spacing w:after="0"/>
        <w:ind w:firstLine="708"/>
        <w:jc w:val="both"/>
      </w:pPr>
    </w:p>
    <w:tbl>
      <w:tblPr>
        <w:tblStyle w:val="ab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655"/>
      </w:tblGrid>
      <w:tr w:rsidR="00974C97">
        <w:tc>
          <w:tcPr>
            <w:tcW w:w="2689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Сумарні витрати за альтернативами</w:t>
            </w:r>
          </w:p>
        </w:tc>
        <w:tc>
          <w:tcPr>
            <w:tcW w:w="6655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Сума витрат, гривень</w:t>
            </w:r>
          </w:p>
        </w:tc>
      </w:tr>
      <w:tr w:rsidR="00974C97">
        <w:tc>
          <w:tcPr>
            <w:tcW w:w="2689" w:type="dxa"/>
          </w:tcPr>
          <w:p w:rsidR="00974C97" w:rsidRDefault="00DB5BF0">
            <w:r>
              <w:t>Альтернатива 1</w:t>
            </w:r>
          </w:p>
        </w:tc>
        <w:tc>
          <w:tcPr>
            <w:tcW w:w="6655" w:type="dxa"/>
          </w:tcPr>
          <w:p w:rsidR="00974C97" w:rsidRDefault="00DB5BF0">
            <w:pPr>
              <w:jc w:val="both"/>
            </w:pPr>
            <w:r>
              <w:t>Додаткові витрати відсутні.</w:t>
            </w:r>
          </w:p>
        </w:tc>
      </w:tr>
      <w:tr w:rsidR="00974C97">
        <w:tc>
          <w:tcPr>
            <w:tcW w:w="2689" w:type="dxa"/>
          </w:tcPr>
          <w:p w:rsidR="00974C97" w:rsidRDefault="00DB5BF0">
            <w:pPr>
              <w:jc w:val="both"/>
            </w:pPr>
            <w:r>
              <w:t>Альтернатива 2</w:t>
            </w:r>
          </w:p>
        </w:tc>
        <w:tc>
          <w:tcPr>
            <w:tcW w:w="6655" w:type="dxa"/>
          </w:tcPr>
          <w:p w:rsidR="00974C97" w:rsidRDefault="00DB5BF0">
            <w:pPr>
              <w:jc w:val="both"/>
            </w:pPr>
            <w:r>
              <w:t>Додаткові витрати відсутні.</w:t>
            </w:r>
          </w:p>
        </w:tc>
      </w:tr>
    </w:tbl>
    <w:p w:rsidR="00974C97" w:rsidRDefault="00974C97">
      <w:pPr>
        <w:spacing w:after="0"/>
        <w:rPr>
          <w:b/>
        </w:rPr>
      </w:pPr>
    </w:p>
    <w:p w:rsidR="00974C97" w:rsidRDefault="00DB5BF0">
      <w:pPr>
        <w:spacing w:after="0"/>
        <w:rPr>
          <w:b/>
        </w:rPr>
      </w:pPr>
      <w:r>
        <w:rPr>
          <w:b/>
        </w:rPr>
        <w:t>IV. Вибір найбільш оптимального альтернативного способу досягнення цілей</w:t>
      </w:r>
    </w:p>
    <w:p w:rsidR="00974C97" w:rsidRDefault="00DB5BF0">
      <w:pPr>
        <w:spacing w:after="0"/>
        <w:ind w:firstLine="708"/>
        <w:jc w:val="both"/>
      </w:pPr>
      <w:r>
        <w:t xml:space="preserve">Зробити вибір оптимального альтернативного способу з урахуванням системи бальної оцінки ступеня досягнення визначених цілей. </w:t>
      </w:r>
    </w:p>
    <w:p w:rsidR="00974C97" w:rsidRDefault="00DB5BF0">
      <w:pPr>
        <w:spacing w:after="0"/>
        <w:ind w:firstLine="708"/>
        <w:jc w:val="both"/>
      </w:pPr>
      <w:r>
        <w:t>Вартість балів за чотирибальною системою оцінки ступеня досягнення визначених цілей, де:</w:t>
      </w:r>
    </w:p>
    <w:p w:rsidR="00974C97" w:rsidRDefault="00DB5BF0">
      <w:pPr>
        <w:spacing w:after="0"/>
        <w:ind w:firstLine="708"/>
        <w:jc w:val="both"/>
      </w:pPr>
      <w:r>
        <w:t xml:space="preserve">4 – 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повною мірою (проблема більше існувати не буде);</w:t>
      </w:r>
    </w:p>
    <w:p w:rsidR="00974C97" w:rsidRDefault="00DB5BF0">
      <w:pPr>
        <w:spacing w:after="0"/>
        <w:ind w:firstLine="708"/>
        <w:jc w:val="both"/>
      </w:pPr>
      <w:r>
        <w:t xml:space="preserve">3 – цілі прийняття регуляторного </w:t>
      </w:r>
      <w:proofErr w:type="spellStart"/>
      <w:r>
        <w:t>акта</w:t>
      </w:r>
      <w:proofErr w:type="spellEnd"/>
      <w:r>
        <w:t>, які можуть бути досягнуті майже повною мірою (всі важливі аспекти проблеми існувати не будуть);</w:t>
      </w:r>
    </w:p>
    <w:p w:rsidR="00974C97" w:rsidRDefault="00DB5BF0">
      <w:pPr>
        <w:spacing w:after="0"/>
        <w:ind w:firstLine="708"/>
        <w:jc w:val="both"/>
      </w:pPr>
      <w:r>
        <w:t xml:space="preserve">2 – цілі прийняття регуляторного </w:t>
      </w:r>
      <w:proofErr w:type="spellStart"/>
      <w:r>
        <w:t>акта</w:t>
      </w:r>
      <w:proofErr w:type="spellEnd"/>
      <w:r>
        <w:t xml:space="preserve">, які можуть бути досягнуті частково (проблема значно зменшиться, деякі важливі та критичні аспекти проблеми залишаться невирішеними); </w:t>
      </w:r>
    </w:p>
    <w:p w:rsidR="00974C97" w:rsidRDefault="00DB5BF0">
      <w:pPr>
        <w:spacing w:after="0"/>
        <w:ind w:firstLine="708"/>
        <w:jc w:val="both"/>
      </w:pPr>
      <w:r>
        <w:t xml:space="preserve">1 – цілі прийняття регуляторного </w:t>
      </w:r>
      <w:proofErr w:type="spellStart"/>
      <w:r>
        <w:t>акта</w:t>
      </w:r>
      <w:proofErr w:type="spellEnd"/>
      <w:r>
        <w:t>, які не можуть бути досягнуті (проблема продовжує існувати).</w:t>
      </w:r>
    </w:p>
    <w:tbl>
      <w:tblPr>
        <w:tblStyle w:val="ac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974C97">
        <w:tc>
          <w:tcPr>
            <w:tcW w:w="311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Бал результативності (за чотирибальною системою оцінки)</w:t>
            </w:r>
          </w:p>
          <w:p w:rsidR="00974C97" w:rsidRDefault="00974C97">
            <w:pPr>
              <w:jc w:val="center"/>
              <w:rPr>
                <w:b/>
              </w:rPr>
            </w:pPr>
          </w:p>
        </w:tc>
        <w:tc>
          <w:tcPr>
            <w:tcW w:w="3115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 xml:space="preserve">Коментарі щодо присвоєння відповідного </w:t>
            </w:r>
            <w:proofErr w:type="spellStart"/>
            <w:r>
              <w:rPr>
                <w:b/>
              </w:rPr>
              <w:t>бала</w:t>
            </w:r>
            <w:proofErr w:type="spellEnd"/>
          </w:p>
        </w:tc>
      </w:tr>
      <w:tr w:rsidR="00974C97">
        <w:tc>
          <w:tcPr>
            <w:tcW w:w="3114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Альтернатива 1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</w:pPr>
            <w:r>
              <w:t>1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Мінімальний бал, який вказує на неможливість досягнення цілей державного регулювання альтернативним способом.</w:t>
            </w:r>
          </w:p>
        </w:tc>
      </w:tr>
      <w:tr w:rsidR="00974C97">
        <w:tc>
          <w:tcPr>
            <w:tcW w:w="3114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Альтернатива 2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</w:pPr>
            <w:r>
              <w:t>4</w:t>
            </w:r>
          </w:p>
        </w:tc>
        <w:tc>
          <w:tcPr>
            <w:tcW w:w="3115" w:type="dxa"/>
          </w:tcPr>
          <w:p w:rsidR="00974C97" w:rsidRDefault="00DB5BF0">
            <w:pPr>
              <w:jc w:val="both"/>
            </w:pPr>
            <w:r>
              <w:t>Максимальний бал. Зазначений спосіб повною мірою задовольняє вимогу законодавства щодо уніфікованого та логічного викладення,</w:t>
            </w:r>
          </w:p>
          <w:p w:rsidR="00974C97" w:rsidRDefault="00DB5BF0">
            <w:pPr>
              <w:jc w:val="both"/>
              <w:rPr>
                <w:b/>
              </w:rPr>
            </w:pPr>
            <w:r>
              <w:t xml:space="preserve">усунення дублювання норм та є єдиним способом розв’язання проблеми. </w:t>
            </w:r>
          </w:p>
        </w:tc>
      </w:tr>
    </w:tbl>
    <w:p w:rsidR="00974C97" w:rsidRDefault="00974C97">
      <w:pPr>
        <w:spacing w:after="0"/>
        <w:ind w:firstLine="708"/>
        <w:jc w:val="both"/>
        <w:rPr>
          <w:b/>
        </w:rPr>
      </w:pPr>
    </w:p>
    <w:tbl>
      <w:tblPr>
        <w:tblStyle w:val="ad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3"/>
        <w:gridCol w:w="2324"/>
        <w:gridCol w:w="2273"/>
        <w:gridCol w:w="2324"/>
      </w:tblGrid>
      <w:tr w:rsidR="00974C97">
        <w:tc>
          <w:tcPr>
            <w:tcW w:w="242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Рейтинг результативності</w:t>
            </w:r>
          </w:p>
        </w:tc>
        <w:tc>
          <w:tcPr>
            <w:tcW w:w="232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Вигоди (підсумок)</w:t>
            </w:r>
          </w:p>
        </w:tc>
        <w:tc>
          <w:tcPr>
            <w:tcW w:w="2273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>Витрати (підсумок)</w:t>
            </w:r>
          </w:p>
        </w:tc>
        <w:tc>
          <w:tcPr>
            <w:tcW w:w="2324" w:type="dxa"/>
          </w:tcPr>
          <w:p w:rsidR="00974C97" w:rsidRDefault="00DB5BF0">
            <w:pPr>
              <w:jc w:val="both"/>
              <w:rPr>
                <w:b/>
              </w:rPr>
            </w:pPr>
            <w:r>
              <w:rPr>
                <w:b/>
              </w:rPr>
              <w:t xml:space="preserve">Обґрунтування відповідного місця </w:t>
            </w:r>
            <w:r>
              <w:rPr>
                <w:b/>
              </w:rPr>
              <w:lastRenderedPageBreak/>
              <w:t>альтернативи в рейтингу</w:t>
            </w:r>
          </w:p>
        </w:tc>
      </w:tr>
      <w:tr w:rsidR="00974C97">
        <w:tc>
          <w:tcPr>
            <w:tcW w:w="2423" w:type="dxa"/>
          </w:tcPr>
          <w:p w:rsidR="00974C97" w:rsidRDefault="00DB5BF0">
            <w:pPr>
              <w:jc w:val="both"/>
              <w:rPr>
                <w:b/>
              </w:rPr>
            </w:pPr>
            <w:r>
              <w:lastRenderedPageBreak/>
              <w:t>Альтернатива 1</w:t>
            </w:r>
          </w:p>
        </w:tc>
        <w:tc>
          <w:tcPr>
            <w:tcW w:w="2324" w:type="dxa"/>
          </w:tcPr>
          <w:p w:rsidR="00974C97" w:rsidRDefault="00DB5BF0">
            <w:pPr>
              <w:rPr>
                <w:b/>
              </w:rPr>
            </w:pPr>
            <w:r>
              <w:t>У разі залишення наявної на сьогодні ситуації без змін вигоди для держави, громадян і суб’єктів господарювання відсутні</w:t>
            </w:r>
          </w:p>
        </w:tc>
        <w:tc>
          <w:tcPr>
            <w:tcW w:w="2273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Додаткові витрати відсутні</w:t>
            </w:r>
          </w:p>
        </w:tc>
        <w:tc>
          <w:tcPr>
            <w:tcW w:w="2324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Залишення ситуації, яка існує на сьогодні, не розв’язує проблему та не сприяє виконанню програмних і стратегічних документів Уряду.</w:t>
            </w:r>
          </w:p>
        </w:tc>
      </w:tr>
      <w:tr w:rsidR="00974C97">
        <w:tc>
          <w:tcPr>
            <w:tcW w:w="2423" w:type="dxa"/>
          </w:tcPr>
          <w:p w:rsidR="00974C97" w:rsidRDefault="00DB5BF0">
            <w:pPr>
              <w:jc w:val="both"/>
              <w:rPr>
                <w:b/>
              </w:rPr>
            </w:pPr>
            <w:r>
              <w:t>Альтернатива 2</w:t>
            </w:r>
          </w:p>
        </w:tc>
        <w:tc>
          <w:tcPr>
            <w:tcW w:w="2324" w:type="dxa"/>
          </w:tcPr>
          <w:p w:rsidR="00974C97" w:rsidRDefault="00DB5BF0">
            <w:pPr>
              <w:jc w:val="both"/>
              <w:rPr>
                <w:b/>
              </w:rPr>
            </w:pPr>
            <w:r>
              <w:t xml:space="preserve">Прийняття </w:t>
            </w:r>
            <w:proofErr w:type="spellStart"/>
            <w:r>
              <w:t>акта</w:t>
            </w:r>
            <w:proofErr w:type="spellEnd"/>
            <w:r>
              <w:t xml:space="preserve"> забезпечить виконання вимог законодавства</w:t>
            </w:r>
          </w:p>
        </w:tc>
        <w:tc>
          <w:tcPr>
            <w:tcW w:w="2273" w:type="dxa"/>
          </w:tcPr>
          <w:p w:rsidR="00974C97" w:rsidRDefault="00DB5BF0">
            <w:pPr>
              <w:jc w:val="both"/>
            </w:pPr>
            <w:r>
              <w:t>Відсутні</w:t>
            </w:r>
          </w:p>
        </w:tc>
        <w:tc>
          <w:tcPr>
            <w:tcW w:w="2324" w:type="dxa"/>
          </w:tcPr>
          <w:p w:rsidR="00974C97" w:rsidRDefault="00DB5BF0">
            <w:pPr>
              <w:jc w:val="both"/>
              <w:rPr>
                <w:b/>
              </w:rPr>
            </w:pPr>
            <w:r>
              <w:t xml:space="preserve">Повністю розв’язує проблему. Прийняття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забезпечить правове регулювання чинних норм організаційно-розпорядчих актів МОН</w:t>
            </w:r>
          </w:p>
        </w:tc>
      </w:tr>
    </w:tbl>
    <w:p w:rsidR="00974C97" w:rsidRDefault="00974C97">
      <w:pPr>
        <w:spacing w:after="0"/>
        <w:ind w:firstLine="708"/>
        <w:jc w:val="both"/>
        <w:rPr>
          <w:b/>
        </w:rPr>
      </w:pPr>
    </w:p>
    <w:tbl>
      <w:tblPr>
        <w:tblStyle w:val="ae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394"/>
        <w:gridCol w:w="2970"/>
      </w:tblGrid>
      <w:tr w:rsidR="00974C97" w:rsidRPr="00785AFC" w:rsidTr="00785AFC">
        <w:tc>
          <w:tcPr>
            <w:tcW w:w="1980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  <w:rPr>
                <w:b/>
              </w:rPr>
            </w:pPr>
            <w:r w:rsidRPr="00785AFC">
              <w:rPr>
                <w:b/>
              </w:rPr>
              <w:t>Рейтинг</w:t>
            </w:r>
          </w:p>
        </w:tc>
        <w:tc>
          <w:tcPr>
            <w:tcW w:w="4394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  <w:rPr>
                <w:b/>
              </w:rPr>
            </w:pPr>
            <w:r w:rsidRPr="00785AFC">
              <w:rPr>
                <w:b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970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  <w:rPr>
                <w:b/>
              </w:rPr>
            </w:pPr>
            <w:r w:rsidRPr="00785AFC">
              <w:rPr>
                <w:b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785AFC">
              <w:rPr>
                <w:b/>
              </w:rPr>
              <w:t>акта</w:t>
            </w:r>
            <w:proofErr w:type="spellEnd"/>
          </w:p>
        </w:tc>
      </w:tr>
      <w:tr w:rsidR="00974C97" w:rsidRPr="00785AFC" w:rsidTr="00785AFC">
        <w:tc>
          <w:tcPr>
            <w:tcW w:w="1980" w:type="dxa"/>
            <w:shd w:val="clear" w:color="auto" w:fill="FFFFFF"/>
          </w:tcPr>
          <w:p w:rsidR="00974C97" w:rsidRPr="00785AFC" w:rsidRDefault="00DB5BF0">
            <w:pPr>
              <w:spacing w:before="150" w:after="150"/>
            </w:pPr>
            <w:r w:rsidRPr="00785AFC">
              <w:t>Альтернатива 1</w:t>
            </w:r>
          </w:p>
        </w:tc>
        <w:tc>
          <w:tcPr>
            <w:tcW w:w="4394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</w:pPr>
            <w:r w:rsidRPr="00785AFC">
              <w:t>Відсутні</w:t>
            </w:r>
          </w:p>
        </w:tc>
        <w:tc>
          <w:tcPr>
            <w:tcW w:w="2970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</w:pPr>
            <w:r w:rsidRPr="00785AFC">
              <w:t>Х</w:t>
            </w:r>
          </w:p>
        </w:tc>
      </w:tr>
      <w:tr w:rsidR="00974C97" w:rsidRPr="00785AFC" w:rsidTr="00785AFC">
        <w:tc>
          <w:tcPr>
            <w:tcW w:w="1980" w:type="dxa"/>
            <w:shd w:val="clear" w:color="auto" w:fill="FFFFFF"/>
          </w:tcPr>
          <w:p w:rsidR="00974C97" w:rsidRPr="00785AFC" w:rsidRDefault="00DB5BF0">
            <w:pPr>
              <w:spacing w:before="150" w:after="150"/>
            </w:pPr>
            <w:r w:rsidRPr="00785AFC">
              <w:t>Альтернатива 2</w:t>
            </w:r>
          </w:p>
        </w:tc>
        <w:tc>
          <w:tcPr>
            <w:tcW w:w="4394" w:type="dxa"/>
            <w:shd w:val="clear" w:color="auto" w:fill="FFFFFF"/>
          </w:tcPr>
          <w:p w:rsidR="00974C97" w:rsidRPr="00785AFC" w:rsidRDefault="00DB5BF0">
            <w:pPr>
              <w:spacing w:after="0"/>
            </w:pPr>
            <w:r w:rsidRPr="00785AFC">
              <w:t>Приведення у відповідність організаційно-розпорядчих актів МОН до вимог законодавства.</w:t>
            </w:r>
          </w:p>
        </w:tc>
        <w:tc>
          <w:tcPr>
            <w:tcW w:w="2970" w:type="dxa"/>
            <w:shd w:val="clear" w:color="auto" w:fill="FFFFFF"/>
          </w:tcPr>
          <w:p w:rsidR="00974C97" w:rsidRPr="00785AFC" w:rsidRDefault="00DB5BF0">
            <w:pPr>
              <w:spacing w:before="150" w:after="150"/>
              <w:jc w:val="center"/>
            </w:pPr>
            <w:r w:rsidRPr="00785AFC">
              <w:t>Х</w:t>
            </w:r>
          </w:p>
        </w:tc>
      </w:tr>
    </w:tbl>
    <w:p w:rsidR="00974C97" w:rsidRDefault="00DB5BF0">
      <w:pPr>
        <w:spacing w:after="0"/>
        <w:ind w:firstLine="720"/>
        <w:jc w:val="both"/>
      </w:pPr>
      <w:r>
        <w:t>Враховуючи вищенаведені позитивні та негативні сторони альтернативних способів досягнення мети, доцільно прийняти запропонований альтернативою 2 регуляторний акт.</w:t>
      </w:r>
    </w:p>
    <w:p w:rsidR="00974C97" w:rsidRDefault="00DB5BF0">
      <w:pPr>
        <w:spacing w:after="0"/>
        <w:ind w:firstLine="708"/>
        <w:jc w:val="both"/>
      </w:pPr>
      <w:r>
        <w:t xml:space="preserve">Негативних наслідків від прийняття регуляторного </w:t>
      </w:r>
      <w:proofErr w:type="spellStart"/>
      <w:r>
        <w:t>акта</w:t>
      </w:r>
      <w:proofErr w:type="spellEnd"/>
      <w:r>
        <w:t xml:space="preserve"> не очікується.</w:t>
      </w:r>
    </w:p>
    <w:p w:rsidR="00974C97" w:rsidRDefault="00974C97">
      <w:pPr>
        <w:spacing w:after="0"/>
        <w:ind w:firstLine="708"/>
        <w:jc w:val="both"/>
        <w:rPr>
          <w:b/>
        </w:rPr>
      </w:pPr>
    </w:p>
    <w:p w:rsidR="00974C97" w:rsidRDefault="00DB5BF0">
      <w:pPr>
        <w:spacing w:after="0"/>
        <w:ind w:firstLine="708"/>
        <w:jc w:val="both"/>
        <w:rPr>
          <w:b/>
        </w:rPr>
      </w:pPr>
      <w:r>
        <w:rPr>
          <w:b/>
        </w:rPr>
        <w:lastRenderedPageBreak/>
        <w:t>V. Механізми та заходи, які забезпечать розв’язання визначеної проблеми</w:t>
      </w:r>
    </w:p>
    <w:p w:rsidR="00974C97" w:rsidRDefault="00DB5BF0">
      <w:pPr>
        <w:spacing w:after="0"/>
        <w:ind w:firstLine="708"/>
        <w:jc w:val="both"/>
      </w:pPr>
      <w:r>
        <w:t xml:space="preserve">Для подолання проблем, окреслених у розділі І, і досягнення цілей, визначених у розділі ІІ цього аналізу регуляторного впливу, </w:t>
      </w:r>
      <w:proofErr w:type="spellStart"/>
      <w:r>
        <w:t>проєктом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передбачено механізм розв’язання проблеми шляхом його прийняття.</w:t>
      </w:r>
    </w:p>
    <w:p w:rsidR="00974C97" w:rsidRDefault="00DB5BF0">
      <w:pPr>
        <w:spacing w:after="0"/>
        <w:ind w:firstLine="708"/>
        <w:jc w:val="both"/>
      </w:pPr>
      <w:proofErr w:type="spellStart"/>
      <w:r>
        <w:t>Проєктом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пропонується визнати таким, що втратив чинність наказ Міністерства освіти і науки України від </w:t>
      </w:r>
      <w:r w:rsidR="00847591">
        <w:rPr>
          <w:highlight w:val="white"/>
        </w:rPr>
        <w:t>05</w:t>
      </w:r>
      <w:r w:rsidR="00847591">
        <w:rPr>
          <w:highlight w:val="white"/>
          <w:lang w:val="uk-UA"/>
        </w:rPr>
        <w:t xml:space="preserve"> вересня </w:t>
      </w:r>
      <w:r>
        <w:rPr>
          <w:highlight w:val="white"/>
        </w:rPr>
        <w:t>2022 року № 792</w:t>
      </w:r>
      <w:r>
        <w:t>. Це забезпечить приведення у відповідність організаційно-розпорядчих актів МОН до вимог законодавства.</w:t>
      </w:r>
    </w:p>
    <w:p w:rsidR="00974C97" w:rsidRDefault="00974C97">
      <w:pPr>
        <w:spacing w:after="0"/>
        <w:ind w:firstLine="708"/>
        <w:jc w:val="both"/>
      </w:pPr>
    </w:p>
    <w:p w:rsidR="00974C97" w:rsidRDefault="00DB5BF0">
      <w:pPr>
        <w:spacing w:after="0"/>
        <w:ind w:firstLine="708"/>
        <w:jc w:val="both"/>
        <w:rPr>
          <w:b/>
        </w:rPr>
      </w:pPr>
      <w:r>
        <w:rPr>
          <w:b/>
        </w:rPr>
        <w:t xml:space="preserve">VI. Оцінка виконання вимог регуляторного </w:t>
      </w:r>
      <w:proofErr w:type="spellStart"/>
      <w:r>
        <w:rPr>
          <w:b/>
        </w:rPr>
        <w:t>акта</w:t>
      </w:r>
      <w:proofErr w:type="spellEnd"/>
      <w:r>
        <w:rPr>
          <w:b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974C97" w:rsidRDefault="00DB5BF0">
      <w:pPr>
        <w:spacing w:after="0"/>
        <w:ind w:firstLine="708"/>
        <w:jc w:val="both"/>
      </w:pPr>
      <w:r>
        <w:t>Порядок доступу до ЦБД ПАК «АІКОМ» для суб’єктів малого підприємництва визначено Кабінетом Міністрів України та врегульовано Положенням.</w:t>
      </w:r>
    </w:p>
    <w:p w:rsidR="00974C97" w:rsidRDefault="00DB5BF0">
      <w:pPr>
        <w:spacing w:after="0"/>
        <w:ind w:firstLine="708"/>
        <w:jc w:val="both"/>
      </w:pPr>
      <w:r>
        <w:t>З огляду на те, щ</w:t>
      </w:r>
      <w:r w:rsidR="00785AFC">
        <w:t xml:space="preserve">о </w:t>
      </w:r>
      <w:proofErr w:type="spellStart"/>
      <w:r w:rsidR="00785AFC">
        <w:t>проєкт</w:t>
      </w:r>
      <w:proofErr w:type="spellEnd"/>
      <w:r w:rsidR="00785AFC">
        <w:t xml:space="preserve"> </w:t>
      </w:r>
      <w:proofErr w:type="spellStart"/>
      <w:r w:rsidR="00785AFC">
        <w:t>акта</w:t>
      </w:r>
      <w:proofErr w:type="spellEnd"/>
      <w:r w:rsidR="00785AFC">
        <w:t xml:space="preserve"> не поширюється на</w:t>
      </w:r>
      <w:r>
        <w:rPr>
          <w:highlight w:val="white"/>
        </w:rPr>
        <w:t xml:space="preserve"> суб’єктів малого підприємництва розрахунок витрат на запровадження державного регулювання для суб’єктів малого підприємництва не здійснюється.</w:t>
      </w:r>
    </w:p>
    <w:p w:rsidR="00974C97" w:rsidRDefault="00DB5BF0">
      <w:pPr>
        <w:spacing w:after="0"/>
        <w:ind w:firstLine="708"/>
        <w:jc w:val="both"/>
        <w:rPr>
          <w:b/>
          <w:highlight w:val="white"/>
        </w:rPr>
      </w:pPr>
      <w:r>
        <w:rPr>
          <w:b/>
          <w:highlight w:val="white"/>
        </w:rPr>
        <w:t xml:space="preserve">VII. Обґрунтування запропонованого строку дії регуляторного </w:t>
      </w:r>
      <w:proofErr w:type="spellStart"/>
      <w:r>
        <w:rPr>
          <w:b/>
          <w:highlight w:val="white"/>
        </w:rPr>
        <w:t>акта</w:t>
      </w:r>
      <w:proofErr w:type="spellEnd"/>
    </w:p>
    <w:p w:rsidR="00974C97" w:rsidRDefault="00DB5BF0">
      <w:pPr>
        <w:spacing w:after="0"/>
        <w:ind w:firstLine="708"/>
        <w:jc w:val="both"/>
      </w:pPr>
      <w:r>
        <w:t xml:space="preserve">Строк дії регуляторного </w:t>
      </w:r>
      <w:proofErr w:type="spellStart"/>
      <w:r>
        <w:t>акта</w:t>
      </w:r>
      <w:proofErr w:type="spellEnd"/>
      <w:r>
        <w:t xml:space="preserve"> не обмежується в часі, що дасть змогу досягти цілей державного регулювання.</w:t>
      </w:r>
    </w:p>
    <w:p w:rsidR="00974C97" w:rsidRDefault="00DB5BF0">
      <w:pPr>
        <w:spacing w:after="0"/>
        <w:ind w:firstLine="708"/>
        <w:jc w:val="both"/>
        <w:rPr>
          <w:b/>
          <w:highlight w:val="white"/>
        </w:rPr>
      </w:pPr>
      <w:proofErr w:type="spellStart"/>
      <w:r>
        <w:t>Проєкт</w:t>
      </w:r>
      <w:proofErr w:type="spellEnd"/>
      <w:r>
        <w:t xml:space="preserve"> регуляторного </w:t>
      </w:r>
      <w:proofErr w:type="spellStart"/>
      <w:r>
        <w:t>акта</w:t>
      </w:r>
      <w:proofErr w:type="spellEnd"/>
      <w:r>
        <w:t xml:space="preserve"> набирає чинності з 01 вересня 2025 року.</w:t>
      </w:r>
    </w:p>
    <w:p w:rsidR="00974C97" w:rsidRDefault="00DB5BF0">
      <w:pPr>
        <w:spacing w:after="0"/>
        <w:ind w:firstLine="708"/>
        <w:jc w:val="both"/>
      </w:pPr>
      <w:r>
        <w:rPr>
          <w:b/>
          <w:highlight w:val="white"/>
        </w:rPr>
        <w:t xml:space="preserve">VIII. Визначення показників результативності дії регуляторного </w:t>
      </w:r>
      <w:proofErr w:type="spellStart"/>
      <w:r>
        <w:rPr>
          <w:b/>
          <w:highlight w:val="white"/>
        </w:rPr>
        <w:t>акта</w:t>
      </w:r>
      <w:proofErr w:type="spellEnd"/>
    </w:p>
    <w:p w:rsidR="00974C97" w:rsidRDefault="00DB5BF0">
      <w:pPr>
        <w:spacing w:after="0"/>
        <w:ind w:firstLine="708"/>
        <w:jc w:val="both"/>
      </w:pPr>
      <w:r>
        <w:t xml:space="preserve">Прогнозними значеннями показників результативності регуляторного </w:t>
      </w:r>
      <w:proofErr w:type="spellStart"/>
      <w:r>
        <w:t>акта</w:t>
      </w:r>
      <w:proofErr w:type="spellEnd"/>
      <w:r>
        <w:t xml:space="preserve"> є:</w:t>
      </w:r>
    </w:p>
    <w:p w:rsidR="00974C97" w:rsidRDefault="00DB5BF0">
      <w:pPr>
        <w:spacing w:after="0"/>
        <w:ind w:firstLine="708"/>
        <w:jc w:val="both"/>
      </w:pPr>
      <w:r>
        <w:t>приведення у відповідність організаційно-розпорядчих актів МОН до вимог законодавства.</w:t>
      </w:r>
    </w:p>
    <w:p w:rsidR="00974C97" w:rsidRDefault="00DB5BF0">
      <w:pPr>
        <w:spacing w:after="0"/>
        <w:ind w:firstLine="708"/>
        <w:jc w:val="both"/>
        <w:rPr>
          <w:b/>
          <w:highlight w:val="white"/>
        </w:rPr>
      </w:pPr>
      <w:r>
        <w:rPr>
          <w:b/>
          <w:highlight w:val="white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>
        <w:rPr>
          <w:b/>
          <w:highlight w:val="white"/>
        </w:rPr>
        <w:t>акта</w:t>
      </w:r>
      <w:proofErr w:type="spellEnd"/>
    </w:p>
    <w:p w:rsidR="00974C97" w:rsidRPr="00785AFC" w:rsidRDefault="00DB5BF0" w:rsidP="00785AFC">
      <w:pPr>
        <w:spacing w:after="0"/>
        <w:ind w:firstLine="708"/>
        <w:jc w:val="both"/>
        <w:rPr>
          <w:b/>
          <w:highlight w:val="white"/>
        </w:rPr>
      </w:pPr>
      <w:bookmarkStart w:id="1" w:name="_d6ejehczhxw" w:colFirst="0" w:colLast="0"/>
      <w:bookmarkEnd w:id="1"/>
      <w:r>
        <w:t xml:space="preserve">Відстеження результативності дії регуляторного </w:t>
      </w:r>
      <w:proofErr w:type="spellStart"/>
      <w:r>
        <w:t>акта</w:t>
      </w:r>
      <w:proofErr w:type="spellEnd"/>
      <w:r>
        <w:t xml:space="preserve"> не </w:t>
      </w:r>
      <w:r>
        <w:rPr>
          <w:highlight w:val="white"/>
        </w:rPr>
        <w:t>підлягають контролю.</w:t>
      </w:r>
    </w:p>
    <w:p w:rsidR="00974C97" w:rsidRDefault="00974C97">
      <w:pPr>
        <w:spacing w:after="0"/>
        <w:ind w:firstLine="708"/>
        <w:jc w:val="both"/>
      </w:pPr>
    </w:p>
    <w:p w:rsidR="00785AFC" w:rsidRDefault="00785AFC">
      <w:pPr>
        <w:spacing w:after="0"/>
        <w:ind w:firstLine="708"/>
        <w:jc w:val="both"/>
      </w:pPr>
    </w:p>
    <w:p w:rsidR="00974C97" w:rsidRDefault="00DB5BF0" w:rsidP="00785AFC">
      <w:pPr>
        <w:spacing w:after="0"/>
        <w:jc w:val="both"/>
        <w:rPr>
          <w:b/>
        </w:rPr>
      </w:pPr>
      <w:r>
        <w:rPr>
          <w:b/>
        </w:rPr>
        <w:t>Міністр освіти і науки України                                           Оксен ЛІСОВИЙ</w:t>
      </w:r>
    </w:p>
    <w:sectPr w:rsidR="00974C97" w:rsidSect="00282949">
      <w:headerReference w:type="default" r:id="rId7"/>
      <w:headerReference w:type="first" r:id="rId8"/>
      <w:footerReference w:type="first" r:id="rId9"/>
      <w:pgSz w:w="11906" w:h="16838"/>
      <w:pgMar w:top="1134" w:right="851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29" w:rsidRDefault="000C7129">
      <w:pPr>
        <w:spacing w:after="0"/>
      </w:pPr>
      <w:r>
        <w:separator/>
      </w:r>
    </w:p>
  </w:endnote>
  <w:endnote w:type="continuationSeparator" w:id="0">
    <w:p w:rsidR="000C7129" w:rsidRDefault="000C71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97" w:rsidRDefault="00974C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29" w:rsidRDefault="000C7129">
      <w:pPr>
        <w:spacing w:after="0"/>
      </w:pPr>
      <w:r>
        <w:separator/>
      </w:r>
    </w:p>
  </w:footnote>
  <w:footnote w:type="continuationSeparator" w:id="0">
    <w:p w:rsidR="000C7129" w:rsidRDefault="000C71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97" w:rsidRDefault="00DB5BF0">
    <w:pPr>
      <w:jc w:val="center"/>
    </w:pPr>
    <w:r>
      <w:fldChar w:fldCharType="begin"/>
    </w:r>
    <w:r>
      <w:instrText>PAGE</w:instrText>
    </w:r>
    <w:r>
      <w:fldChar w:fldCharType="separate"/>
    </w:r>
    <w:r w:rsidR="00847591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C97" w:rsidRDefault="00974C9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7A91"/>
    <w:multiLevelType w:val="multilevel"/>
    <w:tmpl w:val="9D101C72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97"/>
    <w:rsid w:val="000C7129"/>
    <w:rsid w:val="00282949"/>
    <w:rsid w:val="00530760"/>
    <w:rsid w:val="00785AFC"/>
    <w:rsid w:val="008279E1"/>
    <w:rsid w:val="00847591"/>
    <w:rsid w:val="00974C97"/>
    <w:rsid w:val="00AA1CF3"/>
    <w:rsid w:val="00B61CCE"/>
    <w:rsid w:val="00D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4AB4F"/>
  <w15:docId w15:val="{BE18301F-009F-4CCB-8985-E37DB9F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2" w:type="dxa"/>
        <w:left w:w="12" w:type="dxa"/>
        <w:bottom w:w="12" w:type="dxa"/>
        <w:right w:w="12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sid w:val="002829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1209</Words>
  <Characters>8597</Characters>
  <Application>Microsoft Office Word</Application>
  <DocSecurity>0</DocSecurity>
  <Lines>330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7</cp:revision>
  <dcterms:created xsi:type="dcterms:W3CDTF">2025-07-07T10:56:00Z</dcterms:created>
  <dcterms:modified xsi:type="dcterms:W3CDTF">2025-07-23T13:44:00Z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d8fa1942-abd2-44c6-add1-ada1110fab29</vt:lpwstr>
  </property>
</Properties>
</file>