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C54" w:rsidRPr="00CA36EC" w:rsidRDefault="009E39C8">
      <w:pPr>
        <w:pBdr>
          <w:top w:val="nil"/>
          <w:left w:val="nil"/>
          <w:bottom w:val="nil"/>
          <w:right w:val="nil"/>
          <w:between w:val="nil"/>
        </w:pBdr>
        <w:jc w:val="center"/>
      </w:pPr>
      <w:r w:rsidRPr="009D7419">
        <w:rPr>
          <w:b/>
          <w:sz w:val="28"/>
          <w:szCs w:val="28"/>
        </w:rPr>
        <w:t>П</w:t>
      </w:r>
      <w:r w:rsidR="00A509E2" w:rsidRPr="009D7419">
        <w:rPr>
          <w:b/>
          <w:sz w:val="28"/>
          <w:szCs w:val="28"/>
        </w:rPr>
        <w:t xml:space="preserve">ОЯСНЮВАЛЬНА </w:t>
      </w:r>
      <w:r w:rsidR="00A509E2" w:rsidRPr="00CA36EC">
        <w:rPr>
          <w:b/>
          <w:sz w:val="28"/>
          <w:szCs w:val="28"/>
        </w:rPr>
        <w:t>ЗАПИСКА</w:t>
      </w:r>
    </w:p>
    <w:p w:rsidR="00CD1C54" w:rsidRPr="00CA36EC" w:rsidRDefault="00A509E2">
      <w:pPr>
        <w:pBdr>
          <w:top w:val="nil"/>
          <w:left w:val="nil"/>
          <w:bottom w:val="nil"/>
          <w:right w:val="nil"/>
          <w:between w:val="nil"/>
        </w:pBdr>
        <w:shd w:val="clear" w:color="auto" w:fill="FFFFFF"/>
        <w:jc w:val="center"/>
      </w:pPr>
      <w:r w:rsidRPr="00CA36EC">
        <w:rPr>
          <w:b/>
          <w:sz w:val="28"/>
          <w:szCs w:val="28"/>
        </w:rPr>
        <w:t xml:space="preserve">до </w:t>
      </w:r>
      <w:proofErr w:type="spellStart"/>
      <w:r w:rsidRPr="00CA36EC">
        <w:rPr>
          <w:b/>
          <w:sz w:val="28"/>
          <w:szCs w:val="28"/>
        </w:rPr>
        <w:t>проєкту</w:t>
      </w:r>
      <w:proofErr w:type="spellEnd"/>
      <w:r w:rsidRPr="00CA36EC">
        <w:rPr>
          <w:b/>
          <w:sz w:val="28"/>
          <w:szCs w:val="28"/>
        </w:rPr>
        <w:t xml:space="preserve"> постанови Кабінету Міністрів України</w:t>
      </w:r>
    </w:p>
    <w:p w:rsidR="00CD1C54" w:rsidRPr="00CA36EC" w:rsidRDefault="00A509E2">
      <w:pPr>
        <w:pBdr>
          <w:top w:val="nil"/>
          <w:left w:val="nil"/>
          <w:bottom w:val="nil"/>
          <w:right w:val="nil"/>
          <w:between w:val="nil"/>
        </w:pBdr>
        <w:jc w:val="center"/>
      </w:pPr>
      <w:r w:rsidRPr="00CA36EC">
        <w:rPr>
          <w:b/>
          <w:sz w:val="28"/>
          <w:szCs w:val="28"/>
        </w:rPr>
        <w:t>«Про внесення змін до Порядку підвищення кваліфікації педагогічних і науково-педагогічних працівників»</w:t>
      </w:r>
    </w:p>
    <w:p w:rsidR="00CD1C54" w:rsidRPr="00CA36EC" w:rsidRDefault="00CD1C54"/>
    <w:p w:rsidR="00CD1C54" w:rsidRPr="00CA36EC" w:rsidRDefault="00A509E2" w:rsidP="00C44394">
      <w:pPr>
        <w:pBdr>
          <w:top w:val="nil"/>
          <w:left w:val="nil"/>
          <w:bottom w:val="nil"/>
          <w:right w:val="nil"/>
          <w:between w:val="nil"/>
        </w:pBdr>
        <w:ind w:firstLine="567"/>
        <w:jc w:val="both"/>
      </w:pPr>
      <w:r w:rsidRPr="00CA36EC">
        <w:rPr>
          <w:b/>
          <w:sz w:val="28"/>
          <w:szCs w:val="28"/>
        </w:rPr>
        <w:t xml:space="preserve">1. </w:t>
      </w:r>
      <w:r w:rsidRPr="00CA36EC">
        <w:rPr>
          <w:b/>
          <w:sz w:val="28"/>
          <w:szCs w:val="28"/>
          <w:highlight w:val="white"/>
        </w:rPr>
        <w:t>Мета</w:t>
      </w:r>
    </w:p>
    <w:p w:rsidR="00CD1C54" w:rsidRPr="00CA36EC" w:rsidRDefault="00A509E2" w:rsidP="00C44394">
      <w:pPr>
        <w:pBdr>
          <w:top w:val="nil"/>
          <w:left w:val="nil"/>
          <w:bottom w:val="nil"/>
          <w:right w:val="nil"/>
          <w:between w:val="nil"/>
        </w:pBdr>
        <w:ind w:firstLine="567"/>
        <w:jc w:val="both"/>
      </w:pPr>
      <w:r w:rsidRPr="00CA36EC">
        <w:rPr>
          <w:sz w:val="28"/>
          <w:szCs w:val="28"/>
        </w:rPr>
        <w:t xml:space="preserve">Метою прийняття </w:t>
      </w:r>
      <w:proofErr w:type="spellStart"/>
      <w:r w:rsidRPr="00CA36EC">
        <w:rPr>
          <w:sz w:val="28"/>
          <w:szCs w:val="28"/>
        </w:rPr>
        <w:t>проєкту</w:t>
      </w:r>
      <w:proofErr w:type="spellEnd"/>
      <w:r w:rsidRPr="00CA36EC">
        <w:rPr>
          <w:sz w:val="28"/>
          <w:szCs w:val="28"/>
        </w:rPr>
        <w:t xml:space="preserve"> </w:t>
      </w:r>
      <w:proofErr w:type="spellStart"/>
      <w:r w:rsidRPr="00CA36EC">
        <w:rPr>
          <w:sz w:val="28"/>
          <w:szCs w:val="28"/>
        </w:rPr>
        <w:t>акта</w:t>
      </w:r>
      <w:proofErr w:type="spellEnd"/>
      <w:r w:rsidRPr="00CA36EC">
        <w:rPr>
          <w:sz w:val="28"/>
          <w:szCs w:val="28"/>
        </w:rPr>
        <w:t xml:space="preserve"> є здійснення належного нормативного забезпечення механізму підвищення кваліфікації педагогічних і науково-педагогічних працівників.</w:t>
      </w:r>
    </w:p>
    <w:p w:rsidR="00CD1C54" w:rsidRPr="00CA36EC" w:rsidRDefault="00CD1C54" w:rsidP="00C44394">
      <w:pPr>
        <w:ind w:firstLine="567"/>
      </w:pPr>
    </w:p>
    <w:p w:rsidR="00CD1C54" w:rsidRPr="00CA36EC" w:rsidRDefault="00A509E2" w:rsidP="00C44394">
      <w:pPr>
        <w:pBdr>
          <w:top w:val="nil"/>
          <w:left w:val="nil"/>
          <w:bottom w:val="nil"/>
          <w:right w:val="nil"/>
          <w:between w:val="nil"/>
        </w:pBdr>
        <w:ind w:firstLine="567"/>
        <w:jc w:val="both"/>
      </w:pPr>
      <w:r w:rsidRPr="00CA36EC">
        <w:rPr>
          <w:b/>
          <w:sz w:val="28"/>
          <w:szCs w:val="28"/>
        </w:rPr>
        <w:t xml:space="preserve">2. Обґрунтування необхідності прийняття </w:t>
      </w:r>
      <w:proofErr w:type="spellStart"/>
      <w:r w:rsidRPr="00CA36EC">
        <w:rPr>
          <w:b/>
          <w:sz w:val="28"/>
          <w:szCs w:val="28"/>
        </w:rPr>
        <w:t>акта</w:t>
      </w:r>
      <w:proofErr w:type="spellEnd"/>
    </w:p>
    <w:p w:rsidR="00C44394" w:rsidRDefault="00C44394" w:rsidP="00C44394">
      <w:pPr>
        <w:pBdr>
          <w:top w:val="nil"/>
          <w:left w:val="nil"/>
          <w:bottom w:val="nil"/>
          <w:right w:val="nil"/>
          <w:between w:val="nil"/>
        </w:pBdr>
        <w:shd w:val="clear" w:color="auto" w:fill="FFFFFF"/>
        <w:ind w:firstLine="567"/>
        <w:jc w:val="both"/>
        <w:rPr>
          <w:sz w:val="28"/>
          <w:szCs w:val="28"/>
        </w:rPr>
      </w:pPr>
      <w:proofErr w:type="spellStart"/>
      <w:r w:rsidRPr="00CA36EC">
        <w:rPr>
          <w:sz w:val="28"/>
          <w:szCs w:val="28"/>
        </w:rPr>
        <w:t>Проєкт</w:t>
      </w:r>
      <w:proofErr w:type="spellEnd"/>
      <w:r w:rsidRPr="00CA36EC">
        <w:rPr>
          <w:sz w:val="28"/>
          <w:szCs w:val="28"/>
        </w:rPr>
        <w:t xml:space="preserve"> </w:t>
      </w:r>
      <w:proofErr w:type="spellStart"/>
      <w:r w:rsidRPr="00CA36EC">
        <w:rPr>
          <w:sz w:val="28"/>
          <w:szCs w:val="28"/>
        </w:rPr>
        <w:t>акта</w:t>
      </w:r>
      <w:proofErr w:type="spellEnd"/>
      <w:r w:rsidRPr="00CA36EC">
        <w:rPr>
          <w:sz w:val="28"/>
          <w:szCs w:val="28"/>
        </w:rPr>
        <w:t xml:space="preserve"> розроблено </w:t>
      </w:r>
      <w:r w:rsidRPr="00C44394">
        <w:rPr>
          <w:sz w:val="28"/>
          <w:szCs w:val="28"/>
        </w:rPr>
        <w:t xml:space="preserve">робочою групою, склад якої затверджено наказом Міністерства освіти і науки України від 26.07.2024 № 1043. </w:t>
      </w:r>
    </w:p>
    <w:p w:rsidR="00C44394" w:rsidRDefault="00C44394" w:rsidP="00C44394">
      <w:pPr>
        <w:pBdr>
          <w:top w:val="nil"/>
          <w:left w:val="nil"/>
          <w:bottom w:val="nil"/>
          <w:right w:val="nil"/>
          <w:between w:val="nil"/>
        </w:pBdr>
        <w:shd w:val="clear" w:color="auto" w:fill="FFFFFF"/>
        <w:ind w:firstLine="567"/>
        <w:jc w:val="both"/>
        <w:rPr>
          <w:sz w:val="28"/>
          <w:szCs w:val="28"/>
        </w:rPr>
      </w:pPr>
      <w:r w:rsidRPr="00C44394">
        <w:rPr>
          <w:sz w:val="28"/>
          <w:szCs w:val="28"/>
        </w:rPr>
        <w:t xml:space="preserve">За результатами проведеного моніторингу та аналізу функціонування системи підвищення кваліфікації педагогічних працівників виявлено низку системних проблем. До них належать: недостатня якість та актуальність програм підвищення кваліфікації, що не завжди відповідають сучасним освітнім викликам і практичним потребам педагогів; формалізований підхід до вибору та проходження навчання, який обмежує індивідуальну траєкторію професійного розвитку та знижує ефективність засвоєння знань. Окрім цього, спостерігається відсутність належної прозорості інформації щодо суб'єктів підвищення кваліфікації та їхніх освітніх послуг, а також нерівномірний доступ до якісних програм для педагогів, особливо у віддалених регіонах. Проблемним аспектом є також недостатній моніторинг та оцінювання реальної результативності підвищення кваліфікації на якість освітнього процесу, а також низька мотивація окремих категорій педагогічних працівників до безперервного професійного зростання. Нарешті, потребував врегулювання механізм визнання нетрадиційних форм професійного розвитку, таких як </w:t>
      </w:r>
      <w:proofErr w:type="spellStart"/>
      <w:r w:rsidRPr="00C44394">
        <w:rPr>
          <w:sz w:val="28"/>
          <w:szCs w:val="28"/>
        </w:rPr>
        <w:t>супервізія</w:t>
      </w:r>
      <w:proofErr w:type="spellEnd"/>
      <w:r w:rsidRPr="00C44394">
        <w:rPr>
          <w:sz w:val="28"/>
          <w:szCs w:val="28"/>
        </w:rPr>
        <w:t xml:space="preserve"> та наставництво.</w:t>
      </w:r>
    </w:p>
    <w:p w:rsidR="00C44394" w:rsidRPr="00CA36EC" w:rsidRDefault="00C44394" w:rsidP="00C92870">
      <w:pPr>
        <w:jc w:val="both"/>
      </w:pPr>
      <w:bookmarkStart w:id="0" w:name="_GoBack"/>
      <w:bookmarkEnd w:id="0"/>
    </w:p>
    <w:p w:rsidR="00CD1C54" w:rsidRPr="00CA36EC" w:rsidRDefault="00A509E2" w:rsidP="00C44394">
      <w:pPr>
        <w:pBdr>
          <w:top w:val="nil"/>
          <w:left w:val="nil"/>
          <w:bottom w:val="nil"/>
          <w:right w:val="nil"/>
          <w:between w:val="nil"/>
        </w:pBdr>
        <w:ind w:firstLine="567"/>
        <w:jc w:val="both"/>
      </w:pPr>
      <w:r w:rsidRPr="00CA36EC">
        <w:rPr>
          <w:b/>
          <w:sz w:val="28"/>
          <w:szCs w:val="28"/>
        </w:rPr>
        <w:t xml:space="preserve">3. </w:t>
      </w:r>
      <w:r w:rsidRPr="00CA36EC">
        <w:rPr>
          <w:b/>
          <w:sz w:val="28"/>
          <w:szCs w:val="28"/>
          <w:highlight w:val="white"/>
        </w:rPr>
        <w:t xml:space="preserve">Основні положення </w:t>
      </w:r>
      <w:proofErr w:type="spellStart"/>
      <w:r w:rsidRPr="00CA36EC">
        <w:rPr>
          <w:b/>
          <w:sz w:val="28"/>
          <w:szCs w:val="28"/>
          <w:highlight w:val="white"/>
        </w:rPr>
        <w:t>проєкту</w:t>
      </w:r>
      <w:proofErr w:type="spellEnd"/>
      <w:r w:rsidRPr="00CA36EC">
        <w:rPr>
          <w:b/>
          <w:sz w:val="28"/>
          <w:szCs w:val="28"/>
          <w:highlight w:val="white"/>
        </w:rPr>
        <w:t xml:space="preserve"> </w:t>
      </w:r>
      <w:proofErr w:type="spellStart"/>
      <w:r w:rsidRPr="00CA36EC">
        <w:rPr>
          <w:b/>
          <w:sz w:val="28"/>
          <w:szCs w:val="28"/>
          <w:highlight w:val="white"/>
        </w:rPr>
        <w:t>акта</w:t>
      </w:r>
      <w:proofErr w:type="spellEnd"/>
    </w:p>
    <w:p w:rsidR="00CD1C54" w:rsidRPr="00CA36EC" w:rsidRDefault="00A509E2" w:rsidP="00C44394">
      <w:pPr>
        <w:pBdr>
          <w:top w:val="nil"/>
          <w:left w:val="nil"/>
          <w:bottom w:val="nil"/>
          <w:right w:val="nil"/>
          <w:between w:val="nil"/>
        </w:pBdr>
        <w:ind w:firstLine="567"/>
        <w:jc w:val="both"/>
      </w:pPr>
      <w:proofErr w:type="spellStart"/>
      <w:r w:rsidRPr="00CA36EC">
        <w:rPr>
          <w:sz w:val="28"/>
          <w:szCs w:val="28"/>
        </w:rPr>
        <w:t>Проєктом</w:t>
      </w:r>
      <w:proofErr w:type="spellEnd"/>
      <w:r w:rsidRPr="00CA36EC">
        <w:rPr>
          <w:sz w:val="28"/>
          <w:szCs w:val="28"/>
        </w:rPr>
        <w:t xml:space="preserve"> </w:t>
      </w:r>
      <w:proofErr w:type="spellStart"/>
      <w:r w:rsidRPr="00CA36EC">
        <w:rPr>
          <w:sz w:val="28"/>
          <w:szCs w:val="28"/>
        </w:rPr>
        <w:t>акта</w:t>
      </w:r>
      <w:proofErr w:type="spellEnd"/>
      <w:r w:rsidRPr="00CA36EC">
        <w:rPr>
          <w:sz w:val="28"/>
          <w:szCs w:val="28"/>
        </w:rPr>
        <w:t xml:space="preserve"> запропоновано усунути змістовні недоліки Порядку підвищення кваліфікації педагогічних і науково-педагогічних працівників шляхом впровадження цифрових рішень для впровадження системи забезпечення якості діяльності суб'єктів підвищення кваліфікації.</w:t>
      </w:r>
    </w:p>
    <w:p w:rsidR="00CD1C54" w:rsidRPr="00CA36EC" w:rsidRDefault="00CD1C54"/>
    <w:p w:rsidR="00CD1C54" w:rsidRPr="00CA36EC" w:rsidRDefault="00A509E2">
      <w:pPr>
        <w:pBdr>
          <w:top w:val="nil"/>
          <w:left w:val="nil"/>
          <w:bottom w:val="nil"/>
          <w:right w:val="nil"/>
          <w:between w:val="nil"/>
        </w:pBdr>
        <w:ind w:left="-142" w:firstLine="567"/>
        <w:jc w:val="both"/>
      </w:pPr>
      <w:r w:rsidRPr="00CA36EC">
        <w:rPr>
          <w:b/>
          <w:sz w:val="28"/>
          <w:szCs w:val="28"/>
        </w:rPr>
        <w:t>4. Правові аспекти</w:t>
      </w:r>
    </w:p>
    <w:p w:rsidR="00CD1C54" w:rsidRPr="00CA36EC" w:rsidRDefault="00A509E2">
      <w:pPr>
        <w:pBdr>
          <w:top w:val="nil"/>
          <w:left w:val="nil"/>
          <w:bottom w:val="nil"/>
          <w:right w:val="nil"/>
          <w:between w:val="nil"/>
        </w:pBdr>
        <w:shd w:val="clear" w:color="auto" w:fill="FFFFFF"/>
        <w:ind w:left="-142" w:firstLine="567"/>
        <w:jc w:val="both"/>
      </w:pPr>
      <w:r w:rsidRPr="00CA36EC">
        <w:rPr>
          <w:sz w:val="28"/>
          <w:szCs w:val="28"/>
        </w:rPr>
        <w:t xml:space="preserve">Правовими підставами розроблення </w:t>
      </w:r>
      <w:proofErr w:type="spellStart"/>
      <w:r w:rsidRPr="00CA36EC">
        <w:rPr>
          <w:sz w:val="28"/>
          <w:szCs w:val="28"/>
        </w:rPr>
        <w:t>проєкту</w:t>
      </w:r>
      <w:proofErr w:type="spellEnd"/>
      <w:r w:rsidRPr="00CA36EC">
        <w:rPr>
          <w:sz w:val="28"/>
          <w:szCs w:val="28"/>
        </w:rPr>
        <w:t xml:space="preserve"> </w:t>
      </w:r>
      <w:proofErr w:type="spellStart"/>
      <w:r w:rsidRPr="00CA36EC">
        <w:rPr>
          <w:sz w:val="28"/>
          <w:szCs w:val="28"/>
        </w:rPr>
        <w:t>акта</w:t>
      </w:r>
      <w:proofErr w:type="spellEnd"/>
      <w:r w:rsidRPr="00CA36EC">
        <w:rPr>
          <w:sz w:val="28"/>
          <w:szCs w:val="28"/>
        </w:rPr>
        <w:t xml:space="preserve"> є статті 33, 34, частина шоста статті 59 Закону України «Про освіту», стаття 23, частина шоста статті 49 Закону України “Про повну загальну середню освіту”.</w:t>
      </w:r>
    </w:p>
    <w:p w:rsidR="00CD1C54" w:rsidRPr="00CA36EC" w:rsidRDefault="00CD1C54">
      <w:pPr>
        <w:pBdr>
          <w:top w:val="nil"/>
          <w:left w:val="nil"/>
          <w:bottom w:val="nil"/>
          <w:right w:val="nil"/>
          <w:between w:val="nil"/>
        </w:pBdr>
        <w:shd w:val="clear" w:color="auto" w:fill="FFFFFF"/>
        <w:ind w:left="-142" w:firstLine="567"/>
        <w:jc w:val="both"/>
        <w:rPr>
          <w:b/>
          <w:sz w:val="28"/>
          <w:szCs w:val="28"/>
        </w:rPr>
      </w:pPr>
    </w:p>
    <w:p w:rsidR="00CD1C54" w:rsidRPr="00CA36EC" w:rsidRDefault="00A509E2">
      <w:pPr>
        <w:pBdr>
          <w:top w:val="nil"/>
          <w:left w:val="nil"/>
          <w:bottom w:val="nil"/>
          <w:right w:val="nil"/>
          <w:between w:val="nil"/>
        </w:pBdr>
        <w:shd w:val="clear" w:color="auto" w:fill="FFFFFF"/>
        <w:ind w:left="-142" w:firstLine="567"/>
        <w:jc w:val="both"/>
      </w:pPr>
      <w:r w:rsidRPr="00CA36EC">
        <w:rPr>
          <w:b/>
          <w:sz w:val="28"/>
          <w:szCs w:val="28"/>
        </w:rPr>
        <w:t xml:space="preserve">5. </w:t>
      </w:r>
      <w:r w:rsidRPr="00CA36EC">
        <w:rPr>
          <w:b/>
          <w:sz w:val="28"/>
          <w:szCs w:val="28"/>
          <w:highlight w:val="white"/>
        </w:rPr>
        <w:t>Фінансово-економічне обґрунтування</w:t>
      </w:r>
    </w:p>
    <w:p w:rsidR="00CD1C54" w:rsidRPr="00CA36EC" w:rsidRDefault="00A509E2">
      <w:pPr>
        <w:pBdr>
          <w:top w:val="nil"/>
          <w:left w:val="nil"/>
          <w:bottom w:val="nil"/>
          <w:right w:val="nil"/>
          <w:between w:val="nil"/>
        </w:pBdr>
        <w:ind w:left="-142" w:firstLine="567"/>
        <w:jc w:val="both"/>
      </w:pPr>
      <w:r w:rsidRPr="00CA36EC">
        <w:rPr>
          <w:sz w:val="28"/>
          <w:szCs w:val="28"/>
        </w:rPr>
        <w:t xml:space="preserve">Реалізація </w:t>
      </w:r>
      <w:proofErr w:type="spellStart"/>
      <w:r w:rsidRPr="00CA36EC">
        <w:rPr>
          <w:sz w:val="28"/>
          <w:szCs w:val="28"/>
        </w:rPr>
        <w:t>акта</w:t>
      </w:r>
      <w:proofErr w:type="spellEnd"/>
      <w:r w:rsidRPr="00CA36EC">
        <w:rPr>
          <w:sz w:val="28"/>
          <w:szCs w:val="28"/>
        </w:rPr>
        <w:t xml:space="preserve"> не потребує додаткового фінансування з державного чи місцевих бюджетів. Впровадження цифрових рішень, а також забезпечення (за потреби) електронної інформаційної взаємодії з публічними електронними реєстрами планується здійснювати за рахунок надходжень в рамках програм </w:t>
      </w:r>
      <w:r w:rsidRPr="00CA36EC">
        <w:rPr>
          <w:sz w:val="28"/>
          <w:szCs w:val="28"/>
        </w:rPr>
        <w:lastRenderedPageBreak/>
        <w:t>допомоги і грантів Європейського Союзу, урядів іноземних держав, міжнародних організацій, донорських установ, а також за рахунок інших джерел, не заборонених законодавством.</w:t>
      </w:r>
    </w:p>
    <w:p w:rsidR="00CD1C54" w:rsidRPr="00CA36EC" w:rsidRDefault="00CD1C54"/>
    <w:p w:rsidR="00CD1C54" w:rsidRPr="00CA36EC" w:rsidRDefault="00A509E2">
      <w:pPr>
        <w:pBdr>
          <w:top w:val="nil"/>
          <w:left w:val="nil"/>
          <w:bottom w:val="nil"/>
          <w:right w:val="nil"/>
          <w:between w:val="nil"/>
        </w:pBdr>
        <w:shd w:val="clear" w:color="auto" w:fill="FFFFFF"/>
        <w:ind w:left="-142" w:firstLine="567"/>
        <w:jc w:val="both"/>
      </w:pPr>
      <w:r w:rsidRPr="00CA36EC">
        <w:rPr>
          <w:b/>
          <w:sz w:val="28"/>
          <w:szCs w:val="28"/>
        </w:rPr>
        <w:t>6. Позиція заінтересованих сторін</w:t>
      </w:r>
    </w:p>
    <w:p w:rsidR="00CA36EC" w:rsidRPr="00C92870" w:rsidRDefault="00A509E2" w:rsidP="00C92870">
      <w:pPr>
        <w:pBdr>
          <w:top w:val="nil"/>
          <w:left w:val="nil"/>
          <w:bottom w:val="nil"/>
          <w:right w:val="nil"/>
          <w:between w:val="nil"/>
        </w:pBdr>
        <w:shd w:val="clear" w:color="auto" w:fill="FFFFFF"/>
        <w:ind w:left="-142" w:firstLine="567"/>
        <w:jc w:val="both"/>
        <w:rPr>
          <w:sz w:val="28"/>
          <w:szCs w:val="28"/>
        </w:rPr>
      </w:pPr>
      <w:r w:rsidRPr="00CA36EC">
        <w:rPr>
          <w:sz w:val="28"/>
          <w:szCs w:val="28"/>
        </w:rPr>
        <w:t xml:space="preserve">Публічні консультації з громадськістю було проведено шляхом проведення </w:t>
      </w:r>
      <w:r w:rsidRPr="00CA36EC">
        <w:rPr>
          <w:sz w:val="28"/>
          <w:szCs w:val="28"/>
          <w:highlight w:val="white"/>
        </w:rPr>
        <w:t>електронних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3 листопада 2010 р. № 996.</w:t>
      </w:r>
    </w:p>
    <w:p w:rsidR="00CD1C54" w:rsidRPr="00CA36EC" w:rsidRDefault="00A509E2">
      <w:pPr>
        <w:pBdr>
          <w:top w:val="nil"/>
          <w:left w:val="nil"/>
          <w:bottom w:val="nil"/>
          <w:right w:val="nil"/>
          <w:between w:val="nil"/>
        </w:pBdr>
        <w:shd w:val="clear" w:color="auto" w:fill="FFFFFF"/>
        <w:ind w:left="-142" w:firstLine="567"/>
        <w:jc w:val="both"/>
      </w:pPr>
      <w:proofErr w:type="spellStart"/>
      <w:r w:rsidRPr="00CA36EC">
        <w:rPr>
          <w:sz w:val="28"/>
          <w:szCs w:val="28"/>
        </w:rPr>
        <w:t>Проєкт</w:t>
      </w:r>
      <w:proofErr w:type="spellEnd"/>
      <w:r w:rsidRPr="00CA36EC">
        <w:rPr>
          <w:sz w:val="28"/>
          <w:szCs w:val="28"/>
        </w:rPr>
        <w:t xml:space="preserve"> </w:t>
      </w:r>
      <w:proofErr w:type="spellStart"/>
      <w:r w:rsidRPr="00CA36EC">
        <w:rPr>
          <w:sz w:val="28"/>
          <w:szCs w:val="28"/>
        </w:rPr>
        <w:t>акта</w:t>
      </w:r>
      <w:proofErr w:type="spellEnd"/>
      <w:r w:rsidRPr="00CA36EC">
        <w:rPr>
          <w:sz w:val="28"/>
          <w:szCs w:val="28"/>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 а також сфери наукової та науково-технічної діяльності.</w:t>
      </w:r>
    </w:p>
    <w:p w:rsidR="00CD1C54" w:rsidRPr="00CA36EC" w:rsidRDefault="00CD1C54">
      <w:pPr>
        <w:pBdr>
          <w:top w:val="nil"/>
          <w:left w:val="nil"/>
          <w:bottom w:val="nil"/>
          <w:right w:val="nil"/>
          <w:between w:val="nil"/>
        </w:pBdr>
        <w:shd w:val="clear" w:color="auto" w:fill="FFFFFF"/>
        <w:ind w:left="-142" w:firstLine="567"/>
        <w:jc w:val="both"/>
        <w:rPr>
          <w:b/>
          <w:sz w:val="28"/>
          <w:szCs w:val="28"/>
        </w:rPr>
      </w:pPr>
    </w:p>
    <w:p w:rsidR="00CD1C54" w:rsidRPr="00CA36EC" w:rsidRDefault="00A509E2">
      <w:pPr>
        <w:pBdr>
          <w:top w:val="nil"/>
          <w:left w:val="nil"/>
          <w:bottom w:val="nil"/>
          <w:right w:val="nil"/>
          <w:between w:val="nil"/>
        </w:pBdr>
        <w:shd w:val="clear" w:color="auto" w:fill="FFFFFF"/>
        <w:ind w:left="-142" w:firstLine="567"/>
        <w:jc w:val="both"/>
      </w:pPr>
      <w:r w:rsidRPr="00CA36EC">
        <w:rPr>
          <w:b/>
          <w:sz w:val="28"/>
          <w:szCs w:val="28"/>
        </w:rPr>
        <w:t>7. Оцінка відповідності</w:t>
      </w:r>
    </w:p>
    <w:p w:rsidR="00CD1C54" w:rsidRPr="00CA36EC" w:rsidRDefault="00A509E2">
      <w:pPr>
        <w:pBdr>
          <w:top w:val="nil"/>
          <w:left w:val="nil"/>
          <w:bottom w:val="nil"/>
          <w:right w:val="nil"/>
          <w:between w:val="nil"/>
        </w:pBdr>
        <w:shd w:val="clear" w:color="auto" w:fill="FFFFFF"/>
        <w:ind w:left="-142" w:firstLine="567"/>
        <w:jc w:val="both"/>
      </w:pPr>
      <w:r w:rsidRPr="00CA36EC">
        <w:rPr>
          <w:sz w:val="28"/>
          <w:szCs w:val="28"/>
        </w:rPr>
        <w:t xml:space="preserve">У </w:t>
      </w:r>
      <w:proofErr w:type="spellStart"/>
      <w:r w:rsidRPr="00CA36EC">
        <w:rPr>
          <w:sz w:val="28"/>
          <w:szCs w:val="28"/>
        </w:rPr>
        <w:t>проєкті</w:t>
      </w:r>
      <w:proofErr w:type="spellEnd"/>
      <w:r w:rsidRPr="00CA36EC">
        <w:rPr>
          <w:sz w:val="28"/>
          <w:szCs w:val="28"/>
        </w:rPr>
        <w:t xml:space="preserve"> </w:t>
      </w:r>
      <w:proofErr w:type="spellStart"/>
      <w:r w:rsidRPr="00CA36EC">
        <w:rPr>
          <w:sz w:val="28"/>
          <w:szCs w:val="28"/>
        </w:rPr>
        <w:t>акта</w:t>
      </w:r>
      <w:proofErr w:type="spellEnd"/>
      <w:r w:rsidRPr="00CA36EC">
        <w:rPr>
          <w:sz w:val="28"/>
          <w:szCs w:val="28"/>
        </w:rPr>
        <w:t xml:space="preserve"> відсутні положення, що стосуються зобов’язань України у сфері європейської інтеграції, стосуються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підстави для дискримінації.</w:t>
      </w:r>
    </w:p>
    <w:p w:rsidR="00CD1C54" w:rsidRPr="00CA36EC" w:rsidRDefault="00A509E2">
      <w:pPr>
        <w:pBdr>
          <w:top w:val="nil"/>
          <w:left w:val="nil"/>
          <w:bottom w:val="nil"/>
          <w:right w:val="nil"/>
          <w:between w:val="nil"/>
        </w:pBdr>
        <w:shd w:val="clear" w:color="auto" w:fill="FFFFFF"/>
        <w:ind w:left="-142" w:firstLine="567"/>
        <w:jc w:val="both"/>
      </w:pPr>
      <w:proofErr w:type="spellStart"/>
      <w:r w:rsidRPr="00CA36EC">
        <w:rPr>
          <w:sz w:val="28"/>
          <w:szCs w:val="28"/>
        </w:rPr>
        <w:t>Проєкт</w:t>
      </w:r>
      <w:proofErr w:type="spellEnd"/>
      <w:r w:rsidRPr="00CA36EC">
        <w:rPr>
          <w:sz w:val="28"/>
          <w:szCs w:val="28"/>
        </w:rPr>
        <w:t xml:space="preserve"> </w:t>
      </w:r>
      <w:proofErr w:type="spellStart"/>
      <w:r w:rsidRPr="00CA36EC">
        <w:rPr>
          <w:sz w:val="28"/>
          <w:szCs w:val="28"/>
        </w:rPr>
        <w:t>акта</w:t>
      </w:r>
      <w:proofErr w:type="spellEnd"/>
      <w:r w:rsidRPr="00CA36EC">
        <w:rPr>
          <w:sz w:val="28"/>
          <w:szCs w:val="28"/>
        </w:rPr>
        <w:t xml:space="preserve"> було надіслано до Національного агентства з питань запобігання корупції для визначення необхідності проведення антикорупційної експертизи (дата та вхідний номера супровідного листа).</w:t>
      </w:r>
    </w:p>
    <w:p w:rsidR="00CD1C54" w:rsidRPr="00CA36EC" w:rsidRDefault="00A509E2">
      <w:pPr>
        <w:pBdr>
          <w:top w:val="nil"/>
          <w:left w:val="nil"/>
          <w:bottom w:val="nil"/>
          <w:right w:val="nil"/>
          <w:between w:val="nil"/>
        </w:pBdr>
        <w:shd w:val="clear" w:color="auto" w:fill="FFFFFF"/>
        <w:ind w:left="-142" w:firstLine="567"/>
        <w:jc w:val="both"/>
      </w:pPr>
      <w:r w:rsidRPr="00CA36EC">
        <w:rPr>
          <w:sz w:val="28"/>
          <w:szCs w:val="28"/>
        </w:rPr>
        <w:t xml:space="preserve">Громадської антикорупційна, громадська </w:t>
      </w:r>
      <w:proofErr w:type="spellStart"/>
      <w:r w:rsidRPr="00CA36EC">
        <w:rPr>
          <w:sz w:val="28"/>
          <w:szCs w:val="28"/>
        </w:rPr>
        <w:t>антидискримінаційна</w:t>
      </w:r>
      <w:proofErr w:type="spellEnd"/>
      <w:r w:rsidRPr="00CA36EC">
        <w:rPr>
          <w:sz w:val="28"/>
          <w:szCs w:val="28"/>
        </w:rPr>
        <w:t xml:space="preserve"> та громадська </w:t>
      </w:r>
      <w:proofErr w:type="spellStart"/>
      <w:r w:rsidRPr="00CA36EC">
        <w:rPr>
          <w:sz w:val="28"/>
          <w:szCs w:val="28"/>
        </w:rPr>
        <w:t>гендерно</w:t>
      </w:r>
      <w:proofErr w:type="spellEnd"/>
      <w:r w:rsidRPr="00CA36EC">
        <w:rPr>
          <w:sz w:val="28"/>
          <w:szCs w:val="28"/>
        </w:rPr>
        <w:t>-правова експертиза не проводилася.</w:t>
      </w:r>
    </w:p>
    <w:p w:rsidR="00CD1C54" w:rsidRPr="00CA36EC" w:rsidRDefault="00CD1C54">
      <w:pPr>
        <w:pBdr>
          <w:top w:val="nil"/>
          <w:left w:val="nil"/>
          <w:bottom w:val="nil"/>
          <w:right w:val="nil"/>
          <w:between w:val="nil"/>
        </w:pBdr>
        <w:shd w:val="clear" w:color="auto" w:fill="FFFFFF"/>
        <w:ind w:left="-142" w:firstLine="567"/>
        <w:jc w:val="both"/>
      </w:pPr>
    </w:p>
    <w:p w:rsidR="00CD1C54" w:rsidRPr="00CA36EC" w:rsidRDefault="00A509E2">
      <w:pPr>
        <w:pBdr>
          <w:top w:val="nil"/>
          <w:left w:val="nil"/>
          <w:bottom w:val="nil"/>
          <w:right w:val="nil"/>
          <w:between w:val="nil"/>
        </w:pBdr>
        <w:shd w:val="clear" w:color="auto" w:fill="FFFFFF"/>
        <w:ind w:left="-142" w:firstLine="567"/>
        <w:jc w:val="both"/>
      </w:pPr>
      <w:r w:rsidRPr="00CA36EC">
        <w:rPr>
          <w:b/>
          <w:sz w:val="28"/>
          <w:szCs w:val="28"/>
        </w:rPr>
        <w:t>8. Прогноз результатів</w:t>
      </w:r>
    </w:p>
    <w:p w:rsidR="00CD1C54" w:rsidRPr="00CA36EC" w:rsidRDefault="00A509E2">
      <w:pPr>
        <w:pBdr>
          <w:top w:val="nil"/>
          <w:left w:val="nil"/>
          <w:bottom w:val="nil"/>
          <w:right w:val="nil"/>
          <w:between w:val="nil"/>
        </w:pBdr>
        <w:shd w:val="clear" w:color="auto" w:fill="FFFFFF"/>
        <w:ind w:left="-142" w:firstLine="567"/>
        <w:jc w:val="both"/>
      </w:pPr>
      <w:r w:rsidRPr="00CA36EC">
        <w:rPr>
          <w:sz w:val="28"/>
          <w:szCs w:val="28"/>
        </w:rPr>
        <w:t xml:space="preserve">Реалізація </w:t>
      </w:r>
      <w:proofErr w:type="spellStart"/>
      <w:r w:rsidRPr="00CA36EC">
        <w:rPr>
          <w:sz w:val="28"/>
          <w:szCs w:val="28"/>
        </w:rPr>
        <w:t>акта</w:t>
      </w:r>
      <w:proofErr w:type="spellEnd"/>
      <w:r w:rsidRPr="00CA36EC">
        <w:rPr>
          <w:sz w:val="28"/>
          <w:szCs w:val="28"/>
        </w:rPr>
        <w:t xml:space="preserve"> не матиме впливу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rsidR="00CD1C54" w:rsidRPr="00CA36EC" w:rsidRDefault="00A509E2">
      <w:pPr>
        <w:pBdr>
          <w:top w:val="nil"/>
          <w:left w:val="nil"/>
          <w:bottom w:val="nil"/>
          <w:right w:val="nil"/>
          <w:between w:val="nil"/>
        </w:pBdr>
        <w:shd w:val="clear" w:color="auto" w:fill="FFFFFF"/>
        <w:ind w:left="-142" w:firstLine="567"/>
        <w:jc w:val="both"/>
      </w:pPr>
      <w:r w:rsidRPr="00CA36EC">
        <w:rPr>
          <w:sz w:val="28"/>
          <w:szCs w:val="28"/>
        </w:rPr>
        <w:t xml:space="preserve">Реалізація </w:t>
      </w:r>
      <w:proofErr w:type="spellStart"/>
      <w:r w:rsidRPr="00CA36EC">
        <w:rPr>
          <w:sz w:val="28"/>
          <w:szCs w:val="28"/>
        </w:rPr>
        <w:t>проєкту</w:t>
      </w:r>
      <w:proofErr w:type="spellEnd"/>
      <w:r w:rsidRPr="00CA36EC">
        <w:rPr>
          <w:sz w:val="28"/>
          <w:szCs w:val="28"/>
        </w:rPr>
        <w:t xml:space="preserve"> </w:t>
      </w:r>
      <w:proofErr w:type="spellStart"/>
      <w:r w:rsidRPr="00CA36EC">
        <w:rPr>
          <w:sz w:val="28"/>
          <w:szCs w:val="28"/>
        </w:rPr>
        <w:t>акта</w:t>
      </w:r>
      <w:proofErr w:type="spellEnd"/>
      <w:r w:rsidRPr="00CA36EC">
        <w:rPr>
          <w:sz w:val="28"/>
          <w:szCs w:val="28"/>
        </w:rPr>
        <w:t xml:space="preserve"> забезпечить усунення недоліків існуючого механізму підвищення кваліфікації педагогічних і науково-педагогічних працівників.</w:t>
      </w:r>
    </w:p>
    <w:p w:rsidR="00CD1C54" w:rsidRPr="00CA36EC" w:rsidRDefault="00A509E2">
      <w:pPr>
        <w:pBdr>
          <w:top w:val="nil"/>
          <w:left w:val="nil"/>
          <w:bottom w:val="nil"/>
          <w:right w:val="nil"/>
          <w:between w:val="nil"/>
        </w:pBdr>
        <w:shd w:val="clear" w:color="auto" w:fill="FFFFFF"/>
        <w:ind w:left="-142" w:firstLine="567"/>
        <w:jc w:val="both"/>
      </w:pPr>
      <w:r w:rsidRPr="00CA36EC">
        <w:rPr>
          <w:sz w:val="28"/>
          <w:szCs w:val="28"/>
        </w:rPr>
        <w:t>Вплив на ключові інтереси заінтересованих сторін:</w:t>
      </w:r>
    </w:p>
    <w:tbl>
      <w:tblPr>
        <w:tblStyle w:val="afff4"/>
        <w:tblW w:w="9209" w:type="dxa"/>
        <w:tblLayout w:type="fixed"/>
        <w:tblLook w:val="0400" w:firstRow="0" w:lastRow="0" w:firstColumn="0" w:lastColumn="0" w:noHBand="0" w:noVBand="1"/>
      </w:tblPr>
      <w:tblGrid>
        <w:gridCol w:w="2830"/>
        <w:gridCol w:w="3261"/>
        <w:gridCol w:w="3118"/>
      </w:tblGrid>
      <w:tr w:rsidR="00CA36EC" w:rsidRPr="00CA36EC" w:rsidTr="009D7419">
        <w:trPr>
          <w:trHeight w:val="280"/>
        </w:trPr>
        <w:tc>
          <w:tcPr>
            <w:tcW w:w="2830" w:type="dxa"/>
            <w:vMerge w:val="restart"/>
            <w:tcBorders>
              <w:top w:val="single" w:sz="6" w:space="0" w:color="000000"/>
              <w:left w:val="single" w:sz="4" w:space="0" w:color="000000"/>
              <w:bottom w:val="single" w:sz="6" w:space="0" w:color="000000"/>
              <w:right w:val="single" w:sz="6" w:space="0" w:color="000000"/>
            </w:tcBorders>
            <w:vAlign w:val="center"/>
          </w:tcPr>
          <w:p w:rsidR="00CD1C54" w:rsidRPr="00CA36EC" w:rsidRDefault="00A509E2">
            <w:pPr>
              <w:pBdr>
                <w:top w:val="nil"/>
                <w:left w:val="nil"/>
                <w:bottom w:val="nil"/>
                <w:right w:val="nil"/>
                <w:between w:val="nil"/>
              </w:pBdr>
              <w:spacing w:before="150"/>
              <w:jc w:val="center"/>
            </w:pPr>
            <w:r w:rsidRPr="00CA36EC">
              <w:rPr>
                <w:sz w:val="28"/>
                <w:szCs w:val="28"/>
              </w:rPr>
              <w:t>Заінтересована сторона</w:t>
            </w:r>
          </w:p>
        </w:tc>
        <w:tc>
          <w:tcPr>
            <w:tcW w:w="3261" w:type="dxa"/>
            <w:vMerge w:val="restart"/>
            <w:tcBorders>
              <w:top w:val="single" w:sz="6" w:space="0" w:color="000000"/>
              <w:left w:val="single" w:sz="6" w:space="0" w:color="000000"/>
              <w:bottom w:val="single" w:sz="6" w:space="0" w:color="000000"/>
              <w:right w:val="single" w:sz="6" w:space="0" w:color="000000"/>
            </w:tcBorders>
            <w:vAlign w:val="center"/>
          </w:tcPr>
          <w:p w:rsidR="00CD1C54" w:rsidRPr="00CA36EC" w:rsidRDefault="00A509E2">
            <w:pPr>
              <w:pBdr>
                <w:top w:val="nil"/>
                <w:left w:val="nil"/>
                <w:bottom w:val="nil"/>
                <w:right w:val="nil"/>
                <w:between w:val="nil"/>
              </w:pBdr>
              <w:spacing w:before="150"/>
              <w:ind w:left="142"/>
              <w:jc w:val="center"/>
            </w:pPr>
            <w:r w:rsidRPr="00CA36EC">
              <w:rPr>
                <w:sz w:val="28"/>
                <w:szCs w:val="28"/>
              </w:rPr>
              <w:t xml:space="preserve">Вплив реалізації </w:t>
            </w:r>
            <w:proofErr w:type="spellStart"/>
            <w:r w:rsidRPr="00CA36EC">
              <w:rPr>
                <w:sz w:val="28"/>
                <w:szCs w:val="28"/>
              </w:rPr>
              <w:t>акта</w:t>
            </w:r>
            <w:proofErr w:type="spellEnd"/>
            <w:r w:rsidRPr="00CA36EC">
              <w:rPr>
                <w:sz w:val="28"/>
                <w:szCs w:val="28"/>
              </w:rPr>
              <w:t xml:space="preserve"> на заінтересовану сторону</w:t>
            </w:r>
          </w:p>
        </w:tc>
        <w:tc>
          <w:tcPr>
            <w:tcW w:w="3118" w:type="dxa"/>
            <w:vMerge w:val="restart"/>
            <w:tcBorders>
              <w:top w:val="single" w:sz="6" w:space="0" w:color="000000"/>
              <w:left w:val="single" w:sz="6" w:space="0" w:color="000000"/>
              <w:bottom w:val="single" w:sz="6" w:space="0" w:color="000000"/>
              <w:right w:val="single" w:sz="6" w:space="0" w:color="000000"/>
            </w:tcBorders>
            <w:vAlign w:val="center"/>
          </w:tcPr>
          <w:p w:rsidR="00CD1C54" w:rsidRPr="00CA36EC" w:rsidRDefault="00A509E2">
            <w:pPr>
              <w:pBdr>
                <w:top w:val="nil"/>
                <w:left w:val="nil"/>
                <w:bottom w:val="nil"/>
                <w:right w:val="nil"/>
                <w:between w:val="nil"/>
              </w:pBdr>
              <w:spacing w:before="150"/>
              <w:ind w:left="142"/>
              <w:jc w:val="center"/>
            </w:pPr>
            <w:r w:rsidRPr="00CA36EC">
              <w:rPr>
                <w:sz w:val="28"/>
                <w:szCs w:val="28"/>
              </w:rPr>
              <w:t>Пояснення очікуваного впливу</w:t>
            </w:r>
          </w:p>
        </w:tc>
      </w:tr>
      <w:tr w:rsidR="00CA36EC" w:rsidRPr="00CA36EC" w:rsidTr="009D7419">
        <w:trPr>
          <w:trHeight w:val="465"/>
        </w:trPr>
        <w:tc>
          <w:tcPr>
            <w:tcW w:w="2830" w:type="dxa"/>
            <w:vMerge/>
            <w:tcBorders>
              <w:top w:val="single" w:sz="6" w:space="0" w:color="000000"/>
              <w:left w:val="single" w:sz="4" w:space="0" w:color="000000"/>
              <w:bottom w:val="single" w:sz="6" w:space="0" w:color="000000"/>
              <w:right w:val="single" w:sz="6" w:space="0" w:color="000000"/>
            </w:tcBorders>
            <w:vAlign w:val="center"/>
          </w:tcPr>
          <w:p w:rsidR="00CD1C54" w:rsidRPr="00CA36EC" w:rsidRDefault="00CD1C54">
            <w:pPr>
              <w:widowControl w:val="0"/>
              <w:pBdr>
                <w:top w:val="nil"/>
                <w:left w:val="nil"/>
                <w:bottom w:val="nil"/>
                <w:right w:val="nil"/>
                <w:between w:val="nil"/>
              </w:pBdr>
              <w:spacing w:line="276" w:lineRule="auto"/>
            </w:pPr>
          </w:p>
        </w:tc>
        <w:tc>
          <w:tcPr>
            <w:tcW w:w="3261" w:type="dxa"/>
            <w:vMerge/>
            <w:tcBorders>
              <w:top w:val="single" w:sz="6" w:space="0" w:color="000000"/>
              <w:left w:val="single" w:sz="6" w:space="0" w:color="000000"/>
              <w:bottom w:val="single" w:sz="6" w:space="0" w:color="000000"/>
              <w:right w:val="single" w:sz="6" w:space="0" w:color="000000"/>
            </w:tcBorders>
            <w:vAlign w:val="center"/>
          </w:tcPr>
          <w:p w:rsidR="00CD1C54" w:rsidRPr="00CA36EC" w:rsidRDefault="00CD1C54">
            <w:pPr>
              <w:widowControl w:val="0"/>
              <w:pBdr>
                <w:top w:val="nil"/>
                <w:left w:val="nil"/>
                <w:bottom w:val="nil"/>
                <w:right w:val="nil"/>
                <w:between w:val="nil"/>
              </w:pBdr>
              <w:spacing w:line="276" w:lineRule="auto"/>
            </w:pPr>
          </w:p>
        </w:tc>
        <w:tc>
          <w:tcPr>
            <w:tcW w:w="3118" w:type="dxa"/>
            <w:vMerge/>
            <w:tcBorders>
              <w:top w:val="single" w:sz="6" w:space="0" w:color="000000"/>
              <w:left w:val="single" w:sz="6" w:space="0" w:color="000000"/>
              <w:bottom w:val="single" w:sz="6" w:space="0" w:color="000000"/>
              <w:right w:val="single" w:sz="6" w:space="0" w:color="000000"/>
            </w:tcBorders>
            <w:vAlign w:val="center"/>
          </w:tcPr>
          <w:p w:rsidR="00CD1C54" w:rsidRPr="00CA36EC" w:rsidRDefault="00CD1C54">
            <w:pPr>
              <w:widowControl w:val="0"/>
              <w:pBdr>
                <w:top w:val="nil"/>
                <w:left w:val="nil"/>
                <w:bottom w:val="nil"/>
                <w:right w:val="nil"/>
                <w:between w:val="nil"/>
              </w:pBdr>
              <w:spacing w:line="276" w:lineRule="auto"/>
            </w:pPr>
          </w:p>
        </w:tc>
      </w:tr>
      <w:tr w:rsidR="00CA36EC" w:rsidRPr="00CA36EC" w:rsidTr="009D7419">
        <w:trPr>
          <w:trHeight w:val="280"/>
        </w:trPr>
        <w:tc>
          <w:tcPr>
            <w:tcW w:w="2830" w:type="dxa"/>
            <w:tcBorders>
              <w:top w:val="single" w:sz="6" w:space="0" w:color="000000"/>
              <w:left w:val="single" w:sz="4" w:space="0" w:color="000000"/>
              <w:bottom w:val="single" w:sz="6" w:space="0" w:color="000000"/>
              <w:right w:val="single" w:sz="6" w:space="0" w:color="000000"/>
            </w:tcBorders>
          </w:tcPr>
          <w:p w:rsidR="00CD1C54" w:rsidRPr="00CA36EC" w:rsidRDefault="00A509E2">
            <w:pPr>
              <w:pBdr>
                <w:top w:val="nil"/>
                <w:left w:val="nil"/>
                <w:bottom w:val="nil"/>
                <w:right w:val="nil"/>
                <w:between w:val="nil"/>
              </w:pBdr>
              <w:ind w:left="142"/>
            </w:pPr>
            <w:r w:rsidRPr="00CA36EC">
              <w:rPr>
                <w:sz w:val="28"/>
                <w:szCs w:val="28"/>
              </w:rPr>
              <w:lastRenderedPageBreak/>
              <w:t>Суб’єкти підвищення кваліфікації</w:t>
            </w:r>
          </w:p>
          <w:p w:rsidR="00CD1C54" w:rsidRPr="00CA36EC" w:rsidRDefault="00CD1C54"/>
        </w:tc>
        <w:tc>
          <w:tcPr>
            <w:tcW w:w="3261" w:type="dxa"/>
            <w:tcBorders>
              <w:top w:val="single" w:sz="6" w:space="0" w:color="000000"/>
              <w:left w:val="single" w:sz="6" w:space="0" w:color="000000"/>
              <w:bottom w:val="single" w:sz="6" w:space="0" w:color="000000"/>
              <w:right w:val="single" w:sz="6" w:space="0" w:color="000000"/>
            </w:tcBorders>
          </w:tcPr>
          <w:p w:rsidR="00CD1C54" w:rsidRPr="00CA36EC" w:rsidRDefault="00A509E2">
            <w:pPr>
              <w:pBdr>
                <w:top w:val="nil"/>
                <w:left w:val="nil"/>
                <w:bottom w:val="nil"/>
                <w:right w:val="nil"/>
                <w:between w:val="nil"/>
              </w:pBdr>
              <w:ind w:left="142" w:right="139"/>
              <w:jc w:val="both"/>
            </w:pPr>
            <w:r w:rsidRPr="00CA36EC">
              <w:rPr>
                <w:sz w:val="28"/>
                <w:szCs w:val="28"/>
              </w:rPr>
              <w:t xml:space="preserve">Реалізація </w:t>
            </w:r>
            <w:proofErr w:type="spellStart"/>
            <w:r w:rsidRPr="00CA36EC">
              <w:rPr>
                <w:sz w:val="28"/>
                <w:szCs w:val="28"/>
              </w:rPr>
              <w:t>акта</w:t>
            </w:r>
            <w:proofErr w:type="spellEnd"/>
            <w:r w:rsidRPr="00CA36EC">
              <w:rPr>
                <w:sz w:val="28"/>
                <w:szCs w:val="28"/>
              </w:rPr>
              <w:t xml:space="preserve"> дозволить провадити освітню діяльність з використанням державних цифрових рішень та підвищити якість послуг</w:t>
            </w:r>
          </w:p>
        </w:tc>
        <w:tc>
          <w:tcPr>
            <w:tcW w:w="3118" w:type="dxa"/>
            <w:tcBorders>
              <w:top w:val="single" w:sz="6" w:space="0" w:color="000000"/>
              <w:left w:val="single" w:sz="6" w:space="0" w:color="000000"/>
              <w:bottom w:val="single" w:sz="6" w:space="0" w:color="000000"/>
              <w:right w:val="single" w:sz="6" w:space="0" w:color="000000"/>
            </w:tcBorders>
            <w:vAlign w:val="center"/>
          </w:tcPr>
          <w:p w:rsidR="00CD1C54" w:rsidRPr="00CA36EC" w:rsidRDefault="00A509E2">
            <w:pPr>
              <w:pBdr>
                <w:top w:val="nil"/>
                <w:left w:val="nil"/>
                <w:bottom w:val="nil"/>
                <w:right w:val="nil"/>
                <w:between w:val="nil"/>
              </w:pBdr>
              <w:ind w:left="142" w:right="135"/>
              <w:jc w:val="both"/>
            </w:pPr>
            <w:r w:rsidRPr="00CA36EC">
              <w:rPr>
                <w:sz w:val="28"/>
                <w:szCs w:val="28"/>
              </w:rPr>
              <w:t>Державні цифрові рішення дозволять суб’єктам підвищення кваліфікації інформувати педагогічних (науково - педагогічних) працівників про свою освітню діяльність</w:t>
            </w:r>
          </w:p>
        </w:tc>
      </w:tr>
      <w:tr w:rsidR="009D7419" w:rsidRPr="00CA36EC" w:rsidTr="009D7419">
        <w:trPr>
          <w:trHeight w:val="1617"/>
        </w:trPr>
        <w:tc>
          <w:tcPr>
            <w:tcW w:w="2830" w:type="dxa"/>
            <w:tcBorders>
              <w:top w:val="single" w:sz="6" w:space="0" w:color="000000"/>
              <w:left w:val="single" w:sz="4" w:space="0" w:color="000000"/>
              <w:bottom w:val="single" w:sz="6" w:space="0" w:color="000000"/>
              <w:right w:val="single" w:sz="6" w:space="0" w:color="000000"/>
            </w:tcBorders>
          </w:tcPr>
          <w:p w:rsidR="00CD1C54" w:rsidRPr="00CA36EC" w:rsidRDefault="00A509E2">
            <w:pPr>
              <w:pBdr>
                <w:top w:val="nil"/>
                <w:left w:val="nil"/>
                <w:bottom w:val="nil"/>
                <w:right w:val="nil"/>
                <w:between w:val="nil"/>
              </w:pBdr>
              <w:ind w:left="142"/>
            </w:pPr>
            <w:r w:rsidRPr="00CA36EC">
              <w:rPr>
                <w:sz w:val="28"/>
                <w:szCs w:val="28"/>
              </w:rPr>
              <w:t>Педагогічні (науково - педагогічні) працівники</w:t>
            </w:r>
          </w:p>
        </w:tc>
        <w:tc>
          <w:tcPr>
            <w:tcW w:w="3261" w:type="dxa"/>
            <w:tcBorders>
              <w:top w:val="single" w:sz="6" w:space="0" w:color="000000"/>
              <w:left w:val="single" w:sz="6" w:space="0" w:color="000000"/>
              <w:bottom w:val="single" w:sz="6" w:space="0" w:color="000000"/>
              <w:right w:val="single" w:sz="6" w:space="0" w:color="000000"/>
            </w:tcBorders>
          </w:tcPr>
          <w:p w:rsidR="00CD1C54" w:rsidRPr="00CA36EC" w:rsidRDefault="00A509E2">
            <w:pPr>
              <w:pBdr>
                <w:top w:val="nil"/>
                <w:left w:val="nil"/>
                <w:bottom w:val="nil"/>
                <w:right w:val="nil"/>
                <w:between w:val="nil"/>
              </w:pBdr>
              <w:ind w:left="142"/>
            </w:pPr>
            <w:r w:rsidRPr="00CA36EC">
              <w:rPr>
                <w:sz w:val="28"/>
                <w:szCs w:val="28"/>
              </w:rPr>
              <w:t xml:space="preserve">Реалізація </w:t>
            </w:r>
            <w:proofErr w:type="spellStart"/>
            <w:r w:rsidRPr="00CA36EC">
              <w:rPr>
                <w:sz w:val="28"/>
                <w:szCs w:val="28"/>
              </w:rPr>
              <w:t>акта</w:t>
            </w:r>
            <w:proofErr w:type="spellEnd"/>
            <w:r w:rsidRPr="00CA36EC">
              <w:rPr>
                <w:sz w:val="28"/>
                <w:szCs w:val="28"/>
              </w:rPr>
              <w:t xml:space="preserve"> забезпечить вільний вибір змісту, виду, форми якісних послуг підвищення кваліфікації та суб’єкта підвищення кваліфікації за принципом “єдиного вікна”</w:t>
            </w:r>
          </w:p>
        </w:tc>
        <w:tc>
          <w:tcPr>
            <w:tcW w:w="3118" w:type="dxa"/>
            <w:tcBorders>
              <w:top w:val="single" w:sz="6" w:space="0" w:color="000000"/>
              <w:left w:val="single" w:sz="6" w:space="0" w:color="000000"/>
              <w:bottom w:val="single" w:sz="6" w:space="0" w:color="000000"/>
              <w:right w:val="single" w:sz="6" w:space="0" w:color="000000"/>
            </w:tcBorders>
            <w:vAlign w:val="center"/>
          </w:tcPr>
          <w:p w:rsidR="00CD1C54" w:rsidRPr="00CA36EC" w:rsidRDefault="00A509E2">
            <w:pPr>
              <w:pBdr>
                <w:top w:val="nil"/>
                <w:left w:val="nil"/>
                <w:bottom w:val="nil"/>
                <w:right w:val="nil"/>
                <w:between w:val="nil"/>
              </w:pBdr>
              <w:ind w:left="142"/>
            </w:pPr>
            <w:r w:rsidRPr="00CA36EC">
              <w:rPr>
                <w:sz w:val="28"/>
                <w:szCs w:val="28"/>
              </w:rPr>
              <w:t>Державні цифрові рішення дозволять спростити вибір та підвищити якість освітніх послуг у сфері підвищення кваліфікації</w:t>
            </w:r>
          </w:p>
          <w:p w:rsidR="00CD1C54" w:rsidRPr="00CA36EC" w:rsidRDefault="00CD1C54"/>
        </w:tc>
      </w:tr>
    </w:tbl>
    <w:p w:rsidR="00CD1C54" w:rsidRPr="00CA36EC" w:rsidRDefault="00CD1C54"/>
    <w:p w:rsidR="00CD1C54" w:rsidRPr="00CA36EC" w:rsidRDefault="00CD1C54">
      <w:pPr>
        <w:pBdr>
          <w:top w:val="nil"/>
          <w:left w:val="nil"/>
          <w:bottom w:val="nil"/>
          <w:right w:val="nil"/>
          <w:between w:val="nil"/>
        </w:pBdr>
        <w:jc w:val="both"/>
        <w:rPr>
          <w:b/>
          <w:sz w:val="28"/>
          <w:szCs w:val="28"/>
        </w:rPr>
      </w:pPr>
    </w:p>
    <w:p w:rsidR="00CD1C54" w:rsidRPr="00CA36EC" w:rsidRDefault="00CD1C54">
      <w:pPr>
        <w:pBdr>
          <w:top w:val="nil"/>
          <w:left w:val="nil"/>
          <w:bottom w:val="nil"/>
          <w:right w:val="nil"/>
          <w:between w:val="nil"/>
        </w:pBdr>
        <w:jc w:val="both"/>
        <w:rPr>
          <w:b/>
          <w:sz w:val="28"/>
          <w:szCs w:val="28"/>
        </w:rPr>
      </w:pPr>
    </w:p>
    <w:p w:rsidR="00CD1C54" w:rsidRPr="00CA36EC" w:rsidRDefault="00A509E2">
      <w:pPr>
        <w:pBdr>
          <w:top w:val="nil"/>
          <w:left w:val="nil"/>
          <w:bottom w:val="nil"/>
          <w:right w:val="nil"/>
          <w:between w:val="nil"/>
        </w:pBdr>
        <w:jc w:val="both"/>
      </w:pPr>
      <w:r w:rsidRPr="00CA36EC">
        <w:rPr>
          <w:b/>
          <w:sz w:val="28"/>
          <w:szCs w:val="28"/>
        </w:rPr>
        <w:t>Міністр освіти і науки України                                          Оксен ЛІСОВИЙ</w:t>
      </w:r>
    </w:p>
    <w:p w:rsidR="00CD1C54" w:rsidRPr="00CA36EC" w:rsidRDefault="00CD1C54">
      <w:pPr>
        <w:pBdr>
          <w:top w:val="nil"/>
          <w:left w:val="nil"/>
          <w:bottom w:val="nil"/>
          <w:right w:val="nil"/>
          <w:between w:val="nil"/>
        </w:pBdr>
        <w:jc w:val="both"/>
        <w:rPr>
          <w:sz w:val="28"/>
          <w:szCs w:val="28"/>
        </w:rPr>
      </w:pPr>
    </w:p>
    <w:p w:rsidR="00CD1C54" w:rsidRPr="00CA36EC" w:rsidRDefault="00CD1C54">
      <w:pPr>
        <w:pBdr>
          <w:top w:val="nil"/>
          <w:left w:val="nil"/>
          <w:bottom w:val="nil"/>
          <w:right w:val="nil"/>
          <w:between w:val="nil"/>
        </w:pBdr>
        <w:jc w:val="both"/>
        <w:rPr>
          <w:sz w:val="28"/>
          <w:szCs w:val="28"/>
        </w:rPr>
      </w:pPr>
    </w:p>
    <w:p w:rsidR="00CD1C54" w:rsidRPr="00CA36EC" w:rsidRDefault="00A509E2" w:rsidP="009D7419">
      <w:pPr>
        <w:pBdr>
          <w:top w:val="nil"/>
          <w:left w:val="nil"/>
          <w:bottom w:val="nil"/>
          <w:right w:val="nil"/>
          <w:between w:val="nil"/>
        </w:pBdr>
        <w:jc w:val="both"/>
      </w:pPr>
      <w:r w:rsidRPr="00CA36EC">
        <w:rPr>
          <w:sz w:val="28"/>
          <w:szCs w:val="28"/>
        </w:rPr>
        <w:t>_____ ______________ 20__ р.</w:t>
      </w:r>
    </w:p>
    <w:sectPr w:rsidR="00CD1C54" w:rsidRPr="00CA36EC" w:rsidSect="00CA36EC">
      <w:headerReference w:type="default" r:id="rId8"/>
      <w:footerReference w:type="even" r:id="rId9"/>
      <w:footerReference w:type="default" r:id="rId10"/>
      <w:headerReference w:type="first" r:id="rId11"/>
      <w:pgSz w:w="11901" w:h="16817"/>
      <w:pgMar w:top="1133" w:right="702" w:bottom="992" w:left="1700" w:header="426"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79F" w:rsidRDefault="0054479F">
      <w:r>
        <w:separator/>
      </w:r>
    </w:p>
  </w:endnote>
  <w:endnote w:type="continuationSeparator" w:id="0">
    <w:p w:rsidR="0054479F" w:rsidRDefault="0054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tiqu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54" w:rsidRDefault="00A509E2">
    <w:pPr>
      <w:pBdr>
        <w:top w:val="nil"/>
        <w:left w:val="nil"/>
        <w:bottom w:val="nil"/>
        <w:right w:val="nil"/>
        <w:between w:val="nil"/>
      </w:pBdr>
      <w:tabs>
        <w:tab w:val="center" w:pos="4819"/>
        <w:tab w:val="right" w:pos="9639"/>
      </w:tabs>
      <w:jc w:val="right"/>
      <w:rPr>
        <w:color w:val="000000"/>
      </w:rPr>
    </w:pPr>
    <w:r>
      <w:rPr>
        <w:color w:val="000000"/>
      </w:rPr>
      <w:fldChar w:fldCharType="begin"/>
    </w:r>
    <w:r>
      <w:rPr>
        <w:color w:val="000000"/>
      </w:rPr>
      <w:instrText>PAGE</w:instrText>
    </w:r>
    <w:r>
      <w:rPr>
        <w:color w:val="000000"/>
      </w:rPr>
      <w:fldChar w:fldCharType="end"/>
    </w:r>
  </w:p>
  <w:p w:rsidR="00CD1C54" w:rsidRDefault="00CD1C54">
    <w:pPr>
      <w:pBdr>
        <w:top w:val="nil"/>
        <w:left w:val="nil"/>
        <w:bottom w:val="nil"/>
        <w:right w:val="nil"/>
        <w:between w:val="nil"/>
      </w:pBdr>
      <w:tabs>
        <w:tab w:val="center" w:pos="4819"/>
        <w:tab w:val="right" w:pos="9639"/>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54" w:rsidRDefault="00CD1C54">
    <w:pPr>
      <w:pBdr>
        <w:top w:val="nil"/>
        <w:left w:val="nil"/>
        <w:bottom w:val="nil"/>
        <w:right w:val="nil"/>
        <w:between w:val="nil"/>
      </w:pBdr>
      <w:tabs>
        <w:tab w:val="center" w:pos="4819"/>
        <w:tab w:val="right" w:pos="9639"/>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79F" w:rsidRDefault="0054479F">
      <w:r>
        <w:separator/>
      </w:r>
    </w:p>
  </w:footnote>
  <w:footnote w:type="continuationSeparator" w:id="0">
    <w:p w:rsidR="0054479F" w:rsidRDefault="00544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519048"/>
      <w:docPartObj>
        <w:docPartGallery w:val="Page Numbers (Top of Page)"/>
        <w:docPartUnique/>
      </w:docPartObj>
    </w:sdtPr>
    <w:sdtEndPr>
      <w:rPr>
        <w:sz w:val="28"/>
        <w:szCs w:val="28"/>
      </w:rPr>
    </w:sdtEndPr>
    <w:sdtContent>
      <w:p w:rsidR="009D7419" w:rsidRPr="009D7419" w:rsidRDefault="009D7419">
        <w:pPr>
          <w:pStyle w:val="a5"/>
          <w:jc w:val="center"/>
          <w:rPr>
            <w:sz w:val="28"/>
            <w:szCs w:val="28"/>
          </w:rPr>
        </w:pPr>
        <w:r w:rsidRPr="009D7419">
          <w:rPr>
            <w:sz w:val="28"/>
            <w:szCs w:val="28"/>
          </w:rPr>
          <w:fldChar w:fldCharType="begin"/>
        </w:r>
        <w:r w:rsidRPr="009D7419">
          <w:rPr>
            <w:sz w:val="28"/>
            <w:szCs w:val="28"/>
          </w:rPr>
          <w:instrText>PAGE   \* MERGEFORMAT</w:instrText>
        </w:r>
        <w:r w:rsidRPr="009D7419">
          <w:rPr>
            <w:sz w:val="28"/>
            <w:szCs w:val="28"/>
          </w:rPr>
          <w:fldChar w:fldCharType="separate"/>
        </w:r>
        <w:r w:rsidR="00C92870">
          <w:rPr>
            <w:noProof/>
            <w:sz w:val="28"/>
            <w:szCs w:val="28"/>
          </w:rPr>
          <w:t>2</w:t>
        </w:r>
        <w:r w:rsidRPr="009D7419">
          <w:rPr>
            <w:sz w:val="28"/>
            <w:szCs w:val="28"/>
          </w:rPr>
          <w:fldChar w:fldCharType="end"/>
        </w:r>
      </w:p>
    </w:sdtContent>
  </w:sdt>
  <w:p w:rsidR="00CD1C54" w:rsidRDefault="00CD1C54">
    <w:pPr>
      <w:pBdr>
        <w:top w:val="nil"/>
        <w:left w:val="nil"/>
        <w:bottom w:val="nil"/>
        <w:right w:val="nil"/>
        <w:between w:val="nil"/>
      </w:pBdr>
      <w:tabs>
        <w:tab w:val="center" w:pos="4819"/>
        <w:tab w:val="right" w:pos="9639"/>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54" w:rsidRDefault="00A509E2">
    <w:pPr>
      <w:pBdr>
        <w:top w:val="nil"/>
        <w:left w:val="nil"/>
        <w:bottom w:val="nil"/>
        <w:right w:val="nil"/>
        <w:between w:val="nil"/>
      </w:pBdr>
      <w:tabs>
        <w:tab w:val="center" w:pos="4819"/>
        <w:tab w:val="right" w:pos="9639"/>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F61EB"/>
    <w:multiLevelType w:val="multilevel"/>
    <w:tmpl w:val="722C92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54"/>
    <w:rsid w:val="0054479F"/>
    <w:rsid w:val="006B3A32"/>
    <w:rsid w:val="008324A3"/>
    <w:rsid w:val="009D7419"/>
    <w:rsid w:val="009E39C8"/>
    <w:rsid w:val="00A509E2"/>
    <w:rsid w:val="00B22DC4"/>
    <w:rsid w:val="00C13D7F"/>
    <w:rsid w:val="00C44394"/>
    <w:rsid w:val="00C92870"/>
    <w:rsid w:val="00CA36EC"/>
    <w:rsid w:val="00CD1C54"/>
    <w:rsid w:val="00D371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50C48"/>
  <w15:docId w15:val="{63264820-49B6-42BD-8490-A0D081AC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F6032"/>
  </w:style>
  <w:style w:type="paragraph" w:styleId="1">
    <w:name w:val="heading 1"/>
    <w:basedOn w:val="a"/>
    <w:next w:val="a"/>
    <w:pPr>
      <w:keepNext/>
      <w:keepLines/>
      <w:spacing w:before="240"/>
      <w:outlineLvl w:val="0"/>
    </w:pPr>
    <w:rPr>
      <w:rFonts w:ascii="Calibri" w:eastAsia="Calibri" w:hAnsi="Calibri" w:cs="Calibri"/>
      <w:color w:val="2F5496"/>
      <w:sz w:val="32"/>
      <w:szCs w:val="32"/>
    </w:rPr>
  </w:style>
  <w:style w:type="paragraph" w:styleId="2">
    <w:name w:val="heading 2"/>
    <w:basedOn w:val="a"/>
    <w:next w:val="a"/>
    <w:pPr>
      <w:keepNext/>
      <w:keepLines/>
      <w:spacing w:before="40"/>
      <w:outlineLvl w:val="1"/>
    </w:pPr>
    <w:rPr>
      <w:rFonts w:ascii="Calibri" w:eastAsia="Calibri" w:hAnsi="Calibri" w:cs="Calibri"/>
      <w:color w:val="2F5496"/>
      <w:sz w:val="26"/>
      <w:szCs w:val="2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0">
    <w:name w:val="2"/>
    <w:basedOn w:val="TableNormal2"/>
    <w:tblPr>
      <w:tblStyleRowBandSize w:val="1"/>
      <w:tblStyleColBandSize w:val="1"/>
      <w:tblCellMar>
        <w:top w:w="100" w:type="dxa"/>
        <w:left w:w="100" w:type="dxa"/>
        <w:bottom w:w="100" w:type="dxa"/>
        <w:right w:w="100" w:type="dxa"/>
      </w:tblCellMar>
    </w:tblPr>
  </w:style>
  <w:style w:type="table" w:customStyle="1" w:styleId="10">
    <w:name w:val="1"/>
    <w:basedOn w:val="TableNormal2"/>
    <w:tblPr>
      <w:tblStyleRowBandSize w:val="1"/>
      <w:tblStyleColBandSize w:val="1"/>
      <w:tblCellMar>
        <w:top w:w="100" w:type="dxa"/>
        <w:left w:w="100" w:type="dxa"/>
        <w:bottom w:w="100" w:type="dxa"/>
        <w:right w:w="100" w:type="dxa"/>
      </w:tblCellMar>
    </w:tblPr>
  </w:style>
  <w:style w:type="paragraph" w:styleId="a5">
    <w:name w:val="header"/>
    <w:basedOn w:val="a"/>
    <w:link w:val="a6"/>
    <w:uiPriority w:val="99"/>
    <w:unhideWhenUsed/>
    <w:rsid w:val="00C16259"/>
    <w:pPr>
      <w:tabs>
        <w:tab w:val="center" w:pos="4819"/>
        <w:tab w:val="right" w:pos="9639"/>
      </w:tabs>
    </w:pPr>
  </w:style>
  <w:style w:type="character" w:customStyle="1" w:styleId="a6">
    <w:name w:val="Верхній колонтитул Знак"/>
    <w:basedOn w:val="a0"/>
    <w:link w:val="a5"/>
    <w:uiPriority w:val="99"/>
    <w:rsid w:val="00C16259"/>
  </w:style>
  <w:style w:type="paragraph" w:styleId="a7">
    <w:name w:val="footer"/>
    <w:basedOn w:val="a"/>
    <w:link w:val="a8"/>
    <w:uiPriority w:val="99"/>
    <w:unhideWhenUsed/>
    <w:rsid w:val="00C16259"/>
    <w:pPr>
      <w:tabs>
        <w:tab w:val="center" w:pos="4819"/>
        <w:tab w:val="right" w:pos="9639"/>
      </w:tabs>
    </w:pPr>
  </w:style>
  <w:style w:type="character" w:customStyle="1" w:styleId="a8">
    <w:name w:val="Нижній колонтитул Знак"/>
    <w:basedOn w:val="a0"/>
    <w:link w:val="a7"/>
    <w:uiPriority w:val="99"/>
    <w:rsid w:val="00C16259"/>
  </w:style>
  <w:style w:type="paragraph" w:styleId="a9">
    <w:name w:val="Normal (Web)"/>
    <w:basedOn w:val="a"/>
    <w:uiPriority w:val="99"/>
    <w:unhideWhenUsed/>
    <w:rsid w:val="00015631"/>
    <w:pPr>
      <w:spacing w:before="100" w:beforeAutospacing="1" w:after="100" w:afterAutospacing="1"/>
    </w:pPr>
  </w:style>
  <w:style w:type="character" w:styleId="aa">
    <w:name w:val="Hyperlink"/>
    <w:basedOn w:val="a0"/>
    <w:uiPriority w:val="99"/>
    <w:unhideWhenUsed/>
    <w:rsid w:val="006F317B"/>
    <w:rPr>
      <w:color w:val="0000FF"/>
      <w:u w:val="single"/>
    </w:rPr>
  </w:style>
  <w:style w:type="character" w:customStyle="1" w:styleId="apple-tab-span">
    <w:name w:val="apple-tab-span"/>
    <w:basedOn w:val="a0"/>
    <w:rsid w:val="00484D0F"/>
  </w:style>
  <w:style w:type="paragraph" w:styleId="HTML">
    <w:name w:val="HTML Preformatted"/>
    <w:basedOn w:val="a"/>
    <w:link w:val="HTML0"/>
    <w:uiPriority w:val="99"/>
    <w:semiHidden/>
    <w:unhideWhenUsed/>
    <w:rsid w:val="00537F49"/>
    <w:rPr>
      <w:rFonts w:ascii="Consolas" w:hAnsi="Consolas"/>
      <w:sz w:val="20"/>
      <w:szCs w:val="20"/>
    </w:rPr>
  </w:style>
  <w:style w:type="character" w:customStyle="1" w:styleId="HTML0">
    <w:name w:val="Стандартний HTML Знак"/>
    <w:basedOn w:val="a0"/>
    <w:link w:val="HTML"/>
    <w:uiPriority w:val="99"/>
    <w:semiHidden/>
    <w:rsid w:val="00537F49"/>
    <w:rPr>
      <w:rFonts w:ascii="Consolas" w:hAnsi="Consolas"/>
      <w:sz w:val="20"/>
      <w:szCs w:val="20"/>
    </w:rPr>
  </w:style>
  <w:style w:type="paragraph" w:styleId="ab">
    <w:name w:val="List Paragraph"/>
    <w:basedOn w:val="a"/>
    <w:uiPriority w:val="34"/>
    <w:qFormat/>
    <w:rsid w:val="00C0054F"/>
    <w:pPr>
      <w:ind w:left="720"/>
      <w:contextualSpacing/>
    </w:pPr>
  </w:style>
  <w:style w:type="numbering" w:customStyle="1" w:styleId="11">
    <w:name w:val="Нет списка1"/>
    <w:next w:val="a2"/>
    <w:uiPriority w:val="99"/>
    <w:semiHidden/>
    <w:unhideWhenUsed/>
    <w:rsid w:val="00CA07EA"/>
  </w:style>
  <w:style w:type="paragraph" w:customStyle="1" w:styleId="rvps7">
    <w:name w:val="rvps7"/>
    <w:basedOn w:val="a"/>
    <w:rsid w:val="00CA07EA"/>
    <w:pPr>
      <w:spacing w:before="100" w:beforeAutospacing="1" w:after="100" w:afterAutospacing="1"/>
    </w:pPr>
  </w:style>
  <w:style w:type="character" w:customStyle="1" w:styleId="rvts15">
    <w:name w:val="rvts15"/>
    <w:basedOn w:val="a0"/>
    <w:rsid w:val="00CA07EA"/>
  </w:style>
  <w:style w:type="paragraph" w:customStyle="1" w:styleId="rvps2">
    <w:name w:val="rvps2"/>
    <w:basedOn w:val="a"/>
    <w:rsid w:val="00CA07EA"/>
    <w:pPr>
      <w:spacing w:before="100" w:beforeAutospacing="1" w:after="100" w:afterAutospacing="1"/>
    </w:pPr>
  </w:style>
  <w:style w:type="character" w:customStyle="1" w:styleId="rvts46">
    <w:name w:val="rvts46"/>
    <w:basedOn w:val="a0"/>
    <w:rsid w:val="00CA07EA"/>
  </w:style>
  <w:style w:type="paragraph" w:customStyle="1" w:styleId="ac">
    <w:name w:val="Нормальний текст"/>
    <w:basedOn w:val="a"/>
    <w:rsid w:val="00CA07EA"/>
    <w:pPr>
      <w:spacing w:before="120"/>
      <w:ind w:firstLine="567"/>
    </w:pPr>
    <w:rPr>
      <w:rFonts w:ascii="Antiqua" w:hAnsi="Antiqua"/>
      <w:sz w:val="26"/>
      <w:szCs w:val="20"/>
      <w:lang w:eastAsia="ru-RU"/>
    </w:rPr>
  </w:style>
  <w:style w:type="paragraph" w:customStyle="1" w:styleId="ad">
    <w:name w:val="Шапка документу"/>
    <w:basedOn w:val="a"/>
    <w:rsid w:val="00CA07EA"/>
    <w:pPr>
      <w:keepNext/>
      <w:keepLines/>
      <w:spacing w:after="240"/>
      <w:ind w:left="4536"/>
      <w:jc w:val="center"/>
    </w:pPr>
    <w:rPr>
      <w:rFonts w:ascii="Antiqua" w:hAnsi="Antiqua"/>
      <w:sz w:val="26"/>
      <w:szCs w:val="20"/>
      <w:lang w:eastAsia="ru-RU"/>
    </w:rPr>
  </w:style>
  <w:style w:type="paragraph" w:customStyle="1" w:styleId="ae">
    <w:name w:val="Назва документа"/>
    <w:basedOn w:val="a"/>
    <w:next w:val="ac"/>
    <w:rsid w:val="00CA07EA"/>
    <w:pPr>
      <w:keepNext/>
      <w:keepLines/>
      <w:spacing w:before="240" w:after="240"/>
      <w:jc w:val="center"/>
    </w:pPr>
    <w:rPr>
      <w:rFonts w:ascii="Antiqua" w:hAnsi="Antiqua"/>
      <w:b/>
      <w:sz w:val="26"/>
      <w:szCs w:val="20"/>
      <w:lang w:eastAsia="ru-RU"/>
    </w:rPr>
  </w:style>
  <w:style w:type="character" w:customStyle="1" w:styleId="st42">
    <w:name w:val="st42"/>
    <w:uiPriority w:val="99"/>
    <w:rsid w:val="00CA07EA"/>
    <w:rPr>
      <w:color w:val="000000"/>
    </w:rPr>
  </w:style>
  <w:style w:type="character" w:customStyle="1" w:styleId="st161">
    <w:name w:val="st161"/>
    <w:uiPriority w:val="99"/>
    <w:rsid w:val="00CA07EA"/>
    <w:rPr>
      <w:b/>
      <w:bCs/>
      <w:color w:val="000000"/>
      <w:sz w:val="28"/>
      <w:szCs w:val="28"/>
    </w:rPr>
  </w:style>
  <w:style w:type="character" w:customStyle="1" w:styleId="st131">
    <w:name w:val="st131"/>
    <w:uiPriority w:val="99"/>
    <w:rsid w:val="00CA07EA"/>
    <w:rPr>
      <w:i/>
      <w:iCs/>
      <w:color w:val="0000FF"/>
    </w:rPr>
  </w:style>
  <w:style w:type="character" w:customStyle="1" w:styleId="st46">
    <w:name w:val="st46"/>
    <w:uiPriority w:val="99"/>
    <w:rsid w:val="00CA07EA"/>
    <w:rPr>
      <w:i/>
      <w:iCs/>
      <w:color w:val="000000"/>
    </w:rPr>
  </w:style>
  <w:style w:type="character" w:customStyle="1" w:styleId="rvts37">
    <w:name w:val="rvts37"/>
    <w:basedOn w:val="a0"/>
    <w:rsid w:val="00CA07EA"/>
  </w:style>
  <w:style w:type="paragraph" w:styleId="af">
    <w:name w:val="Balloon Text"/>
    <w:basedOn w:val="a"/>
    <w:link w:val="af0"/>
    <w:uiPriority w:val="99"/>
    <w:semiHidden/>
    <w:unhideWhenUsed/>
    <w:rsid w:val="00CA07EA"/>
    <w:rPr>
      <w:rFonts w:ascii="Segoe UI" w:eastAsia="Calibri" w:hAnsi="Segoe UI" w:cs="Segoe UI"/>
      <w:sz w:val="18"/>
      <w:szCs w:val="18"/>
      <w:lang w:eastAsia="en-US"/>
    </w:rPr>
  </w:style>
  <w:style w:type="character" w:customStyle="1" w:styleId="af0">
    <w:name w:val="Текст у виносці Знак"/>
    <w:basedOn w:val="a0"/>
    <w:link w:val="af"/>
    <w:uiPriority w:val="99"/>
    <w:semiHidden/>
    <w:rsid w:val="00CA07EA"/>
    <w:rPr>
      <w:rFonts w:ascii="Segoe UI" w:eastAsia="Calibri" w:hAnsi="Segoe UI" w:cs="Segoe UI"/>
      <w:sz w:val="18"/>
      <w:szCs w:val="18"/>
      <w:lang w:val="uk-UA" w:eastAsia="en-US"/>
    </w:rPr>
  </w:style>
  <w:style w:type="character" w:customStyle="1" w:styleId="rvts13">
    <w:name w:val="rvts13"/>
    <w:basedOn w:val="a0"/>
    <w:rsid w:val="00CA07EA"/>
  </w:style>
  <w:style w:type="paragraph" w:customStyle="1" w:styleId="rvps1">
    <w:name w:val="rvps1"/>
    <w:basedOn w:val="a"/>
    <w:rsid w:val="00CA07EA"/>
    <w:pPr>
      <w:spacing w:before="100" w:beforeAutospacing="1" w:after="100" w:afterAutospacing="1"/>
    </w:pPr>
  </w:style>
  <w:style w:type="character" w:customStyle="1" w:styleId="rvts82">
    <w:name w:val="rvts82"/>
    <w:basedOn w:val="a0"/>
    <w:rsid w:val="00CA07EA"/>
  </w:style>
  <w:style w:type="paragraph" w:customStyle="1" w:styleId="rvps12">
    <w:name w:val="rvps12"/>
    <w:basedOn w:val="a"/>
    <w:rsid w:val="00CA07EA"/>
    <w:pPr>
      <w:spacing w:before="100" w:beforeAutospacing="1" w:after="100" w:afterAutospacing="1"/>
    </w:pPr>
  </w:style>
  <w:style w:type="paragraph" w:customStyle="1" w:styleId="st216">
    <w:name w:val="st216"/>
    <w:uiPriority w:val="99"/>
    <w:rsid w:val="00CA07EA"/>
    <w:pPr>
      <w:autoSpaceDE w:val="0"/>
      <w:autoSpaceDN w:val="0"/>
      <w:adjustRightInd w:val="0"/>
      <w:spacing w:after="120"/>
      <w:ind w:firstLine="360"/>
      <w:jc w:val="both"/>
    </w:pPr>
    <w:rPr>
      <w:lang w:val="x-none"/>
    </w:rPr>
  </w:style>
  <w:style w:type="paragraph" w:customStyle="1" w:styleId="st2">
    <w:name w:val="st2"/>
    <w:uiPriority w:val="99"/>
    <w:rsid w:val="00CA07EA"/>
    <w:pPr>
      <w:autoSpaceDE w:val="0"/>
      <w:autoSpaceDN w:val="0"/>
      <w:adjustRightInd w:val="0"/>
      <w:spacing w:after="120"/>
      <w:ind w:firstLine="360"/>
      <w:jc w:val="both"/>
    </w:pPr>
    <w:rPr>
      <w:lang w:val="x-none"/>
    </w:rPr>
  </w:style>
  <w:style w:type="paragraph" w:styleId="af1">
    <w:name w:val="No Spacing"/>
    <w:uiPriority w:val="1"/>
    <w:qFormat/>
    <w:rsid w:val="00DF654A"/>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top w:w="15" w:type="dxa"/>
        <w:left w:w="15" w:type="dxa"/>
        <w:bottom w:w="15" w:type="dxa"/>
        <w:right w:w="15" w:type="dxa"/>
      </w:tblCellMar>
    </w:tblPr>
  </w:style>
  <w:style w:type="table" w:customStyle="1" w:styleId="af6">
    <w:basedOn w:val="TableNormal2"/>
    <w:tblPr>
      <w:tblStyleRowBandSize w:val="1"/>
      <w:tblStyleColBandSize w:val="1"/>
      <w:tblCellMar>
        <w:top w:w="15" w:type="dxa"/>
        <w:left w:w="15" w:type="dxa"/>
        <w:bottom w:w="15" w:type="dxa"/>
        <w:right w:w="15" w:type="dxa"/>
      </w:tblCellMar>
    </w:tblPr>
  </w:style>
  <w:style w:type="table" w:customStyle="1" w:styleId="af7">
    <w:basedOn w:val="TableNormal2"/>
    <w:tblPr>
      <w:tblStyleRowBandSize w:val="1"/>
      <w:tblStyleColBandSize w:val="1"/>
      <w:tblCellMar>
        <w:top w:w="15" w:type="dxa"/>
        <w:left w:w="15" w:type="dxa"/>
        <w:bottom w:w="15" w:type="dxa"/>
        <w:right w:w="15" w:type="dxa"/>
      </w:tblCellMar>
    </w:tblPr>
  </w:style>
  <w:style w:type="table" w:customStyle="1" w:styleId="af8">
    <w:basedOn w:val="TableNormal2"/>
    <w:tblPr>
      <w:tblStyleRowBandSize w:val="1"/>
      <w:tblStyleColBandSize w:val="1"/>
      <w:tblCellMar>
        <w:top w:w="15" w:type="dxa"/>
        <w:left w:w="15" w:type="dxa"/>
        <w:bottom w:w="15" w:type="dxa"/>
        <w:right w:w="15" w:type="dxa"/>
      </w:tblCellMar>
    </w:tblPr>
  </w:style>
  <w:style w:type="table" w:customStyle="1" w:styleId="af9">
    <w:basedOn w:val="TableNormal2"/>
    <w:tblPr>
      <w:tblStyleRowBandSize w:val="1"/>
      <w:tblStyleColBandSize w:val="1"/>
      <w:tblCellMar>
        <w:top w:w="15" w:type="dxa"/>
        <w:left w:w="15" w:type="dxa"/>
        <w:bottom w:w="15" w:type="dxa"/>
        <w:right w:w="15" w:type="dxa"/>
      </w:tblCellMar>
    </w:tblPr>
  </w:style>
  <w:style w:type="table" w:customStyle="1" w:styleId="afa">
    <w:basedOn w:val="TableNormal2"/>
    <w:tblPr>
      <w:tblStyleRowBandSize w:val="1"/>
      <w:tblStyleColBandSize w:val="1"/>
      <w:tblCellMar>
        <w:top w:w="15" w:type="dxa"/>
        <w:left w:w="15" w:type="dxa"/>
        <w:bottom w:w="15" w:type="dxa"/>
        <w:right w:w="15" w:type="dxa"/>
      </w:tblCellMar>
    </w:tblPr>
  </w:style>
  <w:style w:type="table" w:customStyle="1" w:styleId="afb">
    <w:basedOn w:val="TableNormal2"/>
    <w:tblPr>
      <w:tblStyleRowBandSize w:val="1"/>
      <w:tblStyleColBandSize w:val="1"/>
      <w:tblCellMar>
        <w:top w:w="15" w:type="dxa"/>
        <w:left w:w="15" w:type="dxa"/>
        <w:bottom w:w="15" w:type="dxa"/>
        <w:right w:w="15" w:type="dxa"/>
      </w:tblCellMar>
    </w:tblPr>
  </w:style>
  <w:style w:type="table" w:customStyle="1" w:styleId="afc">
    <w:basedOn w:val="TableNormal2"/>
    <w:tblPr>
      <w:tblStyleRowBandSize w:val="1"/>
      <w:tblStyleColBandSize w:val="1"/>
      <w:tblCellMar>
        <w:top w:w="15" w:type="dxa"/>
        <w:left w:w="15" w:type="dxa"/>
        <w:bottom w:w="15" w:type="dxa"/>
        <w:right w:w="15" w:type="dxa"/>
      </w:tblCellMar>
    </w:tblPr>
  </w:style>
  <w:style w:type="table" w:customStyle="1" w:styleId="afd">
    <w:basedOn w:val="TableNormal2"/>
    <w:tblPr>
      <w:tblStyleRowBandSize w:val="1"/>
      <w:tblStyleColBandSize w:val="1"/>
      <w:tblCellMar>
        <w:top w:w="15" w:type="dxa"/>
        <w:left w:w="15" w:type="dxa"/>
        <w:bottom w:w="15" w:type="dxa"/>
        <w:right w:w="15" w:type="dxa"/>
      </w:tblCellMar>
    </w:tblPr>
  </w:style>
  <w:style w:type="table" w:customStyle="1" w:styleId="afe">
    <w:basedOn w:val="TableNormal2"/>
    <w:tblPr>
      <w:tblStyleRowBandSize w:val="1"/>
      <w:tblStyleColBandSize w:val="1"/>
      <w:tblCellMar>
        <w:top w:w="15" w:type="dxa"/>
        <w:left w:w="15" w:type="dxa"/>
        <w:bottom w:w="15" w:type="dxa"/>
        <w:right w:w="15" w:type="dxa"/>
      </w:tblCellMar>
    </w:tblPr>
  </w:style>
  <w:style w:type="table" w:customStyle="1" w:styleId="aff">
    <w:basedOn w:val="TableNormal2"/>
    <w:tblPr>
      <w:tblStyleRowBandSize w:val="1"/>
      <w:tblStyleColBandSize w:val="1"/>
      <w:tblCellMar>
        <w:top w:w="15" w:type="dxa"/>
        <w:left w:w="15" w:type="dxa"/>
        <w:bottom w:w="15" w:type="dxa"/>
        <w:right w:w="15" w:type="dxa"/>
      </w:tblCellMar>
    </w:tblPr>
  </w:style>
  <w:style w:type="table" w:customStyle="1" w:styleId="aff0">
    <w:basedOn w:val="TableNormal2"/>
    <w:tblPr>
      <w:tblStyleRowBandSize w:val="1"/>
      <w:tblStyleColBandSize w:val="1"/>
      <w:tblCellMar>
        <w:top w:w="15" w:type="dxa"/>
        <w:left w:w="15" w:type="dxa"/>
        <w:bottom w:w="15" w:type="dxa"/>
        <w:right w:w="15" w:type="dxa"/>
      </w:tblCellMar>
    </w:tblPr>
  </w:style>
  <w:style w:type="table" w:customStyle="1" w:styleId="aff1">
    <w:basedOn w:val="TableNormal2"/>
    <w:tblPr>
      <w:tblStyleRowBandSize w:val="1"/>
      <w:tblStyleColBandSize w:val="1"/>
      <w:tblCellMar>
        <w:top w:w="15" w:type="dxa"/>
        <w:left w:w="15" w:type="dxa"/>
        <w:bottom w:w="15" w:type="dxa"/>
        <w:right w:w="15" w:type="dxa"/>
      </w:tblCellMar>
    </w:tblPr>
  </w:style>
  <w:style w:type="table" w:customStyle="1" w:styleId="aff2">
    <w:basedOn w:val="TableNormal2"/>
    <w:tblPr>
      <w:tblStyleRowBandSize w:val="1"/>
      <w:tblStyleColBandSize w:val="1"/>
      <w:tblCellMar>
        <w:top w:w="15" w:type="dxa"/>
        <w:left w:w="15" w:type="dxa"/>
        <w:bottom w:w="15" w:type="dxa"/>
        <w:right w:w="15" w:type="dxa"/>
      </w:tblCellMar>
    </w:tblPr>
  </w:style>
  <w:style w:type="table" w:customStyle="1" w:styleId="aff3">
    <w:basedOn w:val="TableNormal2"/>
    <w:tblPr>
      <w:tblStyleRowBandSize w:val="1"/>
      <w:tblStyleColBandSize w:val="1"/>
      <w:tblCellMar>
        <w:top w:w="15" w:type="dxa"/>
        <w:left w:w="15" w:type="dxa"/>
        <w:bottom w:w="15" w:type="dxa"/>
        <w:right w:w="15" w:type="dxa"/>
      </w:tblCellMar>
    </w:tblPr>
  </w:style>
  <w:style w:type="table" w:customStyle="1" w:styleId="aff4">
    <w:basedOn w:val="TableNormal2"/>
    <w:tblPr>
      <w:tblStyleRowBandSize w:val="1"/>
      <w:tblStyleColBandSize w:val="1"/>
      <w:tblCellMar>
        <w:top w:w="15" w:type="dxa"/>
        <w:left w:w="15" w:type="dxa"/>
        <w:bottom w:w="15" w:type="dxa"/>
        <w:right w:w="15" w:type="dxa"/>
      </w:tblCellMar>
    </w:tblPr>
  </w:style>
  <w:style w:type="table" w:customStyle="1" w:styleId="aff5">
    <w:basedOn w:val="TableNormal2"/>
    <w:tblPr>
      <w:tblStyleRowBandSize w:val="1"/>
      <w:tblStyleColBandSize w:val="1"/>
      <w:tblCellMar>
        <w:top w:w="15" w:type="dxa"/>
        <w:left w:w="15" w:type="dxa"/>
        <w:bottom w:w="15" w:type="dxa"/>
        <w:right w:w="15" w:type="dxa"/>
      </w:tblCellMar>
    </w:tblPr>
  </w:style>
  <w:style w:type="table" w:customStyle="1" w:styleId="aff6">
    <w:basedOn w:val="TableNormal2"/>
    <w:tblPr>
      <w:tblStyleRowBandSize w:val="1"/>
      <w:tblStyleColBandSize w:val="1"/>
      <w:tblCellMar>
        <w:top w:w="15" w:type="dxa"/>
        <w:left w:w="15" w:type="dxa"/>
        <w:bottom w:w="15" w:type="dxa"/>
        <w:right w:w="15" w:type="dxa"/>
      </w:tblCellMar>
    </w:tblPr>
  </w:style>
  <w:style w:type="table" w:customStyle="1" w:styleId="aff7">
    <w:basedOn w:val="TableNormal2"/>
    <w:tblPr>
      <w:tblStyleRowBandSize w:val="1"/>
      <w:tblStyleColBandSize w:val="1"/>
      <w:tblCellMar>
        <w:top w:w="15" w:type="dxa"/>
        <w:left w:w="15" w:type="dxa"/>
        <w:bottom w:w="15" w:type="dxa"/>
        <w:right w:w="15" w:type="dxa"/>
      </w:tblCellMar>
    </w:tblPr>
  </w:style>
  <w:style w:type="table" w:customStyle="1" w:styleId="aff8">
    <w:basedOn w:val="TableNormal2"/>
    <w:tblPr>
      <w:tblStyleRowBandSize w:val="1"/>
      <w:tblStyleColBandSize w:val="1"/>
      <w:tblCellMar>
        <w:top w:w="15" w:type="dxa"/>
        <w:left w:w="15" w:type="dxa"/>
        <w:bottom w:w="15" w:type="dxa"/>
        <w:right w:w="15" w:type="dxa"/>
      </w:tblCellMar>
    </w:tblPr>
  </w:style>
  <w:style w:type="table" w:customStyle="1" w:styleId="aff9">
    <w:basedOn w:val="TableNormal2"/>
    <w:tblPr>
      <w:tblStyleRowBandSize w:val="1"/>
      <w:tblStyleColBandSize w:val="1"/>
      <w:tblCellMar>
        <w:top w:w="15" w:type="dxa"/>
        <w:left w:w="15" w:type="dxa"/>
        <w:bottom w:w="15" w:type="dxa"/>
        <w:right w:w="15" w:type="dxa"/>
      </w:tblCellMar>
    </w:tblPr>
  </w:style>
  <w:style w:type="table" w:customStyle="1" w:styleId="affa">
    <w:basedOn w:val="TableNormal2"/>
    <w:tblPr>
      <w:tblStyleRowBandSize w:val="1"/>
      <w:tblStyleColBandSize w:val="1"/>
      <w:tblCellMar>
        <w:top w:w="15" w:type="dxa"/>
        <w:left w:w="15" w:type="dxa"/>
        <w:bottom w:w="15" w:type="dxa"/>
        <w:right w:w="15" w:type="dxa"/>
      </w:tblCellMar>
    </w:tblPr>
  </w:style>
  <w:style w:type="table" w:customStyle="1" w:styleId="affb">
    <w:basedOn w:val="TableNormal2"/>
    <w:tblPr>
      <w:tblStyleRowBandSize w:val="1"/>
      <w:tblStyleColBandSize w:val="1"/>
      <w:tblCellMar>
        <w:top w:w="15" w:type="dxa"/>
        <w:left w:w="15" w:type="dxa"/>
        <w:bottom w:w="15" w:type="dxa"/>
        <w:right w:w="15" w:type="dxa"/>
      </w:tblCellMar>
    </w:tblPr>
  </w:style>
  <w:style w:type="table" w:customStyle="1" w:styleId="affc">
    <w:basedOn w:val="TableNormal2"/>
    <w:tblPr>
      <w:tblStyleRowBandSize w:val="1"/>
      <w:tblStyleColBandSize w:val="1"/>
      <w:tblCellMar>
        <w:top w:w="15" w:type="dxa"/>
        <w:left w:w="15" w:type="dxa"/>
        <w:bottom w:w="15" w:type="dxa"/>
        <w:right w:w="15" w:type="dxa"/>
      </w:tblCellMar>
    </w:tblPr>
  </w:style>
  <w:style w:type="table" w:customStyle="1" w:styleId="affd">
    <w:basedOn w:val="TableNormal2"/>
    <w:tblPr>
      <w:tblStyleRowBandSize w:val="1"/>
      <w:tblStyleColBandSize w:val="1"/>
      <w:tblCellMar>
        <w:top w:w="15" w:type="dxa"/>
        <w:left w:w="15" w:type="dxa"/>
        <w:bottom w:w="15" w:type="dxa"/>
        <w:right w:w="15" w:type="dxa"/>
      </w:tblCellMar>
    </w:tblPr>
  </w:style>
  <w:style w:type="table" w:customStyle="1" w:styleId="affe">
    <w:basedOn w:val="TableNormal2"/>
    <w:tblPr>
      <w:tblStyleRowBandSize w:val="1"/>
      <w:tblStyleColBandSize w:val="1"/>
      <w:tblCellMar>
        <w:top w:w="15" w:type="dxa"/>
        <w:left w:w="15" w:type="dxa"/>
        <w:bottom w:w="15" w:type="dxa"/>
        <w:right w:w="15" w:type="dxa"/>
      </w:tblCellMar>
    </w:tblPr>
  </w:style>
  <w:style w:type="table" w:customStyle="1" w:styleId="afff">
    <w:basedOn w:val="TableNormal2"/>
    <w:tblPr>
      <w:tblStyleRowBandSize w:val="1"/>
      <w:tblStyleColBandSize w:val="1"/>
      <w:tblCellMar>
        <w:top w:w="15" w:type="dxa"/>
        <w:left w:w="15" w:type="dxa"/>
        <w:bottom w:w="15" w:type="dxa"/>
        <w:right w:w="15" w:type="dxa"/>
      </w:tblCellMar>
    </w:tblPr>
  </w:style>
  <w:style w:type="table" w:customStyle="1" w:styleId="afff0">
    <w:basedOn w:val="TableNormal2"/>
    <w:tblPr>
      <w:tblStyleRowBandSize w:val="1"/>
      <w:tblStyleColBandSize w:val="1"/>
      <w:tblCellMar>
        <w:top w:w="15" w:type="dxa"/>
        <w:left w:w="15" w:type="dxa"/>
        <w:bottom w:w="15" w:type="dxa"/>
        <w:right w:w="15" w:type="dxa"/>
      </w:tblCellMar>
    </w:tblPr>
  </w:style>
  <w:style w:type="table" w:customStyle="1" w:styleId="afff1">
    <w:basedOn w:val="TableNormal2"/>
    <w:tblPr>
      <w:tblStyleRowBandSize w:val="1"/>
      <w:tblStyleColBandSize w:val="1"/>
      <w:tblCellMar>
        <w:top w:w="15" w:type="dxa"/>
        <w:left w:w="15" w:type="dxa"/>
        <w:bottom w:w="15" w:type="dxa"/>
        <w:right w:w="15" w:type="dxa"/>
      </w:tblCellMar>
    </w:tblPr>
  </w:style>
  <w:style w:type="table" w:customStyle="1" w:styleId="afff2">
    <w:basedOn w:val="a1"/>
    <w:tblPr>
      <w:tblStyleRowBandSize w:val="1"/>
      <w:tblStyleColBandSize w:val="1"/>
      <w:tblCellMar>
        <w:left w:w="115" w:type="dxa"/>
        <w:right w:w="115" w:type="dxa"/>
      </w:tblCellMar>
    </w:tblPr>
  </w:style>
  <w:style w:type="table" w:customStyle="1" w:styleId="afff3">
    <w:basedOn w:val="a1"/>
    <w:tblPr>
      <w:tblStyleRowBandSize w:val="1"/>
      <w:tblStyleColBandSize w:val="1"/>
      <w:tblCellMar>
        <w:left w:w="115" w:type="dxa"/>
        <w:right w:w="115" w:type="dxa"/>
      </w:tblCellMar>
    </w:tblPr>
  </w:style>
  <w:style w:type="table" w:customStyle="1" w:styleId="afff4">
    <w:basedOn w:val="a1"/>
    <w:tblPr>
      <w:tblStyleRowBandSize w:val="1"/>
      <w:tblStyleColBandSize w:val="1"/>
      <w:tblCellMar>
        <w:left w:w="115" w:type="dxa"/>
        <w:right w:w="115" w:type="dxa"/>
      </w:tblCellMar>
    </w:tblPr>
  </w:style>
  <w:style w:type="table" w:customStyle="1" w:styleId="afff5">
    <w:basedOn w:val="a1"/>
    <w:tblPr>
      <w:tblStyleRowBandSize w:val="1"/>
      <w:tblStyleColBandSize w:val="1"/>
      <w:tblCellMar>
        <w:top w:w="15" w:type="dxa"/>
        <w:left w:w="15" w:type="dxa"/>
        <w:bottom w:w="15" w:type="dxa"/>
        <w:right w:w="15" w:type="dxa"/>
      </w:tblCellMar>
    </w:tblPr>
  </w:style>
  <w:style w:type="table" w:customStyle="1" w:styleId="afff6">
    <w:basedOn w:val="a1"/>
    <w:tblPr>
      <w:tblStyleRowBandSize w:val="1"/>
      <w:tblStyleColBandSize w:val="1"/>
      <w:tblCellMar>
        <w:top w:w="15" w:type="dxa"/>
        <w:left w:w="15" w:type="dxa"/>
        <w:bottom w:w="15" w:type="dxa"/>
        <w:right w:w="15" w:type="dxa"/>
      </w:tblCellMar>
    </w:tblPr>
  </w:style>
  <w:style w:type="table" w:customStyle="1" w:styleId="afff7">
    <w:basedOn w:val="a1"/>
    <w:tblPr>
      <w:tblStyleRowBandSize w:val="1"/>
      <w:tblStyleColBandSize w:val="1"/>
      <w:tblCellMar>
        <w:top w:w="15" w:type="dxa"/>
        <w:left w:w="15" w:type="dxa"/>
        <w:bottom w:w="15" w:type="dxa"/>
        <w:right w:w="15" w:type="dxa"/>
      </w:tblCellMar>
    </w:tblPr>
  </w:style>
  <w:style w:type="table" w:customStyle="1" w:styleId="afff8">
    <w:basedOn w:val="a1"/>
    <w:tblPr>
      <w:tblStyleRowBandSize w:val="1"/>
      <w:tblStyleColBandSize w:val="1"/>
      <w:tblCellMar>
        <w:top w:w="15" w:type="dxa"/>
        <w:left w:w="15" w:type="dxa"/>
        <w:bottom w:w="15" w:type="dxa"/>
        <w:right w:w="15" w:type="dxa"/>
      </w:tblCellMar>
    </w:tblPr>
  </w:style>
  <w:style w:type="table" w:customStyle="1" w:styleId="afff9">
    <w:basedOn w:val="a1"/>
    <w:tblPr>
      <w:tblStyleRowBandSize w:val="1"/>
      <w:tblStyleColBandSize w:val="1"/>
      <w:tblCellMar>
        <w:top w:w="15" w:type="dxa"/>
        <w:left w:w="15" w:type="dxa"/>
        <w:bottom w:w="15" w:type="dxa"/>
        <w:right w:w="15" w:type="dxa"/>
      </w:tblCellMar>
    </w:tblPr>
  </w:style>
  <w:style w:type="table" w:customStyle="1" w:styleId="afffa">
    <w:basedOn w:val="a1"/>
    <w:tblPr>
      <w:tblStyleRowBandSize w:val="1"/>
      <w:tblStyleColBandSize w:val="1"/>
      <w:tblCellMar>
        <w:top w:w="15" w:type="dxa"/>
        <w:left w:w="15" w:type="dxa"/>
        <w:bottom w:w="15" w:type="dxa"/>
        <w:right w:w="15" w:type="dxa"/>
      </w:tblCellMar>
    </w:tblPr>
  </w:style>
  <w:style w:type="table" w:customStyle="1" w:styleId="afffb">
    <w:basedOn w:val="a1"/>
    <w:tblPr>
      <w:tblStyleRowBandSize w:val="1"/>
      <w:tblStyleColBandSize w:val="1"/>
      <w:tblCellMar>
        <w:top w:w="15" w:type="dxa"/>
        <w:left w:w="15" w:type="dxa"/>
        <w:bottom w:w="15" w:type="dxa"/>
        <w:right w:w="15" w:type="dxa"/>
      </w:tblCellMar>
    </w:tblPr>
  </w:style>
  <w:style w:type="table" w:customStyle="1" w:styleId="afffc">
    <w:basedOn w:val="a1"/>
    <w:tblPr>
      <w:tblStyleRowBandSize w:val="1"/>
      <w:tblStyleColBandSize w:val="1"/>
      <w:tblCellMar>
        <w:top w:w="15" w:type="dxa"/>
        <w:left w:w="15" w:type="dxa"/>
        <w:bottom w:w="15" w:type="dxa"/>
        <w:right w:w="15" w:type="dxa"/>
      </w:tblCellMar>
    </w:tblPr>
  </w:style>
  <w:style w:type="table" w:customStyle="1" w:styleId="afffd">
    <w:basedOn w:val="a1"/>
    <w:tblPr>
      <w:tblStyleRowBandSize w:val="1"/>
      <w:tblStyleColBandSize w:val="1"/>
      <w:tblCellMar>
        <w:top w:w="15" w:type="dxa"/>
        <w:left w:w="15" w:type="dxa"/>
        <w:bottom w:w="15" w:type="dxa"/>
        <w:right w:w="15" w:type="dxa"/>
      </w:tblCellMar>
    </w:tblPr>
  </w:style>
  <w:style w:type="table" w:customStyle="1" w:styleId="afffe">
    <w:basedOn w:val="a1"/>
    <w:tblPr>
      <w:tblStyleRowBandSize w:val="1"/>
      <w:tblStyleColBandSize w:val="1"/>
      <w:tblCellMar>
        <w:top w:w="15" w:type="dxa"/>
        <w:left w:w="15" w:type="dxa"/>
        <w:bottom w:w="15" w:type="dxa"/>
        <w:right w:w="15" w:type="dxa"/>
      </w:tblCellMar>
    </w:tblPr>
  </w:style>
  <w:style w:type="table" w:customStyle="1" w:styleId="affff">
    <w:basedOn w:val="a1"/>
    <w:tblPr>
      <w:tblStyleRowBandSize w:val="1"/>
      <w:tblStyleColBandSize w:val="1"/>
      <w:tblCellMar>
        <w:top w:w="15" w:type="dxa"/>
        <w:left w:w="15" w:type="dxa"/>
        <w:bottom w:w="15" w:type="dxa"/>
        <w:right w:w="15" w:type="dxa"/>
      </w:tblCellMar>
    </w:tblPr>
  </w:style>
  <w:style w:type="table" w:customStyle="1" w:styleId="affff0">
    <w:basedOn w:val="a1"/>
    <w:tblPr>
      <w:tblStyleRowBandSize w:val="1"/>
      <w:tblStyleColBandSize w:val="1"/>
      <w:tblCellMar>
        <w:top w:w="15" w:type="dxa"/>
        <w:left w:w="15" w:type="dxa"/>
        <w:bottom w:w="15" w:type="dxa"/>
        <w:right w:w="15" w:type="dxa"/>
      </w:tblCellMar>
    </w:tblPr>
  </w:style>
  <w:style w:type="table" w:customStyle="1" w:styleId="affff1">
    <w:basedOn w:val="a1"/>
    <w:tblPr>
      <w:tblStyleRowBandSize w:val="1"/>
      <w:tblStyleColBandSize w:val="1"/>
      <w:tblCellMar>
        <w:top w:w="15" w:type="dxa"/>
        <w:left w:w="15" w:type="dxa"/>
        <w:bottom w:w="15" w:type="dxa"/>
        <w:right w:w="15" w:type="dxa"/>
      </w:tblCellMar>
    </w:tblPr>
  </w:style>
  <w:style w:type="table" w:customStyle="1" w:styleId="affff2">
    <w:basedOn w:val="a1"/>
    <w:tblPr>
      <w:tblStyleRowBandSize w:val="1"/>
      <w:tblStyleColBandSize w:val="1"/>
      <w:tblCellMar>
        <w:top w:w="15" w:type="dxa"/>
        <w:left w:w="15" w:type="dxa"/>
        <w:bottom w:w="15" w:type="dxa"/>
        <w:right w:w="15" w:type="dxa"/>
      </w:tblCellMar>
    </w:tblPr>
  </w:style>
  <w:style w:type="table" w:customStyle="1" w:styleId="affff3">
    <w:basedOn w:val="a1"/>
    <w:tblPr>
      <w:tblStyleRowBandSize w:val="1"/>
      <w:tblStyleColBandSize w:val="1"/>
      <w:tblCellMar>
        <w:top w:w="15" w:type="dxa"/>
        <w:left w:w="15" w:type="dxa"/>
        <w:bottom w:w="15" w:type="dxa"/>
        <w:right w:w="15" w:type="dxa"/>
      </w:tblCellMar>
    </w:tblPr>
  </w:style>
  <w:style w:type="table" w:customStyle="1" w:styleId="affff4">
    <w:basedOn w:val="a1"/>
    <w:tblPr>
      <w:tblStyleRowBandSize w:val="1"/>
      <w:tblStyleColBandSize w:val="1"/>
      <w:tblCellMar>
        <w:top w:w="15" w:type="dxa"/>
        <w:left w:w="15" w:type="dxa"/>
        <w:bottom w:w="15" w:type="dxa"/>
        <w:right w:w="15" w:type="dxa"/>
      </w:tblCellMar>
    </w:tblPr>
  </w:style>
  <w:style w:type="table" w:customStyle="1" w:styleId="affff5">
    <w:basedOn w:val="a1"/>
    <w:tblPr>
      <w:tblStyleRowBandSize w:val="1"/>
      <w:tblStyleColBandSize w:val="1"/>
      <w:tblCellMar>
        <w:top w:w="15" w:type="dxa"/>
        <w:left w:w="15" w:type="dxa"/>
        <w:bottom w:w="15" w:type="dxa"/>
        <w:right w:w="15" w:type="dxa"/>
      </w:tblCellMar>
    </w:tblPr>
  </w:style>
  <w:style w:type="table" w:customStyle="1" w:styleId="affff6">
    <w:basedOn w:val="a1"/>
    <w:tblPr>
      <w:tblStyleRowBandSize w:val="1"/>
      <w:tblStyleColBandSize w:val="1"/>
      <w:tblCellMar>
        <w:top w:w="15" w:type="dxa"/>
        <w:left w:w="15" w:type="dxa"/>
        <w:bottom w:w="15" w:type="dxa"/>
        <w:right w:w="15" w:type="dxa"/>
      </w:tblCellMar>
    </w:tblPr>
  </w:style>
  <w:style w:type="table" w:customStyle="1" w:styleId="affff7">
    <w:basedOn w:val="a1"/>
    <w:tblPr>
      <w:tblStyleRowBandSize w:val="1"/>
      <w:tblStyleColBandSize w:val="1"/>
      <w:tblCellMar>
        <w:top w:w="15" w:type="dxa"/>
        <w:left w:w="15" w:type="dxa"/>
        <w:bottom w:w="15" w:type="dxa"/>
        <w:right w:w="15" w:type="dxa"/>
      </w:tblCellMar>
    </w:tblPr>
  </w:style>
  <w:style w:type="table" w:customStyle="1" w:styleId="affff8">
    <w:basedOn w:val="a1"/>
    <w:tblPr>
      <w:tblStyleRowBandSize w:val="1"/>
      <w:tblStyleColBandSize w:val="1"/>
      <w:tblCellMar>
        <w:top w:w="15" w:type="dxa"/>
        <w:left w:w="15" w:type="dxa"/>
        <w:bottom w:w="15" w:type="dxa"/>
        <w:right w:w="15" w:type="dxa"/>
      </w:tblCellMar>
    </w:tblPr>
  </w:style>
  <w:style w:type="table" w:customStyle="1" w:styleId="affff9">
    <w:basedOn w:val="a1"/>
    <w:tblPr>
      <w:tblStyleRowBandSize w:val="1"/>
      <w:tblStyleColBandSize w:val="1"/>
      <w:tblCellMar>
        <w:top w:w="15" w:type="dxa"/>
        <w:left w:w="15" w:type="dxa"/>
        <w:bottom w:w="15" w:type="dxa"/>
        <w:right w:w="15" w:type="dxa"/>
      </w:tblCellMar>
    </w:tblPr>
  </w:style>
  <w:style w:type="table" w:customStyle="1" w:styleId="affffa">
    <w:basedOn w:val="a1"/>
    <w:tblPr>
      <w:tblStyleRowBandSize w:val="1"/>
      <w:tblStyleColBandSize w:val="1"/>
      <w:tblCellMar>
        <w:top w:w="15" w:type="dxa"/>
        <w:left w:w="15" w:type="dxa"/>
        <w:bottom w:w="15" w:type="dxa"/>
        <w:right w:w="15" w:type="dxa"/>
      </w:tblCellMar>
    </w:tblPr>
  </w:style>
  <w:style w:type="table" w:customStyle="1" w:styleId="affffb">
    <w:basedOn w:val="a1"/>
    <w:tblPr>
      <w:tblStyleRowBandSize w:val="1"/>
      <w:tblStyleColBandSize w:val="1"/>
      <w:tblCellMar>
        <w:top w:w="15" w:type="dxa"/>
        <w:left w:w="15" w:type="dxa"/>
        <w:bottom w:w="15" w:type="dxa"/>
        <w:right w:w="15" w:type="dxa"/>
      </w:tblCellMar>
    </w:tblPr>
  </w:style>
  <w:style w:type="table" w:customStyle="1" w:styleId="affffc">
    <w:basedOn w:val="a1"/>
    <w:tblPr>
      <w:tblStyleRowBandSize w:val="1"/>
      <w:tblStyleColBandSize w:val="1"/>
      <w:tblCellMar>
        <w:top w:w="15" w:type="dxa"/>
        <w:left w:w="15" w:type="dxa"/>
        <w:bottom w:w="15" w:type="dxa"/>
        <w:right w:w="15" w:type="dxa"/>
      </w:tblCellMar>
    </w:tblPr>
  </w:style>
  <w:style w:type="table" w:customStyle="1" w:styleId="affffd">
    <w:basedOn w:val="a1"/>
    <w:tblPr>
      <w:tblStyleRowBandSize w:val="1"/>
      <w:tblStyleColBandSize w:val="1"/>
      <w:tblCellMar>
        <w:top w:w="15" w:type="dxa"/>
        <w:left w:w="15" w:type="dxa"/>
        <w:bottom w:w="15" w:type="dxa"/>
        <w:right w:w="15" w:type="dxa"/>
      </w:tblCellMar>
    </w:tblPr>
  </w:style>
  <w:style w:type="table" w:customStyle="1" w:styleId="affffe">
    <w:basedOn w:val="a1"/>
    <w:tblPr>
      <w:tblStyleRowBandSize w:val="1"/>
      <w:tblStyleColBandSize w:val="1"/>
      <w:tblCellMar>
        <w:top w:w="15" w:type="dxa"/>
        <w:left w:w="15" w:type="dxa"/>
        <w:bottom w:w="15" w:type="dxa"/>
        <w:right w:w="15" w:type="dxa"/>
      </w:tblCellMar>
    </w:tblPr>
  </w:style>
  <w:style w:type="table" w:customStyle="1" w:styleId="afffff">
    <w:basedOn w:val="a1"/>
    <w:tblPr>
      <w:tblStyleRowBandSize w:val="1"/>
      <w:tblStyleColBandSize w:val="1"/>
      <w:tblCellMar>
        <w:top w:w="15" w:type="dxa"/>
        <w:left w:w="15" w:type="dxa"/>
        <w:bottom w:w="15" w:type="dxa"/>
        <w:right w:w="15" w:type="dxa"/>
      </w:tblCellMar>
    </w:tblPr>
  </w:style>
  <w:style w:type="table" w:customStyle="1" w:styleId="afffff0">
    <w:basedOn w:val="a1"/>
    <w:tblPr>
      <w:tblStyleRowBandSize w:val="1"/>
      <w:tblStyleColBandSize w:val="1"/>
      <w:tblCellMar>
        <w:top w:w="15" w:type="dxa"/>
        <w:left w:w="15" w:type="dxa"/>
        <w:bottom w:w="15" w:type="dxa"/>
        <w:right w:w="15" w:type="dxa"/>
      </w:tblCellMar>
    </w:tblPr>
  </w:style>
  <w:style w:type="table" w:customStyle="1" w:styleId="afffff1">
    <w:basedOn w:val="a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RcmAdmnhl51ItuzfGWGxDoCXUQ==">CgMxLjAyCWguMzBqMHpsbDgAciExNWpfQkNYampYTzRFN21pVzlqbHVUMnhSNEdXMnIxdk0=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3609</Words>
  <Characters>2058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Клясен Наталія</cp:lastModifiedBy>
  <cp:revision>10</cp:revision>
  <dcterms:created xsi:type="dcterms:W3CDTF">2025-01-27T11:19:00Z</dcterms:created>
  <dcterms:modified xsi:type="dcterms:W3CDTF">2025-07-11T12:04:00Z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c3998aef06bbc211b74e926b87f5dd13ab69073c7c4bf1af7fc29a49eabc1ca9</vt:lpwstr>
  </property>
</Properties>
</file>