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АНАЛІЗ РЕГУЛЯТОРНОГО ВПЛИВУ</w:t>
      </w:r>
    </w:p>
    <w:p w:rsidR="00000000" w:rsidDel="00000000" w:rsidP="00000000" w:rsidRDefault="00000000" w:rsidRPr="00000000" w14:paraId="00000002">
      <w:pPr>
        <w:shd w:fill="ffffff" w:val="clea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проєкту постанови КМУ </w:t>
      </w:r>
      <w:r w:rsidDel="00000000" w:rsidR="00000000" w:rsidRPr="00000000">
        <w:rPr>
          <w:rFonts w:ascii="Times New Roman" w:cs="Times New Roman" w:eastAsia="Times New Roman" w:hAnsi="Times New Roman"/>
          <w:b w:val="1"/>
          <w:sz w:val="28"/>
          <w:szCs w:val="28"/>
          <w:highlight w:val="white"/>
          <w:rtl w:val="0"/>
        </w:rPr>
        <w:t xml:space="preserve">«Про внесення змін до Порядку підвищення кваліфікації педагогічних і науково-педагогічних працівників», затвердженого постановою Кабінету Міністрів України від 21 серпня 2019 р. № 800 «Деякі питання підвищення кваліфікації педагогічних і науково-педагогічних працівників»</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shd w:fill="ffffff" w:val="clear"/>
        <w:spacing w:after="0" w:line="240" w:lineRule="auto"/>
        <w:ind w:firstLine="56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 Визначення проблеми</w:t>
      </w:r>
    </w:p>
    <w:p w:rsidR="00000000" w:rsidDel="00000000" w:rsidP="00000000" w:rsidRDefault="00000000" w:rsidRPr="00000000" w14:paraId="00000005">
      <w:pPr>
        <w:spacing w:after="0" w:line="240" w:lineRule="auto"/>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умовах євроінтеграційних прагнень, існуюча система підвищення кваліфікації педагогічних працівників в Україні неспроможна повною мірою відповідати сучасним потребам освітньої галузі, що знижує її ефективність та негативно впливає на професійний розвиток педагогів і якість освітнього процесу.</w:t>
      </w:r>
    </w:p>
    <w:p w:rsidR="00000000" w:rsidDel="00000000" w:rsidP="00000000" w:rsidRDefault="00000000" w:rsidRPr="00000000" w14:paraId="00000006">
      <w:pPr>
        <w:spacing w:after="0" w:line="240" w:lineRule="auto"/>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Проблема полягає в тому, що чинне нормативне регулювання підвищення кваліфікації педагогічних і науково-педагогічних працівників має низку недоліків і прогалин, які були виявлені під час реалізації положень </w:t>
      </w:r>
      <w:r w:rsidDel="00000000" w:rsidR="00000000" w:rsidRPr="00000000">
        <w:rPr>
          <w:rFonts w:ascii="Times New Roman" w:cs="Times New Roman" w:eastAsia="Times New Roman" w:hAnsi="Times New Roman"/>
          <w:sz w:val="28"/>
          <w:szCs w:val="28"/>
          <w:rtl w:val="0"/>
        </w:rPr>
        <w:t xml:space="preserve">Порядку підвищення кваліфікації педагогічних і науково-педагогічних працівників</w:t>
      </w:r>
      <w:r w:rsidDel="00000000" w:rsidR="00000000" w:rsidRPr="00000000">
        <w:rPr>
          <w:rFonts w:ascii="Times New Roman" w:cs="Times New Roman" w:eastAsia="Times New Roman" w:hAnsi="Times New Roman"/>
          <w:sz w:val="28"/>
          <w:szCs w:val="28"/>
          <w:rtl w:val="0"/>
        </w:rPr>
        <w:t xml:space="preserve"> з 2019 року по теперішній час.</w:t>
      </w:r>
      <w:r w:rsidDel="00000000" w:rsidR="00000000" w:rsidRPr="00000000">
        <w:rPr>
          <w:rtl w:val="0"/>
        </w:rPr>
      </w:r>
    </w:p>
    <w:p w:rsidR="00000000" w:rsidDel="00000000" w:rsidP="00000000" w:rsidRDefault="00000000" w:rsidRPr="00000000" w14:paraId="00000007">
      <w:pPr>
        <w:spacing w:after="0" w:line="240" w:lineRule="auto"/>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основі проведеного аналізу Міністерством освіти і науки України виявлено, що </w:t>
      </w:r>
      <w:r w:rsidDel="00000000" w:rsidR="00000000" w:rsidRPr="00000000">
        <w:rPr>
          <w:rFonts w:ascii="Times New Roman" w:cs="Times New Roman" w:eastAsia="Times New Roman" w:hAnsi="Times New Roman"/>
          <w:sz w:val="28"/>
          <w:szCs w:val="28"/>
          <w:rtl w:val="0"/>
        </w:rPr>
        <w:t xml:space="preserve">значна частина існуючих програм підвищення кваліфікації не повною мірою враховує індивідуальні професійні потреби педагогів, специфіку предметів, нові методики навчання (наприклад, дистанційне навчання, змішане навчання, використання ШІ-інструментів, робота з дітьми з особливими освітніми потребами). Як наслідок, формальний підхід до проходження підвищення кваліфікації, відсутність практичної користі для вчителя, низька мотивація до навчання, повільне впровадження інновацій в освітній процес.</w:t>
      </w:r>
    </w:p>
    <w:p w:rsidR="00000000" w:rsidDel="00000000" w:rsidP="00000000" w:rsidRDefault="00000000" w:rsidRPr="00000000" w14:paraId="00000008">
      <w:pPr>
        <w:spacing w:after="0" w:line="240" w:lineRule="auto"/>
        <w:ind w:firstLine="566.9291338582675"/>
        <w:jc w:val="both"/>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За результатами онлайн-опитування, проведеного МОН та Інститутом освітньої аналітики у 2023 році, педагогічні працівники активно користуються різними можливостями для підвищення кваліфікації, зокрема навчаються як в обласних інститутах післядипломної педагогічної освіти, так і на різних освітніх платформах. Водночас, більшість педагогів віддають перевагу традиційним формам або комбінують їх із цифровими ресурсами, що свідчить про поступовий перехід до нових форматів вибору суб’єкта. Це підкреслює необхідність створення єдиного цифрового рішення, яке б забезпечило зручний пошук і вибір пропозицій щодо підвищення кваліфікації, а також інтеграцію різних суб’єктів підвищення кваліфікації. </w:t>
      </w:r>
      <w:r w:rsidDel="00000000" w:rsidR="00000000" w:rsidRPr="00000000">
        <w:rPr>
          <w:rtl w:val="0"/>
        </w:rPr>
      </w:r>
    </w:p>
    <w:p w:rsidR="00000000" w:rsidDel="00000000" w:rsidP="00000000" w:rsidRDefault="00000000" w:rsidRPr="00000000" w14:paraId="00000009">
      <w:pPr>
        <w:spacing w:after="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з аналітичною запискою ЮНЕСКО «Аналіз потреб українських закладів післядипломної педагогічної освіти» (2025), контроль якості підвищення кваліфікації педагогічних працівників здійснюється переважно через внутрішні механізми закладів післядипломної педагогічної освіти, тоді як зовнішні механізми практично відсутні. Водночас, спостерігається стрімке зростання кількості недержавних надавачів послуг, які діють у нерегульованому середовищі, що створює ризики низької якості освітніх послуг. Автори записки рекомендують запровадити стандарти забезпечення якості надання освітніх послуг закладами підвищення кваліфікації педагогічних працівників та встановити суворіші вимоги до недержавних надавачів послуг підвищення кваліфікації.</w:t>
      </w:r>
    </w:p>
    <w:p w:rsidR="00000000" w:rsidDel="00000000" w:rsidP="00000000" w:rsidRDefault="00000000" w:rsidRPr="00000000" w14:paraId="0000000A">
      <w:pPr>
        <w:spacing w:after="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Служба освітнього омбудсмена неодноразово наг</w:t>
      </w:r>
      <w:r w:rsidDel="00000000" w:rsidR="00000000" w:rsidRPr="00000000">
        <w:rPr>
          <w:rFonts w:ascii="Times New Roman" w:cs="Times New Roman" w:eastAsia="Times New Roman" w:hAnsi="Times New Roman"/>
          <w:sz w:val="28"/>
          <w:szCs w:val="28"/>
          <w:rtl w:val="0"/>
        </w:rPr>
        <w:t xml:space="preserve">олошувала на масовості недоброчесних практик у сфері підвищення кваліфікації педагогічних працівників. Відсутність системного обліку й механізмів перевірки достовірності сертифікатів створила умови для появи «чорного ринку», де педагоги можуть отримувати документи без фактичного навчання. Було виділено </w:t>
      </w:r>
      <w:r w:rsidDel="00000000" w:rsidR="00000000" w:rsidRPr="00000000">
        <w:rPr>
          <w:rFonts w:ascii="Times New Roman" w:cs="Times New Roman" w:eastAsia="Times New Roman" w:hAnsi="Times New Roman"/>
          <w:sz w:val="28"/>
          <w:szCs w:val="28"/>
          <w:rtl w:val="0"/>
        </w:rPr>
        <w:t xml:space="preserve">кілька причин, </w:t>
      </w:r>
      <w:r w:rsidDel="00000000" w:rsidR="00000000" w:rsidRPr="00000000">
        <w:rPr>
          <w:rFonts w:ascii="Times New Roman" w:cs="Times New Roman" w:eastAsia="Times New Roman" w:hAnsi="Times New Roman"/>
          <w:sz w:val="28"/>
          <w:szCs w:val="28"/>
          <w:rtl w:val="0"/>
        </w:rPr>
        <w:t xml:space="preserve">серед яких — відсутність механізму контролю суб’єктів підвищення кваліфікації та легкість і доступність </w:t>
      </w:r>
      <w:r w:rsidDel="00000000" w:rsidR="00000000" w:rsidRPr="00000000">
        <w:rPr>
          <w:rFonts w:ascii="Times New Roman" w:cs="Times New Roman" w:eastAsia="Times New Roman" w:hAnsi="Times New Roman"/>
          <w:sz w:val="28"/>
          <w:szCs w:val="28"/>
          <w:rtl w:val="0"/>
        </w:rPr>
        <w:t xml:space="preserve">придбання сертифікатів.</w:t>
      </w:r>
    </w:p>
    <w:p w:rsidR="00000000" w:rsidDel="00000000" w:rsidP="00000000" w:rsidRDefault="00000000" w:rsidRPr="00000000" w14:paraId="0000000B">
      <w:pPr>
        <w:spacing w:after="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Загалом, наразі відсутні чіткі механізми централізованого обліку та верифікації результатів підвищення кваліфікації, що створює ризики недостовірності та фальсифікацій.</w:t>
      </w:r>
    </w:p>
    <w:p w:rsidR="00000000" w:rsidDel="00000000" w:rsidP="00000000" w:rsidRDefault="00000000" w:rsidRPr="00000000" w14:paraId="0000000C">
      <w:pPr>
        <w:spacing w:after="0" w:line="240" w:lineRule="auto"/>
        <w:ind w:left="0" w:firstLine="0"/>
        <w:jc w:val="both"/>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D">
      <w:pPr>
        <w:spacing w:after="0"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Основні групи (підгрупи), на які проблема справляє вплив:</w:t>
      </w:r>
    </w:p>
    <w:tbl>
      <w:tblPr>
        <w:tblStyle w:val="Table1"/>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78"/>
        <w:gridCol w:w="2819"/>
        <w:gridCol w:w="2432"/>
        <w:tblGridChange w:id="0">
          <w:tblGrid>
            <w:gridCol w:w="4378"/>
            <w:gridCol w:w="2819"/>
            <w:gridCol w:w="24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0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Групи (підгрупи)</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0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1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1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Громадяни</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1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1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1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Держава</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1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1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17">
            <w:pPr>
              <w:spacing w:after="0" w:line="240" w:lineRule="auto"/>
              <w:jc w:val="center"/>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28"/>
                <w:szCs w:val="28"/>
                <w:rtl w:val="0"/>
              </w:rPr>
              <w:t xml:space="preserve">Суб’єкти господарювання, у тому числі суб’єкти малого підприємництва (заклади освіти)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1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1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bl>
    <w:p w:rsidR="00000000" w:rsidDel="00000000" w:rsidP="00000000" w:rsidRDefault="00000000" w:rsidRPr="00000000" w14:paraId="0000001A">
      <w:pPr>
        <w:shd w:fill="ffffff" w:val="clear"/>
        <w:spacing w:after="0" w:line="240" w:lineRule="auto"/>
        <w:ind w:left="0" w:firstLine="0"/>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B">
      <w:pPr>
        <w:shd w:fill="ffffff" w:val="clea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Врегулювання зазначеного проблемного питання не може бути здійснено за допомогою ринкових механізмів, оскільки воно регулюється виключно нормативно-правовими актами.</w:t>
      </w:r>
    </w:p>
    <w:p w:rsidR="00000000" w:rsidDel="00000000" w:rsidP="00000000" w:rsidRDefault="00000000" w:rsidRPr="00000000" w14:paraId="0000001C">
      <w:pPr>
        <w:shd w:fill="ffffff" w:val="clea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Існуючі проблеми у системі підвищення кваліфікації педагогічних працівників не можуть бути повною мірою вирішені за допомогою лише чинних норм, оскільки Порядок підвищення кваліфікації педагогічних і науково-педагогічних працівників, затверджений постановою Кабінету Міністрів України від 21 серпня 2019 р. № 800, потребує актуалізації.</w:t>
      </w:r>
    </w:p>
    <w:p w:rsidR="00000000" w:rsidDel="00000000" w:rsidP="00000000" w:rsidRDefault="00000000" w:rsidRPr="00000000" w14:paraId="0000001D">
      <w:pPr>
        <w:spacing w:after="0" w:before="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Попри певні зміни, система підвищення кваліфікації педагогічних працівників в Україні все ще має критичні невирішені питання, які гальмують її ефективність:</w:t>
      </w:r>
    </w:p>
    <w:p w:rsidR="00000000" w:rsidDel="00000000" w:rsidP="00000000" w:rsidRDefault="00000000" w:rsidRPr="00000000" w14:paraId="0000001E">
      <w:pPr>
        <w:numPr>
          <w:ilvl w:val="0"/>
          <w:numId w:val="2"/>
        </w:numPr>
        <w:spacing w:after="0" w:before="0" w:line="240"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i w:val="1"/>
          <w:sz w:val="28"/>
          <w:szCs w:val="28"/>
          <w:rtl w:val="0"/>
        </w:rPr>
        <w:t xml:space="preserve">фрагментованість</w:t>
      </w:r>
      <w:r w:rsidDel="00000000" w:rsidR="00000000" w:rsidRPr="00000000">
        <w:rPr>
          <w:rFonts w:ascii="Times New Roman" w:cs="Times New Roman" w:eastAsia="Times New Roman" w:hAnsi="Times New Roman"/>
          <w:sz w:val="28"/>
          <w:szCs w:val="28"/>
          <w:rtl w:val="0"/>
        </w:rPr>
        <w:t xml:space="preserve">: відсутність єдиної, цілісної та скоординованої системи, яка поєднує різні форми навчання та суб’єктів надання послуг з підвищення кваліфікації;</w:t>
      </w:r>
    </w:p>
    <w:p w:rsidR="00000000" w:rsidDel="00000000" w:rsidP="00000000" w:rsidRDefault="00000000" w:rsidRPr="00000000" w14:paraId="0000001F">
      <w:pPr>
        <w:numPr>
          <w:ilvl w:val="0"/>
          <w:numId w:val="2"/>
        </w:numPr>
        <w:spacing w:after="0" w:before="0" w:line="240"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i w:val="1"/>
          <w:sz w:val="28"/>
          <w:szCs w:val="28"/>
          <w:rtl w:val="0"/>
        </w:rPr>
        <w:t xml:space="preserve">недостатня гнучкість: </w:t>
      </w:r>
      <w:r w:rsidDel="00000000" w:rsidR="00000000" w:rsidRPr="00000000">
        <w:rPr>
          <w:rFonts w:ascii="Times New Roman" w:cs="Times New Roman" w:eastAsia="Times New Roman" w:hAnsi="Times New Roman"/>
          <w:sz w:val="28"/>
          <w:szCs w:val="28"/>
          <w:rtl w:val="0"/>
        </w:rPr>
        <w:t xml:space="preserve">о</w:t>
      </w:r>
      <w:r w:rsidDel="00000000" w:rsidR="00000000" w:rsidRPr="00000000">
        <w:rPr>
          <w:rFonts w:ascii="Times New Roman" w:cs="Times New Roman" w:eastAsia="Times New Roman" w:hAnsi="Times New Roman"/>
          <w:sz w:val="28"/>
          <w:szCs w:val="28"/>
          <w:rtl w:val="0"/>
        </w:rPr>
        <w:t xml:space="preserve">бмежений вибір актуальних програм та форматів, які відповідають індивідуальним потребам освітян та реаліям воєнного/післявоєнного часу;</w:t>
      </w:r>
    </w:p>
    <w:p w:rsidR="00000000" w:rsidDel="00000000" w:rsidP="00000000" w:rsidRDefault="00000000" w:rsidRPr="00000000" w14:paraId="00000020">
      <w:pPr>
        <w:numPr>
          <w:ilvl w:val="0"/>
          <w:numId w:val="2"/>
        </w:numPr>
        <w:spacing w:after="0" w:before="0" w:line="240"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i w:val="1"/>
          <w:sz w:val="28"/>
          <w:szCs w:val="28"/>
          <w:rtl w:val="0"/>
        </w:rPr>
        <w:t xml:space="preserve">відсутність системи оцінки якості: </w:t>
      </w:r>
      <w:r w:rsidDel="00000000" w:rsidR="00000000" w:rsidRPr="00000000">
        <w:rPr>
          <w:rFonts w:ascii="Times New Roman" w:cs="Times New Roman" w:eastAsia="Times New Roman" w:hAnsi="Times New Roman"/>
          <w:sz w:val="28"/>
          <w:szCs w:val="28"/>
          <w:rtl w:val="0"/>
        </w:rPr>
        <w:t xml:space="preserve">б</w:t>
      </w:r>
      <w:r w:rsidDel="00000000" w:rsidR="00000000" w:rsidRPr="00000000">
        <w:rPr>
          <w:rFonts w:ascii="Times New Roman" w:cs="Times New Roman" w:eastAsia="Times New Roman" w:hAnsi="Times New Roman"/>
          <w:sz w:val="28"/>
          <w:szCs w:val="28"/>
          <w:rtl w:val="0"/>
        </w:rPr>
        <w:t xml:space="preserve">ракує дієвих механізмів моніторингу та оцінки реального впливу підвищення кваліфікації на якість викладання, а не лише формальних показників;</w:t>
      </w:r>
    </w:p>
    <w:p w:rsidR="00000000" w:rsidDel="00000000" w:rsidP="00000000" w:rsidRDefault="00000000" w:rsidRPr="00000000" w14:paraId="00000021">
      <w:pPr>
        <w:numPr>
          <w:ilvl w:val="0"/>
          <w:numId w:val="2"/>
        </w:numPr>
        <w:spacing w:after="0" w:before="0" w:line="240"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i w:val="1"/>
          <w:sz w:val="28"/>
          <w:szCs w:val="28"/>
          <w:rtl w:val="0"/>
        </w:rPr>
        <w:t xml:space="preserve">проблеми з прозорістю: </w:t>
      </w:r>
      <w:r w:rsidDel="00000000" w:rsidR="00000000" w:rsidRPr="00000000">
        <w:rPr>
          <w:rFonts w:ascii="Times New Roman" w:cs="Times New Roman" w:eastAsia="Times New Roman" w:hAnsi="Times New Roman"/>
          <w:sz w:val="28"/>
          <w:szCs w:val="28"/>
          <w:rtl w:val="0"/>
        </w:rPr>
        <w:t xml:space="preserve">з</w:t>
      </w:r>
      <w:r w:rsidDel="00000000" w:rsidR="00000000" w:rsidRPr="00000000">
        <w:rPr>
          <w:rFonts w:ascii="Times New Roman" w:cs="Times New Roman" w:eastAsia="Times New Roman" w:hAnsi="Times New Roman"/>
          <w:sz w:val="28"/>
          <w:szCs w:val="28"/>
          <w:rtl w:val="0"/>
        </w:rPr>
        <w:t xml:space="preserve">берігаються ризики формального проходження курсів та недостатнього контролю за якістю послуг провайдерів;</w:t>
      </w:r>
    </w:p>
    <w:p w:rsidR="00000000" w:rsidDel="00000000" w:rsidP="00000000" w:rsidRDefault="00000000" w:rsidRPr="00000000" w14:paraId="00000022">
      <w:pPr>
        <w:numPr>
          <w:ilvl w:val="0"/>
          <w:numId w:val="2"/>
        </w:numPr>
        <w:spacing w:after="0" w:before="0" w:line="240"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відсутність інтеграції з кар'єрним зростанням: </w:t>
      </w:r>
      <w:r w:rsidDel="00000000" w:rsidR="00000000" w:rsidRPr="00000000">
        <w:rPr>
          <w:rFonts w:ascii="Times New Roman" w:cs="Times New Roman" w:eastAsia="Times New Roman" w:hAnsi="Times New Roman"/>
          <w:sz w:val="28"/>
          <w:szCs w:val="28"/>
          <w:rtl w:val="0"/>
        </w:rPr>
        <w:t xml:space="preserve">п</w:t>
      </w:r>
      <w:r w:rsidDel="00000000" w:rsidR="00000000" w:rsidRPr="00000000">
        <w:rPr>
          <w:rFonts w:ascii="Times New Roman" w:cs="Times New Roman" w:eastAsia="Times New Roman" w:hAnsi="Times New Roman"/>
          <w:sz w:val="28"/>
          <w:szCs w:val="28"/>
          <w:rtl w:val="0"/>
        </w:rPr>
        <w:t xml:space="preserve">ідвищення кваліфікації часто залишається окремим елементом, не інтегрованим в систему атестації/сертифікації та індивідуальну траєкторію професійного розвитку педагога.</w:t>
      </w:r>
    </w:p>
    <w:p w:rsidR="00000000" w:rsidDel="00000000" w:rsidP="00000000" w:rsidRDefault="00000000" w:rsidRPr="00000000" w14:paraId="00000023">
      <w:pPr>
        <w:spacing w:after="0" w:line="24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внесення змін до Порядку підвищення кваліфікації педагогічних та науково-педагогічних працівників є нагальною потребою для побудови сучасної, ефективної та орієнтованої на результат системи професійного зростання педагогічних та науково-педагогічних працівників.</w:t>
      </w:r>
    </w:p>
    <w:p w:rsidR="00000000" w:rsidDel="00000000" w:rsidP="00000000" w:rsidRDefault="00000000" w:rsidRPr="00000000" w14:paraId="00000024">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spacing w:after="0" w:line="240" w:lineRule="auto"/>
        <w:ind w:firstLine="56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Цілі державного регулювання</w:t>
      </w:r>
    </w:p>
    <w:p w:rsidR="00000000" w:rsidDel="00000000" w:rsidP="00000000" w:rsidRDefault="00000000" w:rsidRPr="00000000" w14:paraId="00000026">
      <w:pPr>
        <w:spacing w:after="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Метою державного регулювання у сфері освіти є створення та забезпечення функціонування сучасної, гнучкої, прозорої, орієнтованої на індивідуальні потреби та якість системи підвищення кваліфікації педагогічних та науково-педагогічних працівників.</w:t>
      </w:r>
    </w:p>
    <w:p w:rsidR="00000000" w:rsidDel="00000000" w:rsidP="00000000" w:rsidRDefault="00000000" w:rsidRPr="00000000" w14:paraId="00000027">
      <w:pPr>
        <w:spacing w:after="0" w:line="24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Прийняття запропонованого регуляторного акта дозволить:</w:t>
      </w:r>
    </w:p>
    <w:p w:rsidR="00000000" w:rsidDel="00000000" w:rsidP="00000000" w:rsidRDefault="00000000" w:rsidRPr="00000000" w14:paraId="00000028">
      <w:pPr>
        <w:numPr>
          <w:ilvl w:val="0"/>
          <w:numId w:val="1"/>
        </w:numPr>
        <w:spacing w:after="0" w:line="24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підвищити якість та актуальність програм підвищення кваліфікації;</w:t>
      </w:r>
    </w:p>
    <w:p w:rsidR="00000000" w:rsidDel="00000000" w:rsidP="00000000" w:rsidRDefault="00000000" w:rsidRPr="00000000" w14:paraId="00000029">
      <w:pPr>
        <w:numPr>
          <w:ilvl w:val="0"/>
          <w:numId w:val="1"/>
        </w:numPr>
        <w:spacing w:after="0" w:line="24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забезпечити прозорість та доброчесність діяльності субєктів підвищення кваліфікації, мінімізуючи ризики неякісних послуг та формального підходу до надання послуг з підвищення кваліфікації;</w:t>
      </w:r>
    </w:p>
    <w:p w:rsidR="00000000" w:rsidDel="00000000" w:rsidP="00000000" w:rsidRDefault="00000000" w:rsidRPr="00000000" w14:paraId="0000002A">
      <w:pPr>
        <w:numPr>
          <w:ilvl w:val="0"/>
          <w:numId w:val="1"/>
        </w:numPr>
        <w:spacing w:after="0" w:line="24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спростити доступ до якісних послуг з підвищення кваліфікації;</w:t>
      </w:r>
    </w:p>
    <w:p w:rsidR="00000000" w:rsidDel="00000000" w:rsidP="00000000" w:rsidRDefault="00000000" w:rsidRPr="00000000" w14:paraId="0000002B">
      <w:pPr>
        <w:numPr>
          <w:ilvl w:val="0"/>
          <w:numId w:val="1"/>
        </w:numPr>
        <w:spacing w:after="0" w:line="240"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оптимізувати облік та верифікацію результатів підвищення кваліфікації, що зменшить адміністративне навантаження на педагогів та керівників, звільняючи час для їх основної діяльності.</w:t>
      </w:r>
    </w:p>
    <w:p w:rsidR="00000000" w:rsidDel="00000000" w:rsidP="00000000" w:rsidRDefault="00000000" w:rsidRPr="00000000" w14:paraId="0000002C">
      <w:pPr>
        <w:spacing w:after="0" w:line="24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spacing w:after="0" w:line="240" w:lineRule="auto"/>
        <w:ind w:firstLine="56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Визначення та оцінка альтернативних способів досягнення цілей</w:t>
      </w:r>
    </w:p>
    <w:p w:rsidR="00000000" w:rsidDel="00000000" w:rsidP="00000000" w:rsidRDefault="00000000" w:rsidRPr="00000000" w14:paraId="0000002E">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Визначення альтернативних способів</w:t>
      </w:r>
    </w:p>
    <w:tbl>
      <w:tblPr>
        <w:tblStyle w:val="Table2"/>
        <w:tblW w:w="9645.0" w:type="dxa"/>
        <w:jc w:val="left"/>
        <w:tblInd w:w="-15.0" w:type="dxa"/>
        <w:tblBorders>
          <w:top w:color="000000" w:space="0" w:sz="4" w:val="single"/>
          <w:left w:color="000000" w:space="0" w:sz="4" w:val="single"/>
          <w:bottom w:color="000000" w:space="0" w:sz="4" w:val="single"/>
          <w:right w:color="000000" w:space="0" w:sz="4" w:val="single"/>
        </w:tblBorders>
        <w:tblLayout w:type="fixed"/>
        <w:tblLook w:val="0400"/>
      </w:tblPr>
      <w:tblGrid>
        <w:gridCol w:w="2490"/>
        <w:gridCol w:w="3217.0000000000005"/>
        <w:gridCol w:w="3937.9999999999995"/>
        <w:tblGridChange w:id="0">
          <w:tblGrid>
            <w:gridCol w:w="2490"/>
            <w:gridCol w:w="3217.0000000000005"/>
            <w:gridCol w:w="3937.9999999999995"/>
          </w:tblGrid>
        </w:tblGridChange>
      </w:tblGrid>
      <w:tr>
        <w:trPr>
          <w:cantSplit w:val="0"/>
          <w:trHeight w:val="458"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3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 альтернативи</w:t>
            </w:r>
          </w:p>
        </w:tc>
        <w:tc>
          <w:tcPr>
            <w:gridSpan w:val="2"/>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31">
            <w:pPr>
              <w:spacing w:after="0" w:line="24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Опис альтернативи</w:t>
            </w:r>
          </w:p>
        </w:tc>
      </w:tr>
      <w:tr>
        <w:trPr>
          <w:cantSplit w:val="0"/>
          <w:trHeight w:val="458"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3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Альтернатива 1</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3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Збереження чинного регуляторного акта</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35">
            <w:pPr>
              <w:spacing w:after="0" w:line="240" w:lineRule="auto"/>
              <w:ind w:left="141.7322834645671" w:right="88.22834645669332"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Збереження чинної редакції Порядку не забезпечує усунення існуючих недоліків. Відсутність оновлених механізмів ускладнює забезпечення прозорості, об’єктивності та ефективності процесу, що призводить до формального підходу до підвищення кваліфікації та зниження якості освітніх послуг.</w:t>
            </w:r>
          </w:p>
        </w:tc>
      </w:tr>
      <w:tr>
        <w:trPr>
          <w:cantSplit w:val="0"/>
          <w:trHeight w:val="458"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3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Альтернатива 2</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3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Прийняття регуляторного акта</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38">
            <w:pPr>
              <w:spacing w:after="0" w:line="240" w:lineRule="auto"/>
              <w:ind w:left="141.7322834645671" w:right="88.22834645669332"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Внесення змін до Порядку  дозволить забезпечити комплексне вирішення проблеми завдяки впровадженню системи обліку, що відповідає сучасним вимогам та стандартам.</w:t>
            </w:r>
          </w:p>
          <w:p w:rsidR="00000000" w:rsidDel="00000000" w:rsidP="00000000" w:rsidRDefault="00000000" w:rsidRPr="00000000" w14:paraId="00000039">
            <w:pPr>
              <w:spacing w:after="0" w:line="240" w:lineRule="auto"/>
              <w:ind w:left="141.7322834645671" w:right="88.22834645669332" w:firstLine="28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Впровадження державних цифрових рішень створить умови для прозорого інформування педагогічних і науково-педагогічних працівників про освітню діяльність суб’єктів підвищення кваліфікації. Забезпечує прозорість процесу шляхом впровадження єдиної процедури, яка враховуватиме вимоги доброчесності та об’єктивності.</w:t>
            </w:r>
          </w:p>
        </w:tc>
      </w:tr>
    </w:tbl>
    <w:p w:rsidR="00000000" w:rsidDel="00000000" w:rsidP="00000000" w:rsidRDefault="00000000" w:rsidRPr="00000000" w14:paraId="0000003A">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Оцінка обраних альтернативних способів досягнення цілей</w:t>
      </w:r>
    </w:p>
    <w:p w:rsidR="00000000" w:rsidDel="00000000" w:rsidP="00000000" w:rsidRDefault="00000000" w:rsidRPr="00000000" w14:paraId="0000003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Оцінка впливу на сферу інтересів держави</w:t>
      </w:r>
    </w:p>
    <w:tbl>
      <w:tblPr>
        <w:tblStyle w:val="Table3"/>
        <w:tblW w:w="9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5"/>
        <w:gridCol w:w="3675"/>
        <w:gridCol w:w="3420"/>
        <w:tblGridChange w:id="0">
          <w:tblGrid>
            <w:gridCol w:w="2535"/>
            <w:gridCol w:w="3675"/>
            <w:gridCol w:w="34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3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 альтернативи</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3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Вигоди</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3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Витрати</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40">
            <w:pPr>
              <w:spacing w:after="0" w:line="240" w:lineRule="auto"/>
              <w:ind w:left="142"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Альтернатива 1</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41">
            <w:pPr>
              <w:shd w:fill="ffffff" w:val="clear"/>
              <w:tabs>
                <w:tab w:val="left" w:leader="none" w:pos="916"/>
                <w:tab w:val="left" w:leader="none" w:pos="1832"/>
                <w:tab w:val="left" w:leader="none" w:pos="2748"/>
                <w:tab w:val="left" w:leader="none" w:pos="3665"/>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Неприйняття нового нормативно-правового акта спрямованого на вдосконалення системи підвищення кваліфікації не забезпечує достатньої кількості механізмів для реалізації цілей і завдань.</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42">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Відсутні</w:t>
            </w:r>
          </w:p>
        </w:tc>
      </w:tr>
      <w:tr>
        <w:trPr>
          <w:cantSplit w:val="0"/>
          <w:trHeight w:val="543"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43">
            <w:pPr>
              <w:spacing w:after="0" w:line="240" w:lineRule="auto"/>
              <w:ind w:left="142" w:firstLine="0"/>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44">
            <w:pPr>
              <w:spacing w:after="240" w:before="240" w:line="240" w:lineRule="auto"/>
              <w:ind w:left="4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Прийняття проєкту нормативно-правового акта, що передбачає внесення змін до Порядку, принесе суттєві вигоди для всієї освітньої системи. Передусім, забезпечивши правову чіткість і стабільність у процесі підвищення кваліфікації педагогічних та науково-педагогічних працівників.</w:t>
            </w:r>
          </w:p>
          <w:p w:rsidR="00000000" w:rsidDel="00000000" w:rsidP="00000000" w:rsidRDefault="00000000" w:rsidRPr="00000000" w14:paraId="00000045">
            <w:pPr>
              <w:spacing w:after="240" w:before="240" w:line="24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46">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Внесення змін до Порядку спрямоване на підвищення ефективності регулювання відносин у цій сфері: адаптація суб’єктів до нових вимог, підвищення прозорості, ефективності та контролю процесу підвищення кваліфікації педагогів, забезпечення прозорості та доброчесності діяльності суб'єктів підвищення кваліфікації, мінімізація ризиків щодо неякісних послуг та формального підходу до надання послуг з підвищення кваліфікації.</w:t>
            </w:r>
          </w:p>
        </w:tc>
      </w:tr>
    </w:tbl>
    <w:p w:rsidR="00000000" w:rsidDel="00000000" w:rsidP="00000000" w:rsidRDefault="00000000" w:rsidRPr="00000000" w14:paraId="00000047">
      <w:pPr>
        <w:spacing w:after="0" w:line="24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spacing w:after="0" w:line="24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Оцінка впливу на сферу інтересів громадян</w:t>
      </w:r>
    </w:p>
    <w:tbl>
      <w:tblPr>
        <w:tblStyle w:val="Table4"/>
        <w:tblW w:w="96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86"/>
        <w:gridCol w:w="3886"/>
        <w:gridCol w:w="3244"/>
        <w:tblGridChange w:id="0">
          <w:tblGrid>
            <w:gridCol w:w="2486"/>
            <w:gridCol w:w="3886"/>
            <w:gridCol w:w="32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4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 альтернативи</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4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Вигоди</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4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Витрати</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4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Альтернатива 1</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4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буде забезпечено можливість конкурентного відбору суб’єкта підвищення кваліфікації за індивідуальною потребою.</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4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Відсутні</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4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Альтернатива 2</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5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Забезпечення доброчесності, прозорості, ефективності, цифрової верифікації та підтримка нових форматів, зменшить адміністративне навантаження, спроститься доступ до якісних послуг з підвищення кваліфікації.</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51">
            <w:pPr>
              <w:spacing w:after="0" w:line="240" w:lineRule="auto"/>
              <w:jc w:val="both"/>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28"/>
                <w:szCs w:val="28"/>
                <w:rtl w:val="0"/>
              </w:rPr>
              <w:t xml:space="preserve">Додаткові витрати не передбачені. </w:t>
            </w:r>
            <w:r w:rsidDel="00000000" w:rsidR="00000000" w:rsidRPr="00000000">
              <w:rPr>
                <w:rtl w:val="0"/>
              </w:rPr>
            </w:r>
          </w:p>
        </w:tc>
      </w:tr>
    </w:tbl>
    <w:p w:rsidR="00000000" w:rsidDel="00000000" w:rsidP="00000000" w:rsidRDefault="00000000" w:rsidRPr="00000000" w14:paraId="00000052">
      <w:pPr>
        <w:spacing w:after="0" w:line="24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3">
      <w:pPr>
        <w:spacing w:after="0" w:line="24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Оцінка впливу на сферу інтересів суб’єктів господарювання</w:t>
      </w:r>
    </w:p>
    <w:p w:rsidR="00000000" w:rsidDel="00000000" w:rsidP="00000000" w:rsidRDefault="00000000" w:rsidRPr="00000000" w14:paraId="00000054">
      <w:pPr>
        <w:spacing w:after="0" w:line="240" w:lineRule="auto"/>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акта поширюється на суб’єктів господарювання, які здійснюють освітню діяльність, 11 797 заклади дошкільної освіти, 12 250 заклад загальної середньої освіти, 77 міжшкільних ресурсних центрів (навчально-виробничий комбінат), 1 381 закладів позашкільної освіти, а також заклади професійної (професійно-технічної), фахової передвищої, вищої освіти та освіти дорослих, в тому числі післядипломної освіти, кількість яких складає 1819 одиниць. </w:t>
      </w:r>
    </w:p>
    <w:p w:rsidR="00000000" w:rsidDel="00000000" w:rsidP="00000000" w:rsidRDefault="00000000" w:rsidRPr="00000000" w14:paraId="00000055">
      <w:pPr>
        <w:spacing w:after="0" w:line="240" w:lineRule="auto"/>
        <w:ind w:left="0" w:firstLine="566.9291338582675"/>
        <w:jc w:val="both"/>
        <w:rPr>
          <w:rFonts w:ascii="Times New Roman" w:cs="Times New Roman" w:eastAsia="Times New Roman" w:hAnsi="Times New Roman"/>
          <w:sz w:val="28"/>
          <w:szCs w:val="28"/>
        </w:rPr>
      </w:pPr>
      <w:r w:rsidDel="00000000" w:rsidR="00000000" w:rsidRPr="00000000">
        <w:rPr>
          <w:rtl w:val="0"/>
        </w:rPr>
      </w:r>
    </w:p>
    <w:tbl>
      <w:tblPr>
        <w:tblStyle w:val="Table5"/>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5"/>
        <w:gridCol w:w="1471"/>
        <w:gridCol w:w="1507"/>
        <w:gridCol w:w="1445"/>
        <w:gridCol w:w="1452"/>
        <w:gridCol w:w="1498"/>
        <w:tblGridChange w:id="0">
          <w:tblGrid>
            <w:gridCol w:w="2255"/>
            <w:gridCol w:w="1471"/>
            <w:gridCol w:w="1507"/>
            <w:gridCol w:w="1445"/>
            <w:gridCol w:w="1452"/>
            <w:gridCol w:w="149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spacing w:after="0" w:line="240" w:lineRule="auto"/>
              <w:ind w:firstLine="1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Показник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Великі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Малі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Мікро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Разом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суб’єктів господарювання, що підпадають під дію регулювання, одиниць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1134"/>
                <w:tab w:val="left" w:leader="none" w:pos="1276"/>
              </w:tabs>
              <w:spacing w:after="0" w:line="240" w:lineRule="auto"/>
              <w:ind w:firstLine="37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149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1134"/>
                <w:tab w:val="left" w:leader="none" w:pos="1276"/>
              </w:tabs>
              <w:spacing w:after="0" w:line="240" w:lineRule="auto"/>
              <w:ind w:firstLine="37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992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1134"/>
                <w:tab w:val="left" w:leader="none" w:pos="1276"/>
              </w:tabs>
              <w:spacing w:after="0" w:line="240" w:lineRule="auto"/>
              <w:ind w:left="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26138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1134"/>
                <w:tab w:val="left" w:leader="none" w:pos="1276"/>
              </w:tabs>
              <w:spacing w:after="0" w:line="240" w:lineRule="auto"/>
              <w:ind w:firstLine="37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1134"/>
                <w:tab w:val="left" w:leader="none" w:pos="1276"/>
              </w:tabs>
              <w:spacing w:after="0" w:line="240" w:lineRule="auto"/>
              <w:ind w:left="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27324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Питома вага групи в загальній кількості, відсотків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leader="none" w:pos="1134"/>
                <w:tab w:val="left" w:leader="none" w:pos="1276"/>
              </w:tabs>
              <w:spacing w:after="0" w:line="240" w:lineRule="auto"/>
              <w:ind w:firstLine="37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0,5</w:t>
            </w:r>
            <w:r w:rsidDel="00000000" w:rsidR="00000000" w:rsidRPr="00000000">
              <w:rPr>
                <w:rFonts w:ascii="Times New Roman" w:cs="Times New Roman" w:eastAsia="Times New Roman" w:hAnsi="Times New Roman"/>
                <w:color w:val="000000"/>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1134"/>
                <w:tab w:val="left" w:leader="none" w:pos="1276"/>
              </w:tabs>
              <w:spacing w:after="0" w:line="240" w:lineRule="auto"/>
              <w:ind w:firstLine="37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3,6</w:t>
            </w:r>
            <w:r w:rsidDel="00000000" w:rsidR="00000000" w:rsidRPr="00000000">
              <w:rPr>
                <w:rFonts w:ascii="Times New Roman" w:cs="Times New Roman" w:eastAsia="Times New Roman" w:hAnsi="Times New Roman"/>
                <w:color w:val="000000"/>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1134"/>
                <w:tab w:val="left" w:leader="none" w:pos="1276"/>
              </w:tabs>
              <w:spacing w:after="0" w:line="240" w:lineRule="auto"/>
              <w:ind w:firstLine="37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95,8</w:t>
            </w:r>
            <w:r w:rsidDel="00000000" w:rsidR="00000000" w:rsidRPr="00000000">
              <w:rPr>
                <w:rFonts w:ascii="Times New Roman" w:cs="Times New Roman" w:eastAsia="Times New Roman" w:hAnsi="Times New Roman"/>
                <w:color w:val="000000"/>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1134"/>
                <w:tab w:val="left" w:leader="none" w:pos="1276"/>
              </w:tabs>
              <w:spacing w:after="0" w:line="240" w:lineRule="auto"/>
              <w:ind w:firstLine="37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1134"/>
                <w:tab w:val="left" w:leader="none" w:pos="1276"/>
              </w:tabs>
              <w:spacing w:after="0" w:line="240" w:lineRule="auto"/>
              <w:ind w:firstLine="37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100</w:t>
            </w:r>
            <w:r w:rsidDel="00000000" w:rsidR="00000000" w:rsidRPr="00000000">
              <w:rPr>
                <w:rFonts w:ascii="Times New Roman" w:cs="Times New Roman" w:eastAsia="Times New Roman" w:hAnsi="Times New Roman"/>
                <w:color w:val="000000"/>
                <w:sz w:val="28"/>
                <w:szCs w:val="28"/>
                <w:rtl w:val="0"/>
              </w:rPr>
              <w:t xml:space="preserve">%</w:t>
            </w:r>
          </w:p>
        </w:tc>
      </w:tr>
    </w:tbl>
    <w:p w:rsidR="00000000" w:rsidDel="00000000" w:rsidP="00000000" w:rsidRDefault="00000000" w:rsidRPr="00000000" w14:paraId="00000068">
      <w:pPr>
        <w:spacing w:after="0" w:line="240" w:lineRule="auto"/>
        <w:ind w:firstLine="708"/>
        <w:jc w:val="both"/>
        <w:rPr>
          <w:rFonts w:ascii="Times New Roman" w:cs="Times New Roman" w:eastAsia="Times New Roman" w:hAnsi="Times New Roman"/>
          <w:sz w:val="28"/>
          <w:szCs w:val="28"/>
        </w:rPr>
      </w:pPr>
      <w:r w:rsidDel="00000000" w:rsidR="00000000" w:rsidRPr="00000000">
        <w:rPr>
          <w:rtl w:val="0"/>
        </w:rPr>
      </w:r>
    </w:p>
    <w:tbl>
      <w:tblPr>
        <w:tblStyle w:val="Table6"/>
        <w:tblW w:w="9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0"/>
        <w:gridCol w:w="3885"/>
        <w:gridCol w:w="3195"/>
        <w:tblGridChange w:id="0">
          <w:tblGrid>
            <w:gridCol w:w="2550"/>
            <w:gridCol w:w="3885"/>
            <w:gridCol w:w="31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6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 альтернативи</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6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Вигоди</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6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Витрати</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6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Альтернатива 1</w:t>
            </w:r>
          </w:p>
          <w:p w:rsidR="00000000" w:rsidDel="00000000" w:rsidP="00000000" w:rsidRDefault="00000000" w:rsidRPr="00000000" w14:paraId="0000006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6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Відсутність додаткових вимог і витрат</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6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Додаткові витрати відсутні</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7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Альтернатива 2</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7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Підвищення довіри до послуг; прозорий облік і контроль; полегшення взаємодії з державою</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7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Передбачені бюджетні витрати на ознайомлення учасників освітнього процесу із текстом Порядку (оприлюднення  нормативного акта) та проведення інформаційно-роз’яснювальної роботи (надання роз’яснень):      </w:t>
              <w:tab/>
            </w:r>
            <w:r w:rsidDel="00000000" w:rsidR="00000000" w:rsidRPr="00000000">
              <w:rPr>
                <w:rFonts w:ascii="Times New Roman" w:cs="Times New Roman" w:eastAsia="Times New Roman" w:hAnsi="Times New Roman"/>
                <w:sz w:val="28"/>
                <w:szCs w:val="28"/>
                <w:rtl w:val="0"/>
              </w:rPr>
              <w:t xml:space="preserve">1 год х 48 грн/год х 27324 суб’єктів господарювання = 1311552 </w:t>
            </w:r>
            <w:r w:rsidDel="00000000" w:rsidR="00000000" w:rsidRPr="00000000">
              <w:rPr>
                <w:rFonts w:ascii="Times New Roman" w:cs="Times New Roman" w:eastAsia="Times New Roman" w:hAnsi="Times New Roman"/>
                <w:sz w:val="28"/>
                <w:szCs w:val="28"/>
                <w:rtl w:val="0"/>
              </w:rPr>
              <w:t xml:space="preserve">грн. Витрати включатимуться до заробітної плати працівників, які здійснюють відповідну діяльність у межах виконання своїх посадових обов’язків.</w:t>
            </w:r>
          </w:p>
          <w:p w:rsidR="00000000" w:rsidDel="00000000" w:rsidP="00000000" w:rsidRDefault="00000000" w:rsidRPr="00000000" w14:paraId="00000073">
            <w:pPr>
              <w:spacing w:after="0" w:line="240" w:lineRule="auto"/>
              <w:jc w:val="both"/>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74">
      <w:pP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5">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Витрати, які будуть виникати внаслідок дії регуляторного акта на сферу інтересів суб’єктів господарювання великого, середнього та малого підприємництва.</w:t>
      </w:r>
    </w:p>
    <w:tbl>
      <w:tblPr>
        <w:tblStyle w:val="Table7"/>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9"/>
        <w:tblGridChange w:id="0">
          <w:tblGrid>
            <w:gridCol w:w="962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07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Сумарні витрати за альтернативами</w:t>
            </w:r>
          </w:p>
        </w:tc>
      </w:tr>
    </w:tbl>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bl>
      <w:tblPr>
        <w:tblStyle w:val="Table8"/>
        <w:tblW w:w="963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2"/>
        <w:gridCol w:w="7087"/>
        <w:tblGridChange w:id="0">
          <w:tblGrid>
            <w:gridCol w:w="2552"/>
            <w:gridCol w:w="708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Сума витрат, гривень</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Альтернатива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Не потребує додаткових видатків</w:t>
            </w:r>
            <w:r w:rsidDel="00000000" w:rsidR="00000000" w:rsidRPr="00000000">
              <w:rPr>
                <w:rtl w:val="0"/>
              </w:rPr>
            </w:r>
          </w:p>
        </w:tc>
      </w:tr>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Альтернатива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ind w:right="12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Ознайомлення  учасників освітнього процесу з умовами  Порядку. Проведення інформаційно-роз’яснювальної роботи: </w:t>
            </w:r>
            <w:r w:rsidDel="00000000" w:rsidR="00000000" w:rsidRPr="00000000">
              <w:rPr>
                <w:rFonts w:ascii="Times New Roman" w:cs="Times New Roman" w:eastAsia="Times New Roman" w:hAnsi="Times New Roman"/>
                <w:sz w:val="28"/>
                <w:szCs w:val="28"/>
                <w:rtl w:val="0"/>
              </w:rPr>
              <w:t xml:space="preserve">1 год х 48 грн/год х 27324 суб’єктів господарювання = 1311552 </w:t>
            </w:r>
            <w:r w:rsidDel="00000000" w:rsidR="00000000" w:rsidRPr="00000000">
              <w:rPr>
                <w:rFonts w:ascii="Times New Roman" w:cs="Times New Roman" w:eastAsia="Times New Roman" w:hAnsi="Times New Roman"/>
                <w:sz w:val="28"/>
                <w:szCs w:val="28"/>
                <w:rtl w:val="0"/>
              </w:rPr>
              <w:t xml:space="preserve">грн. Витрати  включаються до заробітної плати працівників, які здійснюють відповідну діяльність у межах виконання своїх посадових обов’язків. Оприлюднення  нормативно-правового акта. </w:t>
            </w:r>
            <w:r w:rsidDel="00000000" w:rsidR="00000000" w:rsidRPr="00000000">
              <w:rPr>
                <w:rtl w:val="0"/>
              </w:rPr>
            </w:r>
          </w:p>
        </w:tc>
      </w:tr>
    </w:tbl>
    <w:p w:rsidR="00000000" w:rsidDel="00000000" w:rsidP="00000000" w:rsidRDefault="00000000" w:rsidRPr="00000000" w14:paraId="0000007E">
      <w:pPr>
        <w:spacing w:after="0" w:line="24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F">
      <w:pPr>
        <w:spacing w:after="0" w:line="240" w:lineRule="auto"/>
        <w:ind w:firstLine="56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IV. Вибір найбільш оптимального альтернативного способу досягнення цілей</w:t>
      </w:r>
    </w:p>
    <w:p w:rsidR="00000000" w:rsidDel="00000000" w:rsidP="00000000" w:rsidRDefault="00000000" w:rsidRPr="00000000" w14:paraId="00000080">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Здійснити вибір оптимального альтернативного способу з урахуванням системи бальної оцінки ступеня досягнення визначених цілей.</w:t>
      </w:r>
    </w:p>
    <w:p w:rsidR="00000000" w:rsidDel="00000000" w:rsidP="00000000" w:rsidRDefault="00000000" w:rsidRPr="00000000" w14:paraId="00000081">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Вартість балів визначається за чотирибальною системою оцінки ступеня досягнення визначених цілей, де:</w:t>
      </w:r>
    </w:p>
    <w:p w:rsidR="00000000" w:rsidDel="00000000" w:rsidP="00000000" w:rsidRDefault="00000000" w:rsidRPr="00000000" w14:paraId="00000082">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 цілі прийняття регуляторного акта, які можуть бути досягнуті повною мірою (проблема більше існувати не буде);</w:t>
      </w:r>
    </w:p>
    <w:p w:rsidR="00000000" w:rsidDel="00000000" w:rsidP="00000000" w:rsidRDefault="00000000" w:rsidRPr="00000000" w14:paraId="00000083">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 цілі прийняття регуляторного акта, які можуть бути досягнуті майже  повною мірою (всі важливі аспекти проблеми існувати не будуть);</w:t>
      </w:r>
    </w:p>
    <w:p w:rsidR="00000000" w:rsidDel="00000000" w:rsidP="00000000" w:rsidRDefault="00000000" w:rsidRPr="00000000" w14:paraId="00000084">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p>
    <w:p w:rsidR="00000000" w:rsidDel="00000000" w:rsidP="00000000" w:rsidRDefault="00000000" w:rsidRPr="00000000" w14:paraId="00000085">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 цілі прийняття регуляторного акта, які не можуть бути досягнуті (проблема продовжує існувати).</w:t>
      </w:r>
    </w:p>
    <w:tbl>
      <w:tblPr>
        <w:tblStyle w:val="Table9"/>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1"/>
        <w:gridCol w:w="2342"/>
        <w:gridCol w:w="4676"/>
        <w:tblGridChange w:id="0">
          <w:tblGrid>
            <w:gridCol w:w="2611"/>
            <w:gridCol w:w="2342"/>
            <w:gridCol w:w="467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8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Рейтинг результативності (досягнення цілей під час вирішення проблеми)</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8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 результативності (за чотирибальною системою оцінки)</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08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Коментарі щодо присвоєння відповідного бала</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8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Альтернатива 1</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8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8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Мінімальний бал, який показує неможливість досягнення цілі державного регулювання альтернативним способом.</w:t>
            </w:r>
          </w:p>
          <w:p w:rsidR="00000000" w:rsidDel="00000000" w:rsidP="00000000" w:rsidRDefault="00000000" w:rsidRPr="00000000" w14:paraId="0000008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Відсутність змін не дозволяє усунути існуючі недоліки чинного Порядку, що негативно впливає на якість і підвищення кваліфікації. Зазначені цілі залишаються недосяжними. Отже, ця альтернатива не сприяє реалізації державної політики у сфері професійного розвитку педагогів.</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8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Альтернатива 2</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8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8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 бал. Зазначений спосіб повною мірою забезпечує досягнення поставленої цілі.</w:t>
            </w:r>
          </w:p>
          <w:p w:rsidR="00000000" w:rsidDel="00000000" w:rsidP="00000000" w:rsidRDefault="00000000" w:rsidRPr="00000000" w14:paraId="0000009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Реалізація акта створить умови для провадження освітньої діяльності суб’єктами підвищення кваліфікації з використанням державних цифрових рішень, що сприятиме підвищенню якості надання послуг. Крім того, акт забезпечить педагогічним працівникам можливість вільного вибору змісту, виду, форми послуг та суб’єкта підвищення кваліфікації за принципом “єдиного вікна”, що значно спростить і підвищить прозорість вибору, мінімізує ризики щодо надання неякісних послуг та формального підходу до надання послуг з підвищення кваліфікації.</w:t>
            </w:r>
          </w:p>
        </w:tc>
      </w:tr>
    </w:tbl>
    <w:p w:rsidR="00000000" w:rsidDel="00000000" w:rsidP="00000000" w:rsidRDefault="00000000" w:rsidRPr="00000000" w14:paraId="00000091">
      <w:pPr>
        <w:spacing w:after="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bl>
      <w:tblPr>
        <w:tblStyle w:val="Table10"/>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8"/>
        <w:gridCol w:w="2041"/>
        <w:gridCol w:w="2069"/>
        <w:gridCol w:w="3441"/>
        <w:tblGridChange w:id="0">
          <w:tblGrid>
            <w:gridCol w:w="2078"/>
            <w:gridCol w:w="2041"/>
            <w:gridCol w:w="2069"/>
            <w:gridCol w:w="344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09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Рейтинг результативності</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09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Вигоди (підсумок)</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09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Витрати (підсумок)</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09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Обґрунтування відповідного місця альтернативи в рейтингу</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9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Альтернатива 1</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9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Відсутні</w:t>
            </w:r>
          </w:p>
        </w:tc>
        <w:tc>
          <w:tcPr>
            <w:tcBorders>
              <w:top w:color="000000" w:space="0" w:sz="7" w:val="single"/>
              <w:left w:color="000000" w:space="0" w:sz="7" w:val="single"/>
              <w:bottom w:color="000000" w:space="0" w:sz="7" w:val="single"/>
              <w:right w:color="000000" w:space="0" w:sz="7" w:val="single"/>
            </w:tcBorders>
            <w:tcMar>
              <w:top w:w="0.0" w:type="dxa"/>
              <w:left w:w="60.0" w:type="dxa"/>
              <w:bottom w:w="0.0" w:type="dxa"/>
              <w:right w:w="60.0" w:type="dxa"/>
            </w:tcMar>
          </w:tcPr>
          <w:p w:rsidR="00000000" w:rsidDel="00000000" w:rsidP="00000000" w:rsidRDefault="00000000" w:rsidRPr="00000000" w14:paraId="0000009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Відсутні (або залишаються без змін)</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9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Зазначений спосіб не сприяє вирішенню існуючої проблеми</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9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Альтернатива 2</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9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Комплексне впровадження цифрової платформи, що забезпечує прозорий, контрольований і ефективний процес підвищення кваліфікації, підтримку нових форм навчання.  </w:t>
            </w:r>
          </w:p>
        </w:tc>
        <w:tc>
          <w:tcPr>
            <w:tcBorders>
              <w:top w:color="000000" w:space="0" w:sz="7" w:val="single"/>
              <w:left w:color="000000" w:space="0" w:sz="7" w:val="single"/>
              <w:bottom w:color="000000" w:space="0" w:sz="7" w:val="single"/>
              <w:right w:color="000000" w:space="0" w:sz="7" w:val="single"/>
            </w:tcBorders>
            <w:tcMar>
              <w:top w:w="15.0" w:type="dxa"/>
              <w:left w:w="15.0" w:type="dxa"/>
              <w:bottom w:w="15.0" w:type="dxa"/>
              <w:right w:w="15.0" w:type="dxa"/>
            </w:tcMar>
          </w:tcPr>
          <w:p w:rsidR="00000000" w:rsidDel="00000000" w:rsidP="00000000" w:rsidRDefault="00000000" w:rsidRPr="00000000" w14:paraId="0000009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Витрати на розробку, впровадження та технічну підтримку платформи; необхідність адаптації суб’єктів господарювання і педагогів до нових вимог.</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9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Найвищий рейтинг, оскільки ця альтернатива дозволяє повністю реалізувати поставлені цілі, вдосконалити систему підвищення кваліфікації, підвищити довіру та якість, що має довгостроковий позитивний вплив на систему освіти.</w:t>
            </w:r>
          </w:p>
        </w:tc>
      </w:tr>
    </w:tbl>
    <w:p w:rsidR="00000000" w:rsidDel="00000000" w:rsidP="00000000" w:rsidRDefault="00000000" w:rsidRPr="00000000" w14:paraId="0000009E">
      <w:pPr>
        <w:spacing w:after="0" w:line="240" w:lineRule="auto"/>
        <w:ind w:firstLine="709"/>
        <w:rPr>
          <w:rFonts w:ascii="Times New Roman" w:cs="Times New Roman" w:eastAsia="Times New Roman" w:hAnsi="Times New Roman"/>
          <w:sz w:val="28"/>
          <w:szCs w:val="28"/>
        </w:rPr>
      </w:pPr>
      <w:r w:rsidDel="00000000" w:rsidR="00000000" w:rsidRPr="00000000">
        <w:rPr>
          <w:rtl w:val="0"/>
        </w:rPr>
      </w:r>
    </w:p>
    <w:tbl>
      <w:tblPr>
        <w:tblStyle w:val="Table11"/>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6"/>
        <w:gridCol w:w="4368"/>
        <w:gridCol w:w="3025"/>
        <w:tblGridChange w:id="0">
          <w:tblGrid>
            <w:gridCol w:w="2236"/>
            <w:gridCol w:w="4368"/>
            <w:gridCol w:w="302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09F">
            <w:pPr>
              <w:spacing w:after="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Рейтинг</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0A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Аргументи щодо переваги обраної альтернативи/причини відмови від альтернативи</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0A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Оцінка ризику зовнішніх чинників на дію запропонованого регуляторного акта</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A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Альтернатива 1</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A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Залишення наявної на сьогодні ситуації без змін не забезпечить усунення існуючих проблем.</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A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Вплив зовнішніх факторів на дію регуляторного акта не очікується.</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A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Альтернатива 2</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A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Забезпечує прозорість, ефективність, використання цифрових інструментів; підвищує якість професійного розвитку; відповідає сучасним викликам, мінімізує ризики надання суб’єктами неякісного або формального надання послуг з підвищення кваліфікації.</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0A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Вплив зовнішніх факторів на дію регуляторного акта не очікується.</w:t>
            </w:r>
          </w:p>
        </w:tc>
      </w:tr>
    </w:tbl>
    <w:p w:rsidR="00000000" w:rsidDel="00000000" w:rsidP="00000000" w:rsidRDefault="00000000" w:rsidRPr="00000000" w14:paraId="000000A8">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Враховуючи вищенаведені позитивні та негативні сторони альтернативних способів досягнення мети, доцільно прийняти акт, запропонований альтернативою 2.</w:t>
      </w:r>
    </w:p>
    <w:p w:rsidR="00000000" w:rsidDel="00000000" w:rsidP="00000000" w:rsidRDefault="00000000" w:rsidRPr="00000000" w14:paraId="000000A9">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Негативних наслідків від прийняття регуляторного акта не очікується.</w:t>
      </w:r>
    </w:p>
    <w:p w:rsidR="00000000" w:rsidDel="00000000" w:rsidP="00000000" w:rsidRDefault="00000000" w:rsidRPr="00000000" w14:paraId="000000AA">
      <w:pPr>
        <w:spacing w:after="0" w:line="240" w:lineRule="auto"/>
        <w:ind w:firstLine="567"/>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B">
      <w:pPr>
        <w:spacing w:after="0" w:line="240" w:lineRule="auto"/>
        <w:ind w:firstLine="56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 Механізми та заходи, які забезпечать розв’язання визначеної проблеми</w:t>
      </w:r>
    </w:p>
    <w:p w:rsidR="00000000" w:rsidDel="00000000" w:rsidP="00000000" w:rsidRDefault="00000000" w:rsidRPr="00000000" w14:paraId="000000AC">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вирішення проблеми, визначеної в розділі першому, і досягнення цілі, визначеної в розділі другому цього Аналізу регуляторного впливу, необхідно прийняти Проєкт акта. </w:t>
      </w:r>
    </w:p>
    <w:p w:rsidR="00000000" w:rsidDel="00000000" w:rsidP="00000000" w:rsidRDefault="00000000" w:rsidRPr="00000000" w14:paraId="000000AD">
      <w:pPr>
        <w:tabs>
          <w:tab w:val="left" w:leader="none" w:pos="900"/>
        </w:tabs>
        <w:spacing w:after="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Проєктом акта пропонується внести зміни до Порядку підвищення кваліфікації педагогічних і науково-педагогічних працівників з метою підвищення прозорості, якості та обліку таких послуг. Зокрема, забезпечити електронний облік результатів підвищення кваліфікації педагогічних і науково-педагогічних працівників; уніфікувати вимоги до програм і документів про підвищення кваліфікації, включно з можливістю присвоєння часткових освітніх або професійних кваліфікацій; розширити форми визнання підвищення кваліфікації, а саме проходження супервізії та здійснення обов’язків наставника.</w:t>
      </w:r>
    </w:p>
    <w:p w:rsidR="00000000" w:rsidDel="00000000" w:rsidP="00000000" w:rsidRDefault="00000000" w:rsidRPr="00000000" w14:paraId="000000AE">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F">
      <w:pPr>
        <w:tabs>
          <w:tab w:val="left" w:leader="none" w:pos="900"/>
        </w:tabs>
        <w:spacing w:after="0" w:line="240" w:lineRule="auto"/>
        <w:ind w:firstLine="566.9291338582675"/>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Організаційні засади для впровадження регуляторного акта в дію.</w:t>
      </w:r>
    </w:p>
    <w:p w:rsidR="00000000" w:rsidDel="00000000" w:rsidP="00000000" w:rsidRDefault="00000000" w:rsidRPr="00000000" w14:paraId="000000B0">
      <w:pPr>
        <w:tabs>
          <w:tab w:val="left" w:leader="none" w:pos="900"/>
        </w:tabs>
        <w:spacing w:after="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України «Про засади державної регуляторної політики у сфері господарської діяльності» проєкт регуляторного акта – постанова Кабінету Міністрів України «Про внесення змін до Порядку підвищення кваліфікації педагогічних і науково-педагогічних працівників», затвердженого постановою Кабінету Міністрів України від 21 серпня 2019 р. № 800 «Деякі питання підвищення кваліфікації педагогічних і науково-педагогічних працівників» було оприлюднено у розділах «Громадське обговорення» та «Регуляторна політика» на офіційному сайті Міністерства освіти і науки України (</w:t>
      </w:r>
      <w:hyperlink r:id="rId7">
        <w:r w:rsidDel="00000000" w:rsidR="00000000" w:rsidRPr="00000000">
          <w:rPr>
            <w:rFonts w:ascii="Times New Roman" w:cs="Times New Roman" w:eastAsia="Times New Roman" w:hAnsi="Times New Roman"/>
            <w:color w:val="1155cc"/>
            <w:sz w:val="28"/>
            <w:szCs w:val="28"/>
            <w:u w:val="single"/>
            <w:rtl w:val="0"/>
          </w:rPr>
          <w:t xml:space="preserve">www.mon.gov.ua</w:t>
        </w:r>
      </w:hyperlink>
      <w:r w:rsidDel="00000000" w:rsidR="00000000" w:rsidRPr="00000000">
        <w:rPr>
          <w:rFonts w:ascii="Times New Roman" w:cs="Times New Roman" w:eastAsia="Times New Roman" w:hAnsi="Times New Roman"/>
          <w:sz w:val="28"/>
          <w:szCs w:val="28"/>
          <w:rtl w:val="0"/>
        </w:rPr>
        <w:t xml:space="preserve">) для обговорення та отримання пропозицій та зауважень від зацікавлених фізичних та юридичних осіб.</w:t>
      </w:r>
    </w:p>
    <w:p w:rsidR="00000000" w:rsidDel="00000000" w:rsidP="00000000" w:rsidRDefault="00000000" w:rsidRPr="00000000" w14:paraId="000000B1">
      <w:pPr>
        <w:tabs>
          <w:tab w:val="left" w:leader="none" w:pos="900"/>
        </w:tabs>
        <w:spacing w:after="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впровадження регуляторного акта необхідно забезпечити відповідне інформування громадськості, засновників та керівників закладів освіти, органів управління освітою, суб’єктів підвищення кваліфікації про вимоги регуляторного акта шляхом його оприлюднення на офіційних веб-сайтах Кабінету Міністрів України та Міністерства освіти і науки України.</w:t>
      </w:r>
    </w:p>
    <w:p w:rsidR="00000000" w:rsidDel="00000000" w:rsidP="00000000" w:rsidRDefault="00000000" w:rsidRPr="00000000" w14:paraId="000000B2">
      <w:pPr>
        <w:tabs>
          <w:tab w:val="left" w:leader="none" w:pos="900"/>
        </w:tabs>
        <w:spacing w:after="0" w:line="240" w:lineRule="auto"/>
        <w:ind w:firstLine="566.9291338582675"/>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Заходи, які мають здійснити органи влади для впровадження цього регуляторного акта:</w:t>
      </w:r>
    </w:p>
    <w:p w:rsidR="00000000" w:rsidDel="00000000" w:rsidP="00000000" w:rsidRDefault="00000000" w:rsidRPr="00000000" w14:paraId="000000B3">
      <w:pPr>
        <w:spacing w:after="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впровадження цього необхідно забезпечити інформування всіх заінтересованих сторін системи освіти про його зміст шляхом оприлюднення регуляторного акта на офіційному сайті  МОН.</w:t>
      </w:r>
    </w:p>
    <w:p w:rsidR="00000000" w:rsidDel="00000000" w:rsidP="00000000" w:rsidRDefault="00000000" w:rsidRPr="00000000" w14:paraId="000000B4">
      <w:pPr>
        <w:spacing w:after="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Впровадження здійснюватиметься Міністерством освіти і науки України за підтримки Українського інституту розвитку освіти. Буде надано методичну підтримку суб’єктам господарювання.</w:t>
      </w:r>
    </w:p>
    <w:p w:rsidR="00000000" w:rsidDel="00000000" w:rsidP="00000000" w:rsidRDefault="00000000" w:rsidRPr="00000000" w14:paraId="000000B5">
      <w:pPr>
        <w:spacing w:after="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Міністерство освіти і науки України шляхом листування із департаментами (управліннями) освіти і науки обласних, Київською міською державними адміністраціями, закладами освіти, іншими суб’єктами освітньої діяльності, науковими установами доводить до них інформацію та рекомендації із застосування та запровадження нормативно-правових актів у сфері освіти.</w:t>
      </w:r>
    </w:p>
    <w:p w:rsidR="00000000" w:rsidDel="00000000" w:rsidP="00000000" w:rsidRDefault="00000000" w:rsidRPr="00000000" w14:paraId="000000B6">
      <w:pPr>
        <w:tabs>
          <w:tab w:val="left" w:leader="none" w:pos="900"/>
        </w:tabs>
        <w:spacing w:after="0" w:line="240" w:lineRule="auto"/>
        <w:ind w:firstLine="566.9291338582675"/>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Заходи, які мають здійснити суб’єкти господарювання для впровадження цього регуляторного акта:</w:t>
      </w:r>
    </w:p>
    <w:p w:rsidR="00000000" w:rsidDel="00000000" w:rsidP="00000000" w:rsidRDefault="00000000" w:rsidRPr="00000000" w14:paraId="000000B7">
      <w:pPr>
        <w:tabs>
          <w:tab w:val="left" w:leader="none" w:pos="900"/>
        </w:tabs>
        <w:spacing w:after="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ознайомитися зі змінами до Порядку підвищення кваліфікації педагогічних і науково-педагогічних працівників, затвердженими постановою Кабінету Міністрів України;</w:t>
      </w:r>
    </w:p>
    <w:p w:rsidR="00000000" w:rsidDel="00000000" w:rsidP="00000000" w:rsidRDefault="00000000" w:rsidRPr="00000000" w14:paraId="000000B8">
      <w:pPr>
        <w:tabs>
          <w:tab w:val="left" w:leader="none" w:pos="900"/>
        </w:tabs>
        <w:spacing w:after="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забезпечити внесення відповідних змін до внутрішніх документів закладу;</w:t>
      </w:r>
    </w:p>
    <w:p w:rsidR="00000000" w:rsidDel="00000000" w:rsidP="00000000" w:rsidRDefault="00000000" w:rsidRPr="00000000" w14:paraId="000000B9">
      <w:pPr>
        <w:tabs>
          <w:tab w:val="left" w:leader="none" w:pos="900"/>
        </w:tabs>
        <w:spacing w:after="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інформувати педагогічних працівників про зміни у вимогах до документів про підвищення кваліфікації, а також про нові форми та можливості проходження такого навчання.</w:t>
      </w:r>
    </w:p>
    <w:p w:rsidR="00000000" w:rsidDel="00000000" w:rsidP="00000000" w:rsidRDefault="00000000" w:rsidRPr="00000000" w14:paraId="000000BA">
      <w:pPr>
        <w:tabs>
          <w:tab w:val="left" w:leader="none" w:pos="900"/>
        </w:tabs>
        <w:spacing w:after="0" w:line="240" w:lineRule="auto"/>
        <w:ind w:firstLine="566.929133858267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B">
      <w:pPr>
        <w:tabs>
          <w:tab w:val="left" w:leader="none" w:pos="562"/>
        </w:tabs>
        <w:spacing w:after="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Ризику впливу зовнішніх факторів на дію регуляторного акта немає.</w:t>
      </w:r>
    </w:p>
    <w:p w:rsidR="00000000" w:rsidDel="00000000" w:rsidP="00000000" w:rsidRDefault="00000000" w:rsidRPr="00000000" w14:paraId="000000BC">
      <w:pPr>
        <w:tabs>
          <w:tab w:val="left" w:leader="none" w:pos="562"/>
        </w:tabs>
        <w:spacing w:after="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Можливої шкоди, у разі очікуваних наслідків дії акта, не прогнозується.</w:t>
      </w:r>
      <w:r w:rsidDel="00000000" w:rsidR="00000000" w:rsidRPr="00000000">
        <w:rPr>
          <w:rtl w:val="0"/>
        </w:rPr>
      </w:r>
    </w:p>
    <w:p w:rsidR="00000000" w:rsidDel="00000000" w:rsidP="00000000" w:rsidRDefault="00000000" w:rsidRPr="00000000" w14:paraId="000000BD">
      <w:pPr>
        <w:spacing w:after="0" w:line="24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E">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впроваджувати або виконувати ці вимоги</w:t>
      </w:r>
      <w:r w:rsidDel="00000000" w:rsidR="00000000" w:rsidRPr="00000000">
        <w:rPr>
          <w:rtl w:val="0"/>
        </w:rPr>
      </w:r>
    </w:p>
    <w:p w:rsidR="00000000" w:rsidDel="00000000" w:rsidP="00000000" w:rsidRDefault="00000000" w:rsidRPr="00000000" w14:paraId="000000BF">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 впровадження проєкту регуляторного акта негативних наслідків не очікується.</w:t>
      </w:r>
    </w:p>
    <w:p w:rsidR="00000000" w:rsidDel="00000000" w:rsidP="00000000" w:rsidRDefault="00000000" w:rsidRPr="00000000" w14:paraId="000000C0">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Розрахунок витрат на одного суб’єкта господарювання великого і середнього підприємництва, які виникають внаслідок дії регуляторного акта, здійснюється згідно з додатком 2 до Методики проведення аналізу впливу регуляторного акта.</w:t>
      </w:r>
    </w:p>
    <w:p w:rsidR="00000000" w:rsidDel="00000000" w:rsidP="00000000" w:rsidRDefault="00000000" w:rsidRPr="00000000" w14:paraId="000000C1">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Враховуючи, що питома вага суб’єктів малого підприємництва в загальній кількості суб’єктів господарювання, на яких поширюється регулювання, перевищує 10 відсотків, здійснюється розрахунок витрат на запровадження державного регулювання для суб’єктів малого підприємництва згідно з додатком 4 до Методики проведення аналізу впливу регуляторного акта (Тест малого підприємництва).</w:t>
      </w:r>
    </w:p>
    <w:p w:rsidR="00000000" w:rsidDel="00000000" w:rsidP="00000000" w:rsidRDefault="00000000" w:rsidRPr="00000000" w14:paraId="000000C2">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Державне регулювання не передбачає утворення нового державного органу (або нового структурного підрозділу діючого органу), та не передбачає збільшення граничної чисельності працівників закладів освіти.</w:t>
      </w:r>
    </w:p>
    <w:p w:rsidR="00000000" w:rsidDel="00000000" w:rsidP="00000000" w:rsidRDefault="00000000" w:rsidRPr="00000000" w14:paraId="000000C3">
      <w:pPr>
        <w:spacing w:after="0" w:line="240" w:lineRule="auto"/>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зв’язку з тим, що запропоноване регулювання фактично є реалізацією державної політики у сфері освіти, компенсатори (корегуючі (пом’якшувальні) заходи) для малого підприємництва не розроблялись.</w:t>
      </w:r>
    </w:p>
    <w:p w:rsidR="00000000" w:rsidDel="00000000" w:rsidP="00000000" w:rsidRDefault="00000000" w:rsidRPr="00000000" w14:paraId="000000C4">
      <w:pPr>
        <w:spacing w:after="0" w:line="240" w:lineRule="auto"/>
        <w:ind w:firstLine="2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5">
      <w:pPr>
        <w:spacing w:after="0" w:line="240" w:lineRule="auto"/>
        <w:ind w:firstLine="56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VII. Обґрунтування запропонованого строку дії регуляторного акта</w:t>
      </w:r>
    </w:p>
    <w:p w:rsidR="00000000" w:rsidDel="00000000" w:rsidP="00000000" w:rsidRDefault="00000000" w:rsidRPr="00000000" w14:paraId="000000C6">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Строк дії регуляторного акта не обмежується в часі, що дасть змогу досягти цілі державного регулювання.</w:t>
      </w:r>
    </w:p>
    <w:p w:rsidR="00000000" w:rsidDel="00000000" w:rsidP="00000000" w:rsidRDefault="00000000" w:rsidRPr="00000000" w14:paraId="000000C7">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Зміна строку дії акта можлива в разі зміни правових актів, на вимогах яких базується Проєкт акта.</w:t>
      </w:r>
    </w:p>
    <w:p w:rsidR="00000000" w:rsidDel="00000000" w:rsidP="00000000" w:rsidRDefault="00000000" w:rsidRPr="00000000" w14:paraId="000000C8">
      <w:pPr>
        <w:spacing w:after="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Термін набрання чинності регуляторним актом – 1 липня 2026 року</w:t>
      </w:r>
    </w:p>
    <w:p w:rsidR="00000000" w:rsidDel="00000000" w:rsidP="00000000" w:rsidRDefault="00000000" w:rsidRPr="00000000" w14:paraId="000000C9">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CA">
      <w:pPr>
        <w:spacing w:after="0" w:line="240" w:lineRule="auto"/>
        <w:ind w:firstLine="56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VIII. Визначення показників результативності дії регуляторного акта</w:t>
      </w:r>
    </w:p>
    <w:p w:rsidR="00000000" w:rsidDel="00000000" w:rsidP="00000000" w:rsidRDefault="00000000" w:rsidRPr="00000000" w14:paraId="000000CB">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Дія акта поширюється на суб’єктів господарювання, які є суб'єктами освітньої діяльності.</w:t>
      </w:r>
    </w:p>
    <w:p w:rsidR="00000000" w:rsidDel="00000000" w:rsidP="00000000" w:rsidRDefault="00000000" w:rsidRPr="00000000" w14:paraId="000000CC">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Прогнозними значеннями показників результативності регуляторного акта є:</w:t>
      </w:r>
    </w:p>
    <w:p w:rsidR="00000000" w:rsidDel="00000000" w:rsidP="00000000" w:rsidRDefault="00000000" w:rsidRPr="00000000" w14:paraId="000000C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суб’єктів підвищення кваліфікації, які надають послуги; </w:t>
      </w:r>
    </w:p>
    <w:p w:rsidR="00000000" w:rsidDel="00000000" w:rsidP="00000000" w:rsidRDefault="00000000" w:rsidRPr="00000000" w14:paraId="000000C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курсів від суб’єктів підвищення кваліфікації; </w:t>
      </w:r>
    </w:p>
    <w:p w:rsidR="00000000" w:rsidDel="00000000" w:rsidP="00000000" w:rsidRDefault="00000000" w:rsidRPr="00000000" w14:paraId="000000C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педагогічних працівників, які пройшли підвищення кваліфікації;</w:t>
      </w:r>
    </w:p>
    <w:p w:rsidR="00000000" w:rsidDel="00000000" w:rsidP="00000000" w:rsidRDefault="00000000" w:rsidRPr="00000000" w14:paraId="000000D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виданих документів про підвищення кваліфікації педагогічним працівниками суб’єктами підвищення кваліфікації.</w:t>
      </w:r>
    </w:p>
    <w:p w:rsidR="00000000" w:rsidDel="00000000" w:rsidP="00000000" w:rsidRDefault="00000000" w:rsidRPr="00000000" w14:paraId="000000D1">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2">
      <w:pPr>
        <w:spacing w:after="0" w:line="240" w:lineRule="auto"/>
        <w:ind w:firstLine="56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IX. Визначення заходів, за допомогою яких здійснюватиметься відстеження результативності дії регуляторного акта</w:t>
      </w:r>
    </w:p>
    <w:p w:rsidR="00000000" w:rsidDel="00000000" w:rsidP="00000000" w:rsidRDefault="00000000" w:rsidRPr="00000000" w14:paraId="000000D3">
      <w:pPr>
        <w:spacing w:after="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Відстеження результативності дії регуляторного акта здійснюватиметься за допомогою систематичного збору, аналізу та оцінки статистичних та якісних показників, що відображають стан впровадження положень акта та їх вплив на систему підвищення кваліфікації педагогічних і науково-педагогічних працівників</w:t>
      </w:r>
    </w:p>
    <w:p w:rsidR="00000000" w:rsidDel="00000000" w:rsidP="00000000" w:rsidRDefault="00000000" w:rsidRPr="00000000" w14:paraId="000000D4">
      <w:pPr>
        <w:spacing w:after="0" w:line="240" w:lineRule="auto"/>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Базове відстеження результативності регуляторного акта проводитиметься після набрання ним чинності, але не пізніше дня, з якого розпочинається проведення повторного відстеження.</w:t>
      </w:r>
    </w:p>
    <w:p w:rsidR="00000000" w:rsidDel="00000000" w:rsidP="00000000" w:rsidRDefault="00000000" w:rsidRPr="00000000" w14:paraId="000000D5">
      <w:pPr>
        <w:spacing w:after="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Повторне відстеження результативності регуляторного акта планується через два роки після набрання чинності.</w:t>
      </w:r>
    </w:p>
    <w:p w:rsidR="00000000" w:rsidDel="00000000" w:rsidP="00000000" w:rsidRDefault="00000000" w:rsidRPr="00000000" w14:paraId="000000D6">
      <w:pPr>
        <w:spacing w:after="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Періодичне відстеження здійснюватиметься з інтервалом раз на три роки, починаючи з дня виконання заходів повторного відстеження.</w:t>
      </w:r>
    </w:p>
    <w:p w:rsidR="00000000" w:rsidDel="00000000" w:rsidP="00000000" w:rsidRDefault="00000000" w:rsidRPr="00000000" w14:paraId="000000D7">
      <w:pPr>
        <w:spacing w:after="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разі виявлення неврегульованих або проблемних питань на основі аналізу кількісних показників дії акта, буде ініційовано врегулювання цих питань шляхом внесення відповідних змін до регуляторного акта.</w:t>
      </w:r>
    </w:p>
    <w:p w:rsidR="00000000" w:rsidDel="00000000" w:rsidP="00000000" w:rsidRDefault="00000000" w:rsidRPr="00000000" w14:paraId="000000D8">
      <w:pPr>
        <w:spacing w:after="0" w:line="240" w:lineRule="auto"/>
        <w:ind w:firstLine="70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9">
      <w:pPr>
        <w:spacing w:after="0" w:lin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DA">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Міністр</w:t>
        <w:tab/>
        <w:tab/>
        <w:tab/>
        <w:tab/>
        <w:tab/>
        <w:tab/>
        <w:tab/>
        <w:tab/>
        <w:tab/>
        <w:t xml:space="preserve">Оксен ЛІСОВИЙ</w:t>
      </w:r>
    </w:p>
    <w:p w:rsidR="00000000" w:rsidDel="00000000" w:rsidP="00000000" w:rsidRDefault="00000000" w:rsidRPr="00000000" w14:paraId="000000D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D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 _____________ 2025 р.</w:t>
      </w:r>
    </w:p>
    <w:p w:rsidR="00000000" w:rsidDel="00000000" w:rsidP="00000000" w:rsidRDefault="00000000" w:rsidRPr="00000000" w14:paraId="000000DD">
      <w:pPr>
        <w:spacing w:after="0" w:line="240" w:lineRule="auto"/>
        <w:jc w:val="both"/>
        <w:rPr>
          <w:rFonts w:ascii="Times New Roman" w:cs="Times New Roman" w:eastAsia="Times New Roman" w:hAnsi="Times New Roman"/>
          <w:sz w:val="28"/>
          <w:szCs w:val="28"/>
        </w:rPr>
      </w:pPr>
      <w:bookmarkStart w:colFirst="0" w:colLast="0" w:name="_heading=h.40nzpaoodiky" w:id="0"/>
      <w:bookmarkEnd w:id="0"/>
      <w:r w:rsidDel="00000000" w:rsidR="00000000" w:rsidRPr="00000000">
        <w:rPr>
          <w:rtl w:val="0"/>
        </w:rPr>
      </w:r>
    </w:p>
    <w:p w:rsidR="00000000" w:rsidDel="00000000" w:rsidP="00000000" w:rsidRDefault="00000000" w:rsidRPr="00000000" w14:paraId="000000DE">
      <w:pPr>
        <w:spacing w:after="0" w:line="240" w:lineRule="auto"/>
        <w:jc w:val="both"/>
        <w:rPr>
          <w:rFonts w:ascii="Times New Roman" w:cs="Times New Roman" w:eastAsia="Times New Roman" w:hAnsi="Times New Roman"/>
          <w:sz w:val="28"/>
          <w:szCs w:val="28"/>
        </w:rPr>
      </w:pPr>
      <w:bookmarkStart w:colFirst="0" w:colLast="0" w:name="_heading=h.1im8l1eii88r" w:id="1"/>
      <w:bookmarkEnd w:id="1"/>
      <w:r w:rsidDel="00000000" w:rsidR="00000000" w:rsidRPr="00000000">
        <w:rPr>
          <w:rtl w:val="0"/>
        </w:rPr>
      </w:r>
    </w:p>
    <w:p w:rsidR="00000000" w:rsidDel="00000000" w:rsidP="00000000" w:rsidRDefault="00000000" w:rsidRPr="00000000" w14:paraId="000000DF">
      <w:pPr>
        <w:spacing w:after="0" w:line="240" w:lineRule="auto"/>
        <w:jc w:val="both"/>
        <w:rPr>
          <w:rFonts w:ascii="Times New Roman" w:cs="Times New Roman" w:eastAsia="Times New Roman" w:hAnsi="Times New Roman"/>
          <w:sz w:val="28"/>
          <w:szCs w:val="28"/>
        </w:rPr>
      </w:pPr>
      <w:bookmarkStart w:colFirst="0" w:colLast="0" w:name="_heading=h.lyzz9dnmgegb" w:id="2"/>
      <w:bookmarkEnd w:id="2"/>
      <w:r w:rsidDel="00000000" w:rsidR="00000000" w:rsidRPr="00000000">
        <w:rPr>
          <w:rtl w:val="0"/>
        </w:rPr>
      </w:r>
    </w:p>
    <w:p w:rsidR="00000000" w:rsidDel="00000000" w:rsidP="00000000" w:rsidRDefault="00000000" w:rsidRPr="00000000" w14:paraId="000000E0">
      <w:pPr>
        <w:spacing w:after="0" w:line="240" w:lineRule="auto"/>
        <w:jc w:val="both"/>
        <w:rPr>
          <w:rFonts w:ascii="Times New Roman" w:cs="Times New Roman" w:eastAsia="Times New Roman" w:hAnsi="Times New Roman"/>
          <w:sz w:val="28"/>
          <w:szCs w:val="28"/>
        </w:rPr>
      </w:pPr>
      <w:bookmarkStart w:colFirst="0" w:colLast="0" w:name="_heading=h.cdpjtxlsk2he" w:id="3"/>
      <w:bookmarkEnd w:id="3"/>
      <w:r w:rsidDel="00000000" w:rsidR="00000000" w:rsidRPr="00000000">
        <w:rPr>
          <w:rtl w:val="0"/>
        </w:rPr>
      </w:r>
    </w:p>
    <w:p w:rsidR="00000000" w:rsidDel="00000000" w:rsidP="00000000" w:rsidRDefault="00000000" w:rsidRPr="00000000" w14:paraId="000000E1">
      <w:pPr>
        <w:spacing w:after="0" w:line="240" w:lineRule="auto"/>
        <w:jc w:val="both"/>
        <w:rPr>
          <w:rFonts w:ascii="Times New Roman" w:cs="Times New Roman" w:eastAsia="Times New Roman" w:hAnsi="Times New Roman"/>
          <w:sz w:val="28"/>
          <w:szCs w:val="28"/>
        </w:rPr>
      </w:pPr>
      <w:bookmarkStart w:colFirst="0" w:colLast="0" w:name="_heading=h.s5r7okw3ay52" w:id="4"/>
      <w:bookmarkEnd w:id="4"/>
      <w:r w:rsidDel="00000000" w:rsidR="00000000" w:rsidRPr="00000000">
        <w:rPr>
          <w:rtl w:val="0"/>
        </w:rPr>
      </w:r>
    </w:p>
    <w:p w:rsidR="00000000" w:rsidDel="00000000" w:rsidP="00000000" w:rsidRDefault="00000000" w:rsidRPr="00000000" w14:paraId="000000E2">
      <w:pPr>
        <w:spacing w:after="0" w:line="240" w:lineRule="auto"/>
        <w:jc w:val="both"/>
        <w:rPr>
          <w:rFonts w:ascii="Times New Roman" w:cs="Times New Roman" w:eastAsia="Times New Roman" w:hAnsi="Times New Roman"/>
          <w:sz w:val="28"/>
          <w:szCs w:val="28"/>
        </w:rPr>
      </w:pPr>
      <w:bookmarkStart w:colFirst="0" w:colLast="0" w:name="_heading=h.6hz11q5rj3hk" w:id="5"/>
      <w:bookmarkEnd w:id="5"/>
      <w:r w:rsidDel="00000000" w:rsidR="00000000" w:rsidRPr="00000000">
        <w:rPr>
          <w:rtl w:val="0"/>
        </w:rPr>
      </w:r>
    </w:p>
    <w:p w:rsidR="00000000" w:rsidDel="00000000" w:rsidP="00000000" w:rsidRDefault="00000000" w:rsidRPr="00000000" w14:paraId="000000E3">
      <w:pPr>
        <w:spacing w:after="0" w:line="240" w:lineRule="auto"/>
        <w:jc w:val="both"/>
        <w:rPr>
          <w:rFonts w:ascii="Times New Roman" w:cs="Times New Roman" w:eastAsia="Times New Roman" w:hAnsi="Times New Roman"/>
          <w:sz w:val="28"/>
          <w:szCs w:val="28"/>
        </w:rPr>
      </w:pPr>
      <w:bookmarkStart w:colFirst="0" w:colLast="0" w:name="_heading=h.4gcnrub3mu8n" w:id="6"/>
      <w:bookmarkEnd w:id="6"/>
      <w:r w:rsidDel="00000000" w:rsidR="00000000" w:rsidRPr="00000000">
        <w:rPr>
          <w:rtl w:val="0"/>
        </w:rPr>
      </w:r>
    </w:p>
    <w:p w:rsidR="00000000" w:rsidDel="00000000" w:rsidP="00000000" w:rsidRDefault="00000000" w:rsidRPr="00000000" w14:paraId="000000E4">
      <w:pPr>
        <w:spacing w:after="0" w:line="240" w:lineRule="auto"/>
        <w:jc w:val="both"/>
        <w:rPr>
          <w:rFonts w:ascii="Times New Roman" w:cs="Times New Roman" w:eastAsia="Times New Roman" w:hAnsi="Times New Roman"/>
          <w:sz w:val="28"/>
          <w:szCs w:val="28"/>
        </w:rPr>
      </w:pPr>
      <w:bookmarkStart w:colFirst="0" w:colLast="0" w:name="_heading=h.iry1rvuo4cbb" w:id="7"/>
      <w:bookmarkEnd w:id="7"/>
      <w:r w:rsidDel="00000000" w:rsidR="00000000" w:rsidRPr="00000000">
        <w:rPr>
          <w:rtl w:val="0"/>
        </w:rPr>
      </w:r>
    </w:p>
    <w:p w:rsidR="00000000" w:rsidDel="00000000" w:rsidP="00000000" w:rsidRDefault="00000000" w:rsidRPr="00000000" w14:paraId="000000E5">
      <w:pPr>
        <w:spacing w:after="0" w:line="240" w:lineRule="auto"/>
        <w:jc w:val="both"/>
        <w:rPr>
          <w:rFonts w:ascii="Times New Roman" w:cs="Times New Roman" w:eastAsia="Times New Roman" w:hAnsi="Times New Roman"/>
          <w:sz w:val="28"/>
          <w:szCs w:val="28"/>
        </w:rPr>
      </w:pPr>
      <w:bookmarkStart w:colFirst="0" w:colLast="0" w:name="_heading=h.pnt7i6yik61n" w:id="8"/>
      <w:bookmarkEnd w:id="8"/>
      <w:r w:rsidDel="00000000" w:rsidR="00000000" w:rsidRPr="00000000">
        <w:rPr>
          <w:rtl w:val="0"/>
        </w:rPr>
      </w:r>
    </w:p>
    <w:p w:rsidR="00000000" w:rsidDel="00000000" w:rsidP="00000000" w:rsidRDefault="00000000" w:rsidRPr="00000000" w14:paraId="000000E6">
      <w:pPr>
        <w:spacing w:after="0" w:line="240" w:lineRule="auto"/>
        <w:ind w:firstLine="73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Додаток  </w:t>
      </w:r>
    </w:p>
    <w:p w:rsidR="00000000" w:rsidDel="00000000" w:rsidP="00000000" w:rsidRDefault="00000000" w:rsidRPr="00000000" w14:paraId="000000E7">
      <w:pPr>
        <w:spacing w:after="0" w:line="240" w:lineRule="auto"/>
        <w:ind w:left="70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 до аналізу впливу регуляторного акта</w:t>
      </w:r>
      <w:r w:rsidDel="00000000" w:rsidR="00000000" w:rsidRPr="00000000">
        <w:rPr>
          <w:rtl w:val="0"/>
        </w:rPr>
      </w:r>
    </w:p>
    <w:p w:rsidR="00000000" w:rsidDel="00000000" w:rsidP="00000000" w:rsidRDefault="00000000" w:rsidRPr="00000000" w14:paraId="000000E8">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9">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Витрати на одного суб’єкта господарювання великого і середнього підприємництва, які виникають внаслідок дії регуляторного акта.</w:t>
      </w:r>
    </w:p>
    <w:p w:rsidR="00000000" w:rsidDel="00000000" w:rsidP="00000000" w:rsidRDefault="00000000" w:rsidRPr="00000000" w14:paraId="000000EA">
      <w:pPr>
        <w:spacing w:after="0" w:line="240" w:lineRule="auto"/>
        <w:ind w:firstLine="567"/>
        <w:jc w:val="both"/>
        <w:rPr>
          <w:rFonts w:ascii="Times New Roman" w:cs="Times New Roman" w:eastAsia="Times New Roman" w:hAnsi="Times New Roman"/>
          <w:b w:val="1"/>
          <w:sz w:val="28"/>
          <w:szCs w:val="28"/>
        </w:rPr>
      </w:pPr>
      <w:r w:rsidDel="00000000" w:rsidR="00000000" w:rsidRPr="00000000">
        <w:rPr>
          <w:rtl w:val="0"/>
        </w:rPr>
      </w:r>
    </w:p>
    <w:tbl>
      <w:tblPr>
        <w:tblStyle w:val="Table12"/>
        <w:tblW w:w="9368.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3"/>
        <w:gridCol w:w="4393"/>
        <w:gridCol w:w="1966"/>
        <w:gridCol w:w="2176"/>
        <w:tblGridChange w:id="0">
          <w:tblGrid>
            <w:gridCol w:w="833"/>
            <w:gridCol w:w="4393"/>
            <w:gridCol w:w="1966"/>
            <w:gridCol w:w="2176"/>
          </w:tblGrid>
        </w:tblGridChange>
      </w:tblGrid>
      <w:tr>
        <w:trPr>
          <w:cantSplit w:val="0"/>
          <w:tblHeader w:val="0"/>
        </w:trPr>
        <w:tc>
          <w:tcPr>
            <w:vAlign w:val="center"/>
          </w:tcPr>
          <w:p w:rsidR="00000000" w:rsidDel="00000000" w:rsidP="00000000" w:rsidRDefault="00000000" w:rsidRPr="00000000" w14:paraId="000000E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з/п</w:t>
            </w:r>
          </w:p>
        </w:tc>
        <w:tc>
          <w:tcPr>
            <w:vAlign w:val="center"/>
          </w:tcPr>
          <w:p w:rsidR="00000000" w:rsidDel="00000000" w:rsidP="00000000" w:rsidRDefault="00000000" w:rsidRPr="00000000" w14:paraId="000000E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Витрати</w:t>
            </w:r>
          </w:p>
        </w:tc>
        <w:tc>
          <w:tcPr>
            <w:vAlign w:val="center"/>
          </w:tcPr>
          <w:p w:rsidR="00000000" w:rsidDel="00000000" w:rsidP="00000000" w:rsidRDefault="00000000" w:rsidRPr="00000000" w14:paraId="000000E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перший рік</w:t>
            </w:r>
          </w:p>
        </w:tc>
        <w:tc>
          <w:tcPr>
            <w:vAlign w:val="center"/>
          </w:tcPr>
          <w:p w:rsidR="00000000" w:rsidDel="00000000" w:rsidP="00000000" w:rsidRDefault="00000000" w:rsidRPr="00000000" w14:paraId="000000E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п’ять років</w:t>
            </w:r>
          </w:p>
        </w:tc>
      </w:tr>
      <w:tr>
        <w:trPr>
          <w:cantSplit w:val="0"/>
          <w:tblHeader w:val="0"/>
        </w:trPr>
        <w:tc>
          <w:tcPr/>
          <w:p w:rsidR="00000000" w:rsidDel="00000000" w:rsidP="00000000" w:rsidRDefault="00000000" w:rsidRPr="00000000" w14:paraId="000000E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0F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Витрати на придбання основних фондів, обладнання та приладів, сервісне обслуговування, навчання/підвищення кваліфікації персоналу тощо, гривень </w:t>
            </w:r>
          </w:p>
        </w:tc>
        <w:tc>
          <w:tcPr/>
          <w:p w:rsidR="00000000" w:rsidDel="00000000" w:rsidP="00000000" w:rsidRDefault="00000000" w:rsidRPr="00000000" w14:paraId="000000F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0F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p w:rsidR="00000000" w:rsidDel="00000000" w:rsidP="00000000" w:rsidRDefault="00000000" w:rsidRPr="00000000" w14:paraId="000000F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0F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Податки та збори (зміна розміру податків/зборів, виникнення  необхідності у сплаті податків/зборів),</w:t>
            </w:r>
          </w:p>
          <w:p w:rsidR="00000000" w:rsidDel="00000000" w:rsidP="00000000" w:rsidRDefault="00000000" w:rsidRPr="00000000" w14:paraId="000000F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гривень</w:t>
            </w:r>
          </w:p>
        </w:tc>
        <w:tc>
          <w:tcPr/>
          <w:p w:rsidR="00000000" w:rsidDel="00000000" w:rsidP="00000000" w:rsidRDefault="00000000" w:rsidRPr="00000000" w14:paraId="000000F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0F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p w:rsidR="00000000" w:rsidDel="00000000" w:rsidP="00000000" w:rsidRDefault="00000000" w:rsidRPr="00000000" w14:paraId="000000F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0F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Витрати, пов’язані із веденням обліку, підготовкою та поданням звітності державним органам (щорічний звіт керівника ЗВО), гривень </w:t>
            </w:r>
          </w:p>
        </w:tc>
        <w:tc>
          <w:tcPr/>
          <w:p w:rsidR="00000000" w:rsidDel="00000000" w:rsidP="00000000" w:rsidRDefault="00000000" w:rsidRPr="00000000" w14:paraId="000000F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0F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p w:rsidR="00000000" w:rsidDel="00000000" w:rsidP="00000000" w:rsidRDefault="00000000" w:rsidRPr="00000000" w14:paraId="000000F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0F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Витрати, пов’язані з адмініструванням заходів державного нагляду (контролю) (перевірок, штрафних санкцій, виконання рішень/ приписів тощо), гривень </w:t>
            </w:r>
          </w:p>
        </w:tc>
        <w:tc>
          <w:tcPr/>
          <w:p w:rsidR="00000000" w:rsidDel="00000000" w:rsidP="00000000" w:rsidRDefault="00000000" w:rsidRPr="00000000" w14:paraId="000000F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0F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p w:rsidR="00000000" w:rsidDel="00000000" w:rsidP="00000000" w:rsidRDefault="00000000" w:rsidRPr="00000000" w14:paraId="0000010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10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 </w:t>
            </w:r>
          </w:p>
        </w:tc>
        <w:tc>
          <w:tcPr/>
          <w:p w:rsidR="00000000" w:rsidDel="00000000" w:rsidP="00000000" w:rsidRDefault="00000000" w:rsidRPr="00000000" w14:paraId="000001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p w:rsidR="00000000" w:rsidDel="00000000" w:rsidP="00000000" w:rsidRDefault="00000000" w:rsidRPr="00000000" w14:paraId="000001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10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Витрати на оборотні активи (матеріали, канцелярські товари тощо), гривень</w:t>
            </w:r>
          </w:p>
        </w:tc>
        <w:tc>
          <w:tcPr/>
          <w:p w:rsidR="00000000" w:rsidDel="00000000" w:rsidP="00000000" w:rsidRDefault="00000000" w:rsidRPr="00000000" w14:paraId="0000010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0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p w:rsidR="00000000" w:rsidDel="00000000" w:rsidP="00000000" w:rsidRDefault="00000000" w:rsidRPr="00000000" w14:paraId="0000010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10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Витрати, пов’язані із наймом додаткового персоналу, гривень</w:t>
            </w:r>
          </w:p>
        </w:tc>
        <w:tc>
          <w:tcPr/>
          <w:p w:rsidR="00000000" w:rsidDel="00000000" w:rsidP="00000000" w:rsidRDefault="00000000" w:rsidRPr="00000000" w14:paraId="0000010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0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p w:rsidR="00000000" w:rsidDel="00000000" w:rsidP="00000000" w:rsidRDefault="00000000" w:rsidRPr="00000000" w14:paraId="0000010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0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Інше.</w:t>
            </w:r>
          </w:p>
          <w:p w:rsidR="00000000" w:rsidDel="00000000" w:rsidP="00000000" w:rsidRDefault="00000000" w:rsidRPr="00000000" w14:paraId="0000010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Передбачені бюджетні витрати на ознайомлення учасників освітнього процесу із текстом Порядку (оприлюднення  нормативного акта) та проведення інформаційно-роз’яснювальної роботи (надання роз’яснень):      1 год х 48 грн/год х 1141 суб’єктів господарювання = 54768 грн. Витрати включатимуться до заробітної плати працівників, які здійснюють відповідну діяльність у межах виконання своїх посадових обов’язків.</w:t>
            </w:r>
          </w:p>
          <w:p w:rsidR="00000000" w:rsidDel="00000000" w:rsidP="00000000" w:rsidRDefault="00000000" w:rsidRPr="00000000" w14:paraId="000001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Зроблено припущення, що наведені вище витрати виникатимуть лише у 1-й рік регулювання.</w:t>
            </w:r>
          </w:p>
        </w:tc>
        <w:tc>
          <w:tcPr/>
          <w:p w:rsidR="00000000" w:rsidDel="00000000" w:rsidP="00000000" w:rsidRDefault="00000000" w:rsidRPr="00000000" w14:paraId="0000011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54768,00 грн.</w:t>
            </w:r>
          </w:p>
        </w:tc>
        <w:tc>
          <w:tcPr/>
          <w:p w:rsidR="00000000" w:rsidDel="00000000" w:rsidP="00000000" w:rsidRDefault="00000000" w:rsidRPr="00000000" w14:paraId="0000011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54768,00 грн.</w:t>
            </w:r>
          </w:p>
        </w:tc>
      </w:tr>
      <w:tr>
        <w:trPr>
          <w:cantSplit w:val="0"/>
          <w:tblHeader w:val="0"/>
        </w:trPr>
        <w:tc>
          <w:tcPr/>
          <w:p w:rsidR="00000000" w:rsidDel="00000000" w:rsidP="00000000" w:rsidRDefault="00000000" w:rsidRPr="00000000" w14:paraId="0000011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p w:rsidR="00000000" w:rsidDel="00000000" w:rsidP="00000000" w:rsidRDefault="00000000" w:rsidRPr="00000000" w14:paraId="0000011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РАЗОМ (сума рядків: 1 + 2 + 3 + 4 + 5 + 6 + 7 + 8),</w:t>
            </w:r>
          </w:p>
          <w:p w:rsidR="00000000" w:rsidDel="00000000" w:rsidP="00000000" w:rsidRDefault="00000000" w:rsidRPr="00000000" w14:paraId="0000011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гривень</w:t>
            </w:r>
          </w:p>
        </w:tc>
        <w:tc>
          <w:tcPr/>
          <w:p w:rsidR="00000000" w:rsidDel="00000000" w:rsidP="00000000" w:rsidRDefault="00000000" w:rsidRPr="00000000" w14:paraId="0000011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54768,00 грн.</w:t>
            </w:r>
          </w:p>
        </w:tc>
        <w:tc>
          <w:tcPr/>
          <w:p w:rsidR="00000000" w:rsidDel="00000000" w:rsidP="00000000" w:rsidRDefault="00000000" w:rsidRPr="00000000" w14:paraId="0000011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54768,00 грн.</w:t>
            </w:r>
          </w:p>
        </w:tc>
      </w:tr>
      <w:tr>
        <w:trPr>
          <w:cantSplit w:val="0"/>
          <w:tblHeader w:val="0"/>
        </w:trPr>
        <w:tc>
          <w:tcPr/>
          <w:p w:rsidR="00000000" w:rsidDel="00000000" w:rsidP="00000000" w:rsidRDefault="00000000" w:rsidRPr="00000000" w14:paraId="0000011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11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суб’єктів господарювання великого та</w:t>
            </w:r>
          </w:p>
          <w:p w:rsidR="00000000" w:rsidDel="00000000" w:rsidP="00000000" w:rsidRDefault="00000000" w:rsidRPr="00000000" w14:paraId="0000011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середнього підприємництва, на яких буде поширено регулювання, одиниць</w:t>
            </w:r>
          </w:p>
        </w:tc>
        <w:tc>
          <w:tcPr/>
          <w:p w:rsidR="00000000" w:rsidDel="00000000" w:rsidP="00000000" w:rsidRDefault="00000000" w:rsidRPr="00000000" w14:paraId="0000011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1141</w:t>
            </w:r>
          </w:p>
        </w:tc>
        <w:tc>
          <w:tcPr/>
          <w:p w:rsidR="00000000" w:rsidDel="00000000" w:rsidP="00000000" w:rsidRDefault="00000000" w:rsidRPr="00000000" w14:paraId="0000011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1141</w:t>
            </w:r>
          </w:p>
        </w:tc>
      </w:tr>
      <w:tr>
        <w:trPr>
          <w:cantSplit w:val="0"/>
          <w:tblHeader w:val="0"/>
        </w:trPr>
        <w:tc>
          <w:tcPr/>
          <w:p w:rsidR="00000000" w:rsidDel="00000000" w:rsidP="00000000" w:rsidRDefault="00000000" w:rsidRPr="00000000" w14:paraId="0000011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p w:rsidR="00000000" w:rsidDel="00000000" w:rsidP="00000000" w:rsidRDefault="00000000" w:rsidRPr="00000000" w14:paraId="0000011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Сумарні витрати суб’єктів господарювання великого та середнього підприємництва, на виконання регулювання (вартість регулювання) (рядок 9 х рядок</w:t>
            </w:r>
          </w:p>
          <w:p w:rsidR="00000000" w:rsidDel="00000000" w:rsidP="00000000" w:rsidRDefault="00000000" w:rsidRPr="00000000" w14:paraId="0000011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гривень</w:t>
            </w:r>
          </w:p>
        </w:tc>
        <w:tc>
          <w:tcPr/>
          <w:p w:rsidR="00000000" w:rsidDel="00000000" w:rsidP="00000000" w:rsidRDefault="00000000" w:rsidRPr="00000000" w14:paraId="0000011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2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bl>
    <w:p w:rsidR="00000000" w:rsidDel="00000000" w:rsidP="00000000" w:rsidRDefault="00000000" w:rsidRPr="00000000" w14:paraId="00000121">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2">
      <w:pPr>
        <w:spacing w:after="150" w:line="240" w:lineRule="auto"/>
        <w:ind w:left="450" w:right="45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Розрахунок відповідних витрат на одного суб’єкта господарювання</w:t>
      </w:r>
    </w:p>
    <w:tbl>
      <w:tblPr>
        <w:tblStyle w:val="Table13"/>
        <w:tblW w:w="9637.0" w:type="dxa"/>
        <w:jc w:val="left"/>
        <w:tblLayout w:type="fixed"/>
        <w:tblLook w:val="0400"/>
      </w:tblPr>
      <w:tblGrid>
        <w:gridCol w:w="4671"/>
        <w:gridCol w:w="1688"/>
        <w:gridCol w:w="1688"/>
        <w:gridCol w:w="1590"/>
        <w:tblGridChange w:id="0">
          <w:tblGrid>
            <w:gridCol w:w="4671"/>
            <w:gridCol w:w="1688"/>
            <w:gridCol w:w="1688"/>
            <w:gridCol w:w="1590"/>
          </w:tblGrid>
        </w:tblGridChange>
      </w:tblGrid>
      <w:tr>
        <w:trPr>
          <w:cantSplit w:val="0"/>
          <w:tblHeader w:val="0"/>
        </w:trPr>
        <w:tc>
          <w:tcPr>
            <w:tcBorders>
              <w:top w:color="000000" w:space="0" w:sz="6" w:val="single"/>
              <w:left w:color="000000" w:space="0" w:sz="0" w:val="nil"/>
              <w:bottom w:color="000000" w:space="0" w:sz="6" w:val="single"/>
              <w:right w:color="000000" w:space="0" w:sz="6" w:val="single"/>
            </w:tcBorders>
          </w:tcPr>
          <w:bookmarkStart w:colFirst="0" w:colLast="0" w:name="bookmark=kix.22lq8a1my75l" w:id="9"/>
          <w:bookmarkEnd w:id="9"/>
          <w:p w:rsidR="00000000" w:rsidDel="00000000" w:rsidP="00000000" w:rsidRDefault="00000000" w:rsidRPr="00000000" w14:paraId="00000123">
            <w:pPr>
              <w:spacing w:after="150" w:before="15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 витрат</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4">
            <w:pPr>
              <w:spacing w:after="150" w:before="15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перший рік</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5">
            <w:pPr>
              <w:spacing w:after="150" w:before="15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Періодичні (за рік)</w:t>
            </w:r>
          </w:p>
        </w:tc>
        <w:tc>
          <w:tcPr>
            <w:tcBorders>
              <w:top w:color="000000" w:space="0" w:sz="6" w:val="single"/>
              <w:left w:color="000000" w:space="0" w:sz="6" w:val="single"/>
              <w:bottom w:color="000000" w:space="0" w:sz="6" w:val="single"/>
              <w:right w:color="000000" w:space="0" w:sz="0" w:val="nil"/>
            </w:tcBorders>
          </w:tcPr>
          <w:p w:rsidR="00000000" w:rsidDel="00000000" w:rsidP="00000000" w:rsidRDefault="00000000" w:rsidRPr="00000000" w14:paraId="00000126">
            <w:pPr>
              <w:spacing w:after="150" w:before="15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Витрати за п’ять років</w:t>
            </w:r>
          </w:p>
        </w:tc>
      </w:tr>
      <w:tr>
        <w:trPr>
          <w:cantSplit w:val="0"/>
          <w:tblHeader w:val="0"/>
        </w:trPr>
        <w:tc>
          <w:tcPr>
            <w:tcBorders>
              <w:top w:color="000000" w:space="0" w:sz="6" w:val="single"/>
              <w:left w:color="000000" w:space="0" w:sz="4" w:val="single"/>
              <w:bottom w:color="000000" w:space="0" w:sz="4" w:val="single"/>
              <w:right w:color="000000" w:space="0" w:sz="4" w:val="single"/>
            </w:tcBorders>
          </w:tcPr>
          <w:p w:rsidR="00000000" w:rsidDel="00000000" w:rsidP="00000000" w:rsidRDefault="00000000" w:rsidRPr="00000000" w14:paraId="00000127">
            <w:pPr>
              <w:spacing w:after="150" w:before="15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Витрати на придбання основних фондів, обладнання та приладів, сервісне обслуговування, навчання/підвищення кваліфікації персоналу тощо (із розрахунку 3-5 робочих місць (ПК або ноутбук), мережеве обладнання та програмне забезпечення)</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2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12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6" w:val="single"/>
              <w:left w:color="000000" w:space="0" w:sz="4" w:val="single"/>
              <w:bottom w:color="000000" w:space="0" w:sz="4" w:val="single"/>
              <w:right w:color="000000" w:space="0" w:sz="4" w:val="single"/>
            </w:tcBorders>
          </w:tcPr>
          <w:p w:rsidR="00000000" w:rsidDel="00000000" w:rsidP="00000000" w:rsidRDefault="00000000" w:rsidRPr="00000000" w14:paraId="0000012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bl>
    <w:p w:rsidR="00000000" w:rsidDel="00000000" w:rsidP="00000000" w:rsidRDefault="00000000" w:rsidRPr="00000000" w14:paraId="0000012B">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C">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tbl>
      <w:tblPr>
        <w:tblStyle w:val="Table14"/>
        <w:tblW w:w="9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25"/>
        <w:gridCol w:w="1925"/>
        <w:gridCol w:w="1925"/>
        <w:gridCol w:w="1926"/>
        <w:gridCol w:w="1926"/>
        <w:tblGridChange w:id="0">
          <w:tblGrid>
            <w:gridCol w:w="1925"/>
            <w:gridCol w:w="1925"/>
            <w:gridCol w:w="1925"/>
            <w:gridCol w:w="1926"/>
            <w:gridCol w:w="1926"/>
          </w:tblGrid>
        </w:tblGridChange>
      </w:tblGrid>
      <w:tr>
        <w:trPr>
          <w:cantSplit w:val="0"/>
          <w:tblHeader w:val="0"/>
        </w:trPr>
        <w:tc>
          <w:tcPr/>
          <w:p w:rsidR="00000000" w:rsidDel="00000000" w:rsidP="00000000" w:rsidRDefault="00000000" w:rsidRPr="00000000" w14:paraId="0000012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 витрат</w:t>
            </w:r>
          </w:p>
        </w:tc>
        <w:tc>
          <w:tcPr/>
          <w:p w:rsidR="00000000" w:rsidDel="00000000" w:rsidP="00000000" w:rsidRDefault="00000000" w:rsidRPr="00000000" w14:paraId="0000012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Витрати* на ведення обліку, підготовку та подання звітності (за рік)</w:t>
            </w:r>
          </w:p>
        </w:tc>
        <w:tc>
          <w:tcPr/>
          <w:p w:rsidR="00000000" w:rsidDel="00000000" w:rsidP="00000000" w:rsidRDefault="00000000" w:rsidRPr="00000000" w14:paraId="0000012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Витрати на оплату штрафних санкцій за рік</w:t>
            </w:r>
          </w:p>
        </w:tc>
        <w:tc>
          <w:tcPr/>
          <w:p w:rsidR="00000000" w:rsidDel="00000000" w:rsidP="00000000" w:rsidRDefault="00000000" w:rsidRPr="00000000" w14:paraId="0000013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Разом за рік</w:t>
            </w:r>
          </w:p>
        </w:tc>
        <w:tc>
          <w:tcPr/>
          <w:p w:rsidR="00000000" w:rsidDel="00000000" w:rsidP="00000000" w:rsidRDefault="00000000" w:rsidRPr="00000000" w14:paraId="0000013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Витрати за п’ять років</w:t>
            </w:r>
          </w:p>
        </w:tc>
      </w:tr>
      <w:tr>
        <w:trPr>
          <w:cantSplit w:val="0"/>
          <w:tblHeader w:val="0"/>
        </w:trPr>
        <w:tc>
          <w:tcPr/>
          <w:p w:rsidR="00000000" w:rsidDel="00000000" w:rsidP="00000000" w:rsidRDefault="00000000" w:rsidRPr="00000000" w14:paraId="0000013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Витрати, пов’язані із</w:t>
            </w:r>
          </w:p>
          <w:p w:rsidR="00000000" w:rsidDel="00000000" w:rsidP="00000000" w:rsidRDefault="00000000" w:rsidRPr="00000000" w14:paraId="0000013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веденням обліку, </w:t>
            </w:r>
          </w:p>
          <w:p w:rsidR="00000000" w:rsidDel="00000000" w:rsidP="00000000" w:rsidRDefault="00000000" w:rsidRPr="00000000" w14:paraId="0000013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підготовкою та поданням</w:t>
            </w:r>
          </w:p>
          <w:p w:rsidR="00000000" w:rsidDel="00000000" w:rsidP="00000000" w:rsidRDefault="00000000" w:rsidRPr="00000000" w14:paraId="0000013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звітності державним органам (витрати часу персоналу)</w:t>
            </w:r>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13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3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3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3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bl>
    <w:p w:rsidR="00000000" w:rsidDel="00000000" w:rsidP="00000000" w:rsidRDefault="00000000" w:rsidRPr="00000000" w14:paraId="0000013A">
      <w:pPr>
        <w:spacing w:after="0" w:lin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24"/>
          <w:szCs w:val="24"/>
          <w:rtl w:val="0"/>
        </w:rPr>
        <w:t xml:space="preserve">* Вартість витрат, пов’язаних із підготовкою та поданням звітності державним органам, визначається шляхом множення фактичних витрат часу персоналу на заробітну плату спеціаліста відповідної кваліфікації).</w:t>
      </w:r>
      <w:r w:rsidDel="00000000" w:rsidR="00000000" w:rsidRPr="00000000">
        <w:rPr>
          <w:rtl w:val="0"/>
        </w:rPr>
      </w:r>
    </w:p>
    <w:p w:rsidR="00000000" w:rsidDel="00000000" w:rsidP="00000000" w:rsidRDefault="00000000" w:rsidRPr="00000000" w14:paraId="0000013B">
      <w:pPr>
        <w:spacing w:after="0" w:line="240" w:lineRule="auto"/>
        <w:ind w:firstLine="567"/>
        <w:jc w:val="both"/>
        <w:rPr>
          <w:rFonts w:ascii="Times New Roman" w:cs="Times New Roman" w:eastAsia="Times New Roman" w:hAnsi="Times New Roman"/>
          <w:sz w:val="36"/>
          <w:szCs w:val="36"/>
        </w:rPr>
      </w:pPr>
      <w:r w:rsidDel="00000000" w:rsidR="00000000" w:rsidRPr="00000000">
        <w:rPr>
          <w:rtl w:val="0"/>
        </w:rPr>
      </w:r>
    </w:p>
    <w:tbl>
      <w:tblPr>
        <w:tblStyle w:val="Table15"/>
        <w:tblW w:w="9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55"/>
        <w:gridCol w:w="2177"/>
        <w:gridCol w:w="1774"/>
        <w:gridCol w:w="1616"/>
        <w:gridCol w:w="1705"/>
        <w:tblGridChange w:id="0">
          <w:tblGrid>
            <w:gridCol w:w="2355"/>
            <w:gridCol w:w="2177"/>
            <w:gridCol w:w="1774"/>
            <w:gridCol w:w="1616"/>
            <w:gridCol w:w="1705"/>
          </w:tblGrid>
        </w:tblGridChange>
      </w:tblGrid>
      <w:tr>
        <w:trPr>
          <w:cantSplit w:val="0"/>
          <w:tblHeader w:val="0"/>
        </w:trPr>
        <w:tc>
          <w:tcPr/>
          <w:p w:rsidR="00000000" w:rsidDel="00000000" w:rsidP="00000000" w:rsidRDefault="00000000" w:rsidRPr="00000000" w14:paraId="0000013C">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28"/>
                <w:szCs w:val="28"/>
                <w:rtl w:val="0"/>
              </w:rPr>
              <w:t xml:space="preserve">Вид витрат</w:t>
            </w:r>
            <w:r w:rsidDel="00000000" w:rsidR="00000000" w:rsidRPr="00000000">
              <w:rPr>
                <w:rtl w:val="0"/>
              </w:rPr>
            </w:r>
          </w:p>
        </w:tc>
        <w:tc>
          <w:tcPr/>
          <w:p w:rsidR="00000000" w:rsidDel="00000000" w:rsidP="00000000" w:rsidRDefault="00000000" w:rsidRPr="00000000" w14:paraId="0000013D">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28"/>
                <w:szCs w:val="28"/>
                <w:rtl w:val="0"/>
              </w:rPr>
              <w:t xml:space="preserve">Витрати* на адміністрування заходів державного нагляду (контролю) (за рік)</w:t>
            </w:r>
            <w:r w:rsidDel="00000000" w:rsidR="00000000" w:rsidRPr="00000000">
              <w:rPr>
                <w:rtl w:val="0"/>
              </w:rPr>
            </w:r>
          </w:p>
        </w:tc>
        <w:tc>
          <w:tcPr/>
          <w:p w:rsidR="00000000" w:rsidDel="00000000" w:rsidP="00000000" w:rsidRDefault="00000000" w:rsidRPr="00000000" w14:paraId="0000013E">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28"/>
                <w:szCs w:val="28"/>
                <w:rtl w:val="0"/>
              </w:rPr>
              <w:t xml:space="preserve">Витрати на оплату штрафних санкцій за рік</w:t>
            </w:r>
            <w:r w:rsidDel="00000000" w:rsidR="00000000" w:rsidRPr="00000000">
              <w:rPr>
                <w:rtl w:val="0"/>
              </w:rPr>
            </w:r>
          </w:p>
        </w:tc>
        <w:tc>
          <w:tcPr/>
          <w:p w:rsidR="00000000" w:rsidDel="00000000" w:rsidP="00000000" w:rsidRDefault="00000000" w:rsidRPr="00000000" w14:paraId="0000013F">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28"/>
                <w:szCs w:val="28"/>
                <w:rtl w:val="0"/>
              </w:rPr>
              <w:t xml:space="preserve">Разом за рік</w:t>
            </w:r>
            <w:r w:rsidDel="00000000" w:rsidR="00000000" w:rsidRPr="00000000">
              <w:rPr>
                <w:rtl w:val="0"/>
              </w:rPr>
            </w:r>
          </w:p>
        </w:tc>
        <w:tc>
          <w:tcPr/>
          <w:p w:rsidR="00000000" w:rsidDel="00000000" w:rsidP="00000000" w:rsidRDefault="00000000" w:rsidRPr="00000000" w14:paraId="00000140">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28"/>
                <w:szCs w:val="28"/>
                <w:rtl w:val="0"/>
              </w:rPr>
              <w:t xml:space="preserve">Витрати за п’ять років</w:t>
            </w:r>
            <w:r w:rsidDel="00000000" w:rsidR="00000000" w:rsidRPr="00000000">
              <w:rPr>
                <w:rtl w:val="0"/>
              </w:rPr>
            </w:r>
          </w:p>
        </w:tc>
      </w:tr>
      <w:tr>
        <w:trPr>
          <w:cantSplit w:val="0"/>
          <w:tblHeader w:val="0"/>
        </w:trPr>
        <w:tc>
          <w:tcPr/>
          <w:p w:rsidR="00000000" w:rsidDel="00000000" w:rsidP="00000000" w:rsidRDefault="00000000" w:rsidRPr="00000000" w14:paraId="0000014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p w:rsidR="00000000" w:rsidDel="00000000" w:rsidP="00000000" w:rsidRDefault="00000000" w:rsidRPr="00000000" w14:paraId="00000142">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tc>
        <w:tc>
          <w:tcPr/>
          <w:p w:rsidR="00000000" w:rsidDel="00000000" w:rsidP="00000000" w:rsidRDefault="00000000" w:rsidRPr="00000000" w14:paraId="00000143">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tc>
        <w:tc>
          <w:tcPr/>
          <w:p w:rsidR="00000000" w:rsidDel="00000000" w:rsidP="00000000" w:rsidRDefault="00000000" w:rsidRPr="00000000" w14:paraId="00000144">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tc>
        <w:tc>
          <w:tcPr/>
          <w:p w:rsidR="00000000" w:rsidDel="00000000" w:rsidP="00000000" w:rsidRDefault="00000000" w:rsidRPr="00000000" w14:paraId="00000145">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tc>
      </w:tr>
    </w:tbl>
    <w:p w:rsidR="00000000" w:rsidDel="00000000" w:rsidP="00000000" w:rsidRDefault="00000000" w:rsidRPr="00000000" w14:paraId="00000146">
      <w:pPr>
        <w:spacing w:after="0" w:line="240"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rtl w:val="0"/>
        </w:rPr>
        <w:t xml:space="preserve">* Вартість витрат, пов’язаних з адмініструванням заходів державного нагляду (контролю), визначається шляхом множення фактичних витрат часу персоналу на заробітну плату спеціаліста відповідної кваліфікації.</w:t>
      </w:r>
      <w:r w:rsidDel="00000000" w:rsidR="00000000" w:rsidRPr="00000000">
        <w:rPr>
          <w:rtl w:val="0"/>
        </w:rPr>
      </w:r>
    </w:p>
    <w:p w:rsidR="00000000" w:rsidDel="00000000" w:rsidP="00000000" w:rsidRDefault="00000000" w:rsidRPr="00000000" w14:paraId="00000147">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tbl>
      <w:tblPr>
        <w:tblStyle w:val="Table16"/>
        <w:tblW w:w="9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09"/>
        <w:gridCol w:w="1766"/>
        <w:gridCol w:w="1904"/>
        <w:gridCol w:w="1566"/>
        <w:gridCol w:w="1182"/>
        <w:tblGridChange w:id="0">
          <w:tblGrid>
            <w:gridCol w:w="3209"/>
            <w:gridCol w:w="1766"/>
            <w:gridCol w:w="1904"/>
            <w:gridCol w:w="1566"/>
            <w:gridCol w:w="1182"/>
          </w:tblGrid>
        </w:tblGridChange>
      </w:tblGrid>
      <w:tr>
        <w:trPr>
          <w:cantSplit w:val="0"/>
          <w:tblHeader w:val="0"/>
        </w:trPr>
        <w:tc>
          <w:tcPr/>
          <w:p w:rsidR="00000000" w:rsidDel="00000000" w:rsidP="00000000" w:rsidRDefault="00000000" w:rsidRPr="00000000" w14:paraId="0000014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 витрат</w:t>
            </w:r>
          </w:p>
        </w:tc>
        <w:tc>
          <w:tcPr/>
          <w:p w:rsidR="00000000" w:rsidDel="00000000" w:rsidP="00000000" w:rsidRDefault="00000000" w:rsidRPr="00000000" w14:paraId="0000014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Витрати на проходження відповідних процедур (витрати часу, витрати на експертизи, тощо)</w:t>
            </w:r>
          </w:p>
        </w:tc>
        <w:tc>
          <w:tcPr/>
          <w:p w:rsidR="00000000" w:rsidDel="00000000" w:rsidP="00000000" w:rsidRDefault="00000000" w:rsidRPr="00000000" w14:paraId="0000014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Витрати безпосередньо на дозволи, ліцензії, сертифікати, страхові поліси (за рік -стартовий)</w:t>
            </w:r>
          </w:p>
        </w:tc>
        <w:tc>
          <w:tcPr/>
          <w:p w:rsidR="00000000" w:rsidDel="00000000" w:rsidP="00000000" w:rsidRDefault="00000000" w:rsidRPr="00000000" w14:paraId="0000014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Разом за рік (стартовий)</w:t>
            </w:r>
          </w:p>
        </w:tc>
        <w:tc>
          <w:tcPr/>
          <w:p w:rsidR="00000000" w:rsidDel="00000000" w:rsidP="00000000" w:rsidRDefault="00000000" w:rsidRPr="00000000" w14:paraId="0000014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Витрати за п’ять років</w:t>
            </w:r>
          </w:p>
        </w:tc>
      </w:tr>
      <w:tr>
        <w:trPr>
          <w:cantSplit w:val="0"/>
          <w:tblHeader w:val="0"/>
        </w:trPr>
        <w:tc>
          <w:tcPr/>
          <w:p w:rsidR="00000000" w:rsidDel="00000000" w:rsidP="00000000" w:rsidRDefault="00000000" w:rsidRPr="00000000" w14:paraId="0000014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w:t>
            </w:r>
          </w:p>
          <w:p w:rsidR="00000000" w:rsidDel="00000000" w:rsidP="00000000" w:rsidRDefault="00000000" w:rsidRPr="00000000" w14:paraId="0000014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наукових, інших експертиз, страхування тощо), гривень</w:t>
            </w:r>
          </w:p>
        </w:tc>
        <w:tc>
          <w:tcPr/>
          <w:p w:rsidR="00000000" w:rsidDel="00000000" w:rsidP="00000000" w:rsidRDefault="00000000" w:rsidRPr="00000000" w14:paraId="0000014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5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5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5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bl>
    <w:p w:rsidR="00000000" w:rsidDel="00000000" w:rsidP="00000000" w:rsidRDefault="00000000" w:rsidRPr="00000000" w14:paraId="00000153">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4">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Тест малого підприємництва (М-Тест).</w:t>
      </w:r>
    </w:p>
    <w:p w:rsidR="00000000" w:rsidDel="00000000" w:rsidP="00000000" w:rsidRDefault="00000000" w:rsidRPr="00000000" w14:paraId="00000155">
      <w:pPr>
        <w:spacing w:after="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Консультації з представниками мікро- та малого підприємництва щодо оцінки впливу регулювання.</w:t>
      </w:r>
    </w:p>
    <w:p w:rsidR="00000000" w:rsidDel="00000000" w:rsidP="00000000" w:rsidRDefault="00000000" w:rsidRPr="00000000" w14:paraId="00000156">
      <w:pPr>
        <w:spacing w:after="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розробниками у період з 26.07.2024 до 01.07.2025</w:t>
      </w:r>
    </w:p>
    <w:tbl>
      <w:tblPr>
        <w:tblStyle w:val="Table17"/>
        <w:tblW w:w="96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0"/>
        <w:gridCol w:w="3690"/>
        <w:gridCol w:w="1882.0000000000005"/>
        <w:gridCol w:w="3262.9999999999995"/>
        <w:tblGridChange w:id="0">
          <w:tblGrid>
            <w:gridCol w:w="840"/>
            <w:gridCol w:w="3690"/>
            <w:gridCol w:w="1882.0000000000005"/>
            <w:gridCol w:w="3262.99999999999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5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з/п</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5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5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учасників консультацій, осіб</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5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Основні результати консультацій (опис)</w:t>
            </w:r>
          </w:p>
        </w:tc>
      </w:tr>
      <w:tr>
        <w:trPr>
          <w:cantSplit w:val="0"/>
          <w:tblHeader w:val="0"/>
        </w:trPr>
        <w:tc>
          <w:tcPr>
            <w:vAlign w:val="top"/>
          </w:tcPr>
          <w:p w:rsidR="00000000" w:rsidDel="00000000" w:rsidP="00000000" w:rsidRDefault="00000000" w:rsidRPr="00000000" w14:paraId="0000015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top"/>
          </w:tcPr>
          <w:p w:rsidR="00000000" w:rsidDel="00000000" w:rsidP="00000000" w:rsidRDefault="00000000" w:rsidRPr="00000000" w14:paraId="0000015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Робота робочої групи Міністерства освіти і науки України з розроблення пропозицій щодо внесення змін до Порядку підвищення кваліфікації педагогічних і науково-педагогічних працівників, затвердженого постановою Кабінету Міністрів України від 21 серпня 2019 року № 800</w:t>
            </w:r>
          </w:p>
        </w:tc>
        <w:tc>
          <w:tcPr>
            <w:vAlign w:val="top"/>
          </w:tcPr>
          <w:p w:rsidR="00000000" w:rsidDel="00000000" w:rsidP="00000000" w:rsidRDefault="00000000" w:rsidRPr="00000000" w14:paraId="0000015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vAlign w:val="top"/>
          </w:tcPr>
          <w:p w:rsidR="00000000" w:rsidDel="00000000" w:rsidP="00000000" w:rsidRDefault="00000000" w:rsidRPr="00000000" w14:paraId="0000015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Визначено необхідні зміни до Порядку підвищення кваліфікації педагогічних і науково-педагогічних працівників, затвердженого постановою Кабінету Міністрів України від 21 серпня 2019 року № 800</w:t>
            </w:r>
          </w:p>
          <w:p w:rsidR="00000000" w:rsidDel="00000000" w:rsidP="00000000" w:rsidRDefault="00000000" w:rsidRPr="00000000" w14:paraId="0000015F">
            <w:pPr>
              <w:spacing w:after="0" w:line="24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6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top"/>
          </w:tcPr>
          <w:p w:rsidR="00000000" w:rsidDel="00000000" w:rsidP="00000000" w:rsidRDefault="00000000" w:rsidRPr="00000000" w14:paraId="0000016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Проведено ряд зустрічей із представниками ЗВО та інших суб’єктів підвищення кваліфікації </w:t>
            </w:r>
          </w:p>
        </w:tc>
        <w:tc>
          <w:tcPr>
            <w:vAlign w:val="top"/>
          </w:tcPr>
          <w:p w:rsidR="00000000" w:rsidDel="00000000" w:rsidP="00000000" w:rsidRDefault="00000000" w:rsidRPr="00000000" w14:paraId="0000016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vAlign w:val="top"/>
          </w:tcPr>
          <w:p w:rsidR="00000000" w:rsidDel="00000000" w:rsidP="00000000" w:rsidRDefault="00000000" w:rsidRPr="00000000" w14:paraId="0000016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Обговорено проблемні питання функціонування платформи та регулювання.</w:t>
            </w:r>
          </w:p>
        </w:tc>
      </w:tr>
      <w:tr>
        <w:trPr>
          <w:cantSplit w:val="0"/>
          <w:tblHeader w:val="0"/>
        </w:trPr>
        <w:tc>
          <w:tcPr>
            <w:vAlign w:val="top"/>
          </w:tcPr>
          <w:p w:rsidR="00000000" w:rsidDel="00000000" w:rsidP="00000000" w:rsidRDefault="00000000" w:rsidRPr="00000000" w14:paraId="0000016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vAlign w:val="top"/>
          </w:tcPr>
          <w:p w:rsidR="00000000" w:rsidDel="00000000" w:rsidP="00000000" w:rsidRDefault="00000000" w:rsidRPr="00000000" w14:paraId="0000016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акта оприлюднено для громадського обговорення на офіційному веб-сайті МОН</w:t>
            </w:r>
          </w:p>
        </w:tc>
        <w:tc>
          <w:tcPr>
            <w:vAlign w:val="top"/>
          </w:tcPr>
          <w:p w:rsidR="00000000" w:rsidDel="00000000" w:rsidP="00000000" w:rsidRDefault="00000000" w:rsidRPr="00000000" w14:paraId="0000016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vAlign w:val="top"/>
          </w:tcPr>
          <w:p w:rsidR="00000000" w:rsidDel="00000000" w:rsidP="00000000" w:rsidRDefault="00000000" w:rsidRPr="00000000" w14:paraId="0000016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результатами обговорення всі пропозиції та зауваження щодо проєкту було проаналізовано, частково враховано</w:t>
            </w:r>
            <w:r w:rsidDel="00000000" w:rsidR="00000000" w:rsidRPr="00000000">
              <w:rPr>
                <w:rtl w:val="0"/>
              </w:rPr>
            </w:r>
          </w:p>
        </w:tc>
      </w:tr>
    </w:tbl>
    <w:bookmarkStart w:colFirst="0" w:colLast="0" w:name="bookmark=kix.ahvaivtzffbw" w:id="10"/>
    <w:bookmarkEnd w:id="10"/>
    <w:bookmarkStart w:colFirst="0" w:colLast="0" w:name="bookmark=kix.v7x44g3n6ytj" w:id="11"/>
    <w:bookmarkEnd w:id="11"/>
    <w:p w:rsidR="00000000" w:rsidDel="00000000" w:rsidP="00000000" w:rsidRDefault="00000000" w:rsidRPr="00000000" w14:paraId="00000168">
      <w:pPr>
        <w:spacing w:after="0" w:line="24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9">
      <w:pPr>
        <w:spacing w:after="0"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Вимірювання впливу регулювання на суб’єктів малого підприємництва (мікро – та малі):</w:t>
      </w:r>
    </w:p>
    <w:p w:rsidR="00000000" w:rsidDel="00000000" w:rsidP="00000000" w:rsidRDefault="00000000" w:rsidRPr="00000000" w14:paraId="0000016A">
      <w:pPr>
        <w:spacing w:after="0"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суб’єктів малого підприємництва, на яких поширюється регулювання: 26138 (одиниць), у тому числі малого підприємництва 26138 (одиниць) та мікропідприємництва 0 (одиниць);</w:t>
      </w:r>
    </w:p>
    <w:p w:rsidR="00000000" w:rsidDel="00000000" w:rsidP="00000000" w:rsidRDefault="00000000" w:rsidRPr="00000000" w14:paraId="0000016B">
      <w:pPr>
        <w:spacing w:after="0"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питома вага суб’єктів малого підприємництва в загальній кількості суб’єктів господарювання, на яких проблема справляє вплив 95,8 % (відсотків).</w:t>
      </w:r>
    </w:p>
    <w:p w:rsidR="00000000" w:rsidDel="00000000" w:rsidP="00000000" w:rsidRDefault="00000000" w:rsidRPr="00000000" w14:paraId="0000016C">
      <w:pPr>
        <w:spacing w:after="0" w:line="24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D">
      <w:pPr>
        <w:spacing w:after="0" w:line="24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E">
      <w:pPr>
        <w:spacing w:after="0" w:line="24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F">
      <w:pPr>
        <w:spacing w:after="0"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Розрахунок витрат суб’єктів малого підприємництва на виконання вимог регулювання</w:t>
      </w:r>
    </w:p>
    <w:tbl>
      <w:tblPr>
        <w:tblStyle w:val="Table18"/>
        <w:tblW w:w="98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5"/>
        <w:gridCol w:w="4170"/>
        <w:gridCol w:w="1740"/>
        <w:gridCol w:w="1485"/>
        <w:gridCol w:w="1455"/>
        <w:gridCol w:w="105"/>
        <w:tblGridChange w:id="0">
          <w:tblGrid>
            <w:gridCol w:w="915"/>
            <w:gridCol w:w="4170"/>
            <w:gridCol w:w="1740"/>
            <w:gridCol w:w="1485"/>
            <w:gridCol w:w="1455"/>
            <w:gridCol w:w="105"/>
          </w:tblGrid>
        </w:tblGridChange>
      </w:tblGrid>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7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з/п</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7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Найменування оцінки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7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перший рік (стартовий рік впровадження регулювання)</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7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Періодичні (за наступний рік)</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7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Витрати за </w:t>
              <w:br w:type="textWrapping"/>
              <w:t xml:space="preserve">п’ять років</w:t>
            </w:r>
          </w:p>
        </w:tc>
      </w:tr>
      <w:tr>
        <w:trPr>
          <w:cantSplit w:val="0"/>
          <w:trHeight w:val="253" w:hRule="atLeast"/>
          <w:tblHeader w:val="0"/>
        </w:trPr>
        <w:tc>
          <w:tcPr>
            <w:gridSpan w:val="6"/>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7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Оцінка «прямих» витрат суб’єктів малого підприємництва на </w:t>
            </w:r>
          </w:p>
          <w:p w:rsidR="00000000" w:rsidDel="00000000" w:rsidP="00000000" w:rsidRDefault="00000000" w:rsidRPr="00000000" w14:paraId="0000017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виконання регулювання</w:t>
            </w:r>
          </w:p>
        </w:tc>
      </w:tr>
      <w:tr>
        <w:trPr>
          <w:cantSplit w:val="0"/>
          <w:trHeight w:val="68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7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7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Придбання необхідного обладнання (персонального комп’ютера або ноутбука), грн</w:t>
            </w:r>
          </w:p>
          <w:p w:rsidR="00000000" w:rsidDel="00000000" w:rsidP="00000000" w:rsidRDefault="00000000" w:rsidRPr="00000000" w14:paraId="0000017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Формула: </w:t>
              <w:br w:type="textWrapping"/>
              <w:t xml:space="preserve">кількість необхідних одиниць обладнання Х вартість одиниці</w:t>
            </w:r>
          </w:p>
          <w:p w:rsidR="00000000" w:rsidDel="00000000" w:rsidP="00000000" w:rsidRDefault="00000000" w:rsidRPr="00000000" w14:paraId="0000017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(із розрахунку 1 робоче місця (ПК або ноутбук) </w:t>
            </w:r>
            <w:r w:rsidDel="00000000" w:rsidR="00000000" w:rsidRPr="00000000">
              <w:rPr>
                <w:rFonts w:ascii="Times New Roman" w:cs="Times New Roman" w:eastAsia="Times New Roman" w:hAnsi="Times New Roman"/>
                <w:sz w:val="26"/>
                <w:szCs w:val="26"/>
                <w:rtl w:val="0"/>
              </w:rPr>
              <w:t xml:space="preserve">Х </w:t>
            </w:r>
            <w:r w:rsidDel="00000000" w:rsidR="00000000" w:rsidRPr="00000000">
              <w:rPr>
                <w:rFonts w:ascii="Times New Roman" w:cs="Times New Roman" w:eastAsia="Times New Roman" w:hAnsi="Times New Roman"/>
                <w:sz w:val="28"/>
                <w:szCs w:val="28"/>
                <w:rtl w:val="0"/>
              </w:rPr>
              <w:t xml:space="preserve">середня вартість ринку, грн</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8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8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8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rHeight w:val="68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8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8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Процедури повірки та/або постановки на відповідний облік у визначеному органі державної влади чи місцевого самоврядування (узгодження вимог до комплексних систем захисту інформації з підтвердженою відповідністю), грн</w:t>
            </w:r>
          </w:p>
          <w:p w:rsidR="00000000" w:rsidDel="00000000" w:rsidP="00000000" w:rsidRDefault="00000000" w:rsidRPr="00000000" w14:paraId="0000018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Формула:</w:t>
            </w:r>
          </w:p>
          <w:p w:rsidR="00000000" w:rsidDel="00000000" w:rsidP="00000000" w:rsidRDefault="00000000" w:rsidRPr="00000000" w14:paraId="0000018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Х оціночна кількість процедур обліку за рік (1)) Х кількість необхідних одиниць обладнання одному суб’єкту малого підприємництва (1)</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8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8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8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rHeight w:val="1972"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8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8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Процедури експлуатації обладнання (експлуатаційні витрати – витратні матеріали), грн</w:t>
              <w:br w:type="textWrapping"/>
              <w:t xml:space="preserve">Формула: </w:t>
              <w:br w:type="textWrapping"/>
              <w:t xml:space="preserve">оцінка витрат на експлуатацію обладнання (витратні матеріали та ресурси на одиницю обладнання на рік) Х кількість необхідних одиниць обладнання одному суб’єкту малого підприємництва</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8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8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8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rHeight w:val="1972"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8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9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Процедури обслуговування обладнання (технічне обслуговування), грн</w:t>
              <w:br w:type="textWrapping"/>
              <w:t xml:space="preserve">Формула: </w:t>
              <w:br w:type="textWrapping"/>
              <w:t xml:space="preserve">оцінка вартості 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9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9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9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9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9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Підтвердження відповідності комплексної системи захисту інформації </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9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9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9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rHeight w:val="672"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9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9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Разом, гривень</w:t>
              <w:br w:type="textWrapping"/>
              <w:t xml:space="preserve">Формула:</w:t>
              <w:br w:type="textWrapping"/>
              <w:t xml:space="preserve">(сума рядків 1 + 2 + 3 + 4 + 5)</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9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9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9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9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9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суб’єктів господарювання, що повинні виконати вимоги регулювання, одиниць</w:t>
            </w:r>
          </w:p>
        </w:tc>
        <w:tc>
          <w:tcPr>
            <w:gridSpan w:val="3"/>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A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26138</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A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A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Сумарно, гривень </w:t>
              <w:br w:type="textWrapping"/>
              <w:t xml:space="preserve">Формула: </w:t>
              <w:br w:type="textWrapping"/>
              <w:t xml:space="preserve">відповідний стовпчик «разом» Х  кількість суб’єктів малого підприємництва, що повинні виконати вимоги регулювання (рядок 6 Х рядок 7)</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A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A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A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rHeight w:val="558" w:hRule="atLeast"/>
          <w:tblHeader w:val="0"/>
        </w:trPr>
        <w:tc>
          <w:tcPr>
            <w:gridSpan w:val="6"/>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A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Оцінка вартості адміністративних процедур суб’єктів малого підприємництва щодо виконання регулювання та звітування</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A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AF">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Процедури отримання первинної інформації про вимоги регулювання 1 год. (час, який витрачається с/г на пошук нормативно-правового акту в мережі Інтернет та ознайомлення з ним) 1 год. х 48,00 грн. = 48,00 грн.</w:t>
            </w:r>
          </w:p>
          <w:p w:rsidR="00000000" w:rsidDel="00000000" w:rsidP="00000000" w:rsidRDefault="00000000" w:rsidRPr="00000000" w14:paraId="000001B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Процедури організації виконання вимог регулювання (діяльність щодо поширення вимог регулювання на всіх заінтересованих осіб в рамках закладу освіти здійснюється в межах посадових обов’язків педагогічних і науково-педагогічних працівників закладів освіти)</w:t>
            </w:r>
          </w:p>
          <w:p w:rsidR="00000000" w:rsidDel="00000000" w:rsidP="00000000" w:rsidRDefault="00000000" w:rsidRPr="00000000" w14:paraId="000001B1">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год х 48,00 грн. = 48,00 грн.</w:t>
            </w:r>
          </w:p>
          <w:p w:rsidR="00000000" w:rsidDel="00000000" w:rsidP="00000000" w:rsidRDefault="00000000" w:rsidRPr="00000000" w14:paraId="000001B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Для обрахунку: приймаємо за основу мінімальну заробітну плату, визначену у погодинному розмірі, що становить 48,00 грн/год відповідно до Закону України від 19 листопада 2024 року № 4059-IX «Про Державний бюджет України на 2025 рік»; 8-годинний робочий день; кількість працівників, що виконують вимоги регулювання – 1 особа.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B3">
            <w:pPr>
              <w:spacing w:after="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48,00 грн</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B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B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48,00 грн.</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B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B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Процедури організації виконання вимог регулювання (оформлення заяви на підключення (нові користувачі) або договору на обслуговування (поточні користувачі) </w:t>
              <w:br w:type="textWrapping"/>
              <w:t xml:space="preserve">Формула:</w:t>
              <w:br w:type="textWrapping"/>
              <w:t xml:space="preserve">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B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B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B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rHeight w:val="341"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B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B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Процедури офіційного звітування</w:t>
            </w:r>
          </w:p>
          <w:p w:rsidR="00000000" w:rsidDel="00000000" w:rsidP="00000000" w:rsidRDefault="00000000" w:rsidRPr="00000000" w14:paraId="000001B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Формула: </w:t>
            </w:r>
          </w:p>
          <w:p w:rsidR="00000000" w:rsidDel="00000000" w:rsidP="00000000" w:rsidRDefault="00000000" w:rsidRPr="00000000" w14:paraId="000001B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B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C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C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rHeight w:val="341"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C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C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Процедури щодо забезпечення процесу перевірок</w:t>
            </w:r>
          </w:p>
          <w:p w:rsidR="00000000" w:rsidDel="00000000" w:rsidP="00000000" w:rsidRDefault="00000000" w:rsidRPr="00000000" w14:paraId="000001C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Формула: </w:t>
            </w:r>
          </w:p>
          <w:p w:rsidR="00000000" w:rsidDel="00000000" w:rsidP="00000000" w:rsidRDefault="00000000" w:rsidRPr="00000000" w14:paraId="000001C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C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C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C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rHeight w:val="341"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C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C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Інші процедури</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C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C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C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C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C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Разом, гривень</w:t>
            </w:r>
          </w:p>
          <w:p w:rsidR="00000000" w:rsidDel="00000000" w:rsidP="00000000" w:rsidRDefault="00000000" w:rsidRPr="00000000" w14:paraId="000001D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Формула: </w:t>
            </w:r>
          </w:p>
          <w:p w:rsidR="00000000" w:rsidDel="00000000" w:rsidP="00000000" w:rsidRDefault="00000000" w:rsidRPr="00000000" w14:paraId="000001D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(сума рядків 9 + 10 + 11 + 12 + 13)</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D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1254624,00 грн.</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D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D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1254624,00 грн.</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D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D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суб’єктів малого підприємництва, що повинні виконати вимоги регулювання, одиниць</w:t>
            </w:r>
          </w:p>
        </w:tc>
        <w:tc>
          <w:tcPr>
            <w:gridSpan w:val="3"/>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D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26138</w:t>
            </w:r>
          </w:p>
          <w:p w:rsidR="00000000" w:rsidDel="00000000" w:rsidP="00000000" w:rsidRDefault="00000000" w:rsidRPr="00000000" w14:paraId="000001D8">
            <w:pPr>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D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DC">
            <w:pPr>
              <w:tabs>
                <w:tab w:val="center" w:leader="none" w:pos="4819"/>
                <w:tab w:val="right" w:leader="none" w:pos="9639"/>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Сумарно, гривень </w:t>
              <w:br w:type="textWrapping"/>
              <w:t xml:space="preserve">Формула: відповідний стовпчик “разом” Х кількість суб’єктів малого підприємництва, що повинні виконати вимоги регулювання (рядок 14 Х рядок 15)</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D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1254624,00 грн.</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D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D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1254624,00 грн.</w:t>
            </w:r>
          </w:p>
        </w:tc>
      </w:tr>
    </w:tbl>
    <w:p w:rsidR="00000000" w:rsidDel="00000000" w:rsidP="00000000" w:rsidRDefault="00000000" w:rsidRPr="00000000" w14:paraId="000001E0">
      <w:pPr>
        <w:spacing w:after="0" w:line="24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0"/>
          <w:szCs w:val="20"/>
          <w:rtl w:val="0"/>
        </w:rPr>
        <w:t xml:space="preserve">*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r w:rsidDel="00000000" w:rsidR="00000000" w:rsidRPr="00000000">
        <w:rPr>
          <w:rtl w:val="0"/>
        </w:rPr>
      </w:r>
    </w:p>
    <w:p w:rsidR="00000000" w:rsidDel="00000000" w:rsidP="00000000" w:rsidRDefault="00000000" w:rsidRPr="00000000" w14:paraId="000001E2">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3">
      <w:pPr>
        <w:spacing w:after="0" w:line="240" w:lineRule="auto"/>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Бюджетні витрати на адміністрування регулювання суб’єктів малого підприємництва</w:t>
      </w:r>
    </w:p>
    <w:p w:rsidR="00000000" w:rsidDel="00000000" w:rsidP="00000000" w:rsidRDefault="00000000" w:rsidRPr="00000000" w14:paraId="000001E4">
      <w:pP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tbl>
      <w:tblPr>
        <w:tblStyle w:val="Table19"/>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1126"/>
        <w:gridCol w:w="1494"/>
        <w:gridCol w:w="1295"/>
        <w:gridCol w:w="2122"/>
        <w:gridCol w:w="1753"/>
        <w:tblGridChange w:id="0">
          <w:tblGrid>
            <w:gridCol w:w="1838"/>
            <w:gridCol w:w="1126"/>
            <w:gridCol w:w="1494"/>
            <w:gridCol w:w="1295"/>
            <w:gridCol w:w="2122"/>
            <w:gridCol w:w="17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E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мікро-підприємництва)</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E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Планові витрати часу на процедуру</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E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Вартість часу співробітника органу державної влади відповідної категорії (заробітна плата)</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E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Оцінка кількості процедур за рік, що припадають на одного суб’єкта</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E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Оцінка кількості  суб’єктів, що підпадають під дію процедури регулювання</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1E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Витрати на адміністрування регулювання (за рік), гривень</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E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Облік суб’єкта господарювання, що перебуває у сфері регулювання *</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E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E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E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E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F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F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Поточний контроль за суб’єктом господарювання, що перебуває у сфері регулювання, у тому числі*:</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F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F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F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F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F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rHeight w:val="32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15.0" w:type="dxa"/>
              <w:right w:w="15.0" w:type="dxa"/>
            </w:tcMar>
          </w:tcPr>
          <w:p w:rsidR="00000000" w:rsidDel="00000000" w:rsidP="00000000" w:rsidRDefault="00000000" w:rsidRPr="00000000" w14:paraId="000001F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камеральні</w:t>
            </w:r>
          </w:p>
        </w:tc>
        <w:tc>
          <w:tcPr>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15.0" w:type="dxa"/>
              <w:right w:w="15.0" w:type="dxa"/>
            </w:tcMar>
          </w:tcPr>
          <w:p w:rsidR="00000000" w:rsidDel="00000000" w:rsidP="00000000" w:rsidRDefault="00000000" w:rsidRPr="00000000" w14:paraId="000001F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15.0" w:type="dxa"/>
              <w:right w:w="15.0" w:type="dxa"/>
            </w:tcMar>
          </w:tcPr>
          <w:p w:rsidR="00000000" w:rsidDel="00000000" w:rsidP="00000000" w:rsidRDefault="00000000" w:rsidRPr="00000000" w14:paraId="000001F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15.0" w:type="dxa"/>
              <w:right w:w="15.0" w:type="dxa"/>
            </w:tcMar>
          </w:tcPr>
          <w:p w:rsidR="00000000" w:rsidDel="00000000" w:rsidP="00000000" w:rsidRDefault="00000000" w:rsidRPr="00000000" w14:paraId="000001F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15.0" w:type="dxa"/>
              <w:right w:w="15.0" w:type="dxa"/>
            </w:tcMar>
          </w:tcPr>
          <w:p w:rsidR="00000000" w:rsidDel="00000000" w:rsidP="00000000" w:rsidRDefault="00000000" w:rsidRPr="00000000" w14:paraId="000001F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15.0" w:type="dxa"/>
              <w:right w:w="15.0" w:type="dxa"/>
            </w:tcMar>
          </w:tcPr>
          <w:p w:rsidR="00000000" w:rsidDel="00000000" w:rsidP="00000000" w:rsidRDefault="00000000" w:rsidRPr="00000000" w14:paraId="000001F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F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виїзні</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F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1F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0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0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0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0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Підготовка, затвердження та опрацювання одного окремого акта про порушення вимог регулювання </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0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0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15.0" w:type="dxa"/>
              <w:right w:w="15.0" w:type="dxa"/>
            </w:tcMar>
          </w:tcPr>
          <w:p w:rsidR="00000000" w:rsidDel="00000000" w:rsidP="00000000" w:rsidRDefault="00000000" w:rsidRPr="00000000" w14:paraId="0000020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15.0" w:type="dxa"/>
              <w:right w:w="15.0" w:type="dxa"/>
            </w:tcMar>
          </w:tcPr>
          <w:p w:rsidR="00000000" w:rsidDel="00000000" w:rsidP="00000000" w:rsidRDefault="00000000" w:rsidRPr="00000000" w14:paraId="0000020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15.0" w:type="dxa"/>
              <w:right w:w="15.0" w:type="dxa"/>
            </w:tcMar>
          </w:tcPr>
          <w:p w:rsidR="00000000" w:rsidDel="00000000" w:rsidP="00000000" w:rsidRDefault="00000000" w:rsidRPr="00000000" w14:paraId="0000020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0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Реалізація одного окремого рішення щодо порушення вимог регулювання (видання наказу (припису) про усунення порушень)</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0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0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0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0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0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0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Оскарження одного окремого рішення суб’єктами господарювання *</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1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1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1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1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1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1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Підготовка звітності за результатами регулювання</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1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1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1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1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1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rHeight w:val="2957"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1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Інші адміністративні процедури (уточнити): </w:t>
              <w:br w:type="textWrapping"/>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1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1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1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1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2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2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Разом за рік</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2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2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24">
            <w:pPr>
              <w:spacing w:after="0" w:line="240" w:lineRule="auto"/>
              <w:ind w:left="-60" w:right="-6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2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2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2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Сумарно за п’ять років, грн</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2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2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2A">
            <w:pPr>
              <w:spacing w:after="0" w:line="240" w:lineRule="auto"/>
              <w:ind w:left="-60" w:right="-6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2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22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bl>
    <w:p w:rsidR="00000000" w:rsidDel="00000000" w:rsidP="00000000" w:rsidRDefault="00000000" w:rsidRPr="00000000" w14:paraId="0000022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0"/>
          <w:szCs w:val="20"/>
          <w:rtl w:val="0"/>
        </w:rPr>
        <w:t xml:space="preserve">*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r w:rsidDel="00000000" w:rsidR="00000000" w:rsidRPr="00000000">
        <w:rPr>
          <w:rtl w:val="0"/>
        </w:rPr>
      </w:r>
    </w:p>
    <w:p w:rsidR="00000000" w:rsidDel="00000000" w:rsidP="00000000" w:rsidRDefault="00000000" w:rsidRPr="00000000" w14:paraId="0000022E">
      <w:pP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F">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Розрахунок сумарних витрат суб’єктів малого підприємництва, що виникають на виконання вимог регулювання</w:t>
      </w:r>
    </w:p>
    <w:tbl>
      <w:tblPr>
        <w:tblStyle w:val="Table20"/>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4"/>
        <w:gridCol w:w="4385"/>
        <w:gridCol w:w="2360"/>
        <w:gridCol w:w="2290"/>
        <w:tblGridChange w:id="0">
          <w:tblGrid>
            <w:gridCol w:w="594"/>
            <w:gridCol w:w="4385"/>
            <w:gridCol w:w="2360"/>
            <w:gridCol w:w="22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Показник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Перший рік регулювання (стартовий), грн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п’ять років, грн</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Оцінка «прямих» витрат суб’єктів малого підприємництва на виконання регулювання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Оцінка вартості адміністративних процедур для суб’єктів малого підприємництва щодо виконання регулювання та звітування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Сумарні витрати малого підприємництва на виконання запланованого регулювання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Бюджетні витрати на адміністрування регулювання суб’єктів малого підприємництва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Сумарні витрати на виконання запланованого регулювання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bl>
    <w:p w:rsidR="00000000" w:rsidDel="00000000" w:rsidP="00000000" w:rsidRDefault="00000000" w:rsidRPr="00000000" w14:paraId="00000248">
      <w:pPr>
        <w:spacing w:after="0" w:line="240" w:lineRule="auto"/>
        <w:ind w:firstLine="23"/>
        <w:jc w:val="both"/>
        <w:rPr>
          <w:rFonts w:ascii="Times New Roman" w:cs="Times New Roman" w:eastAsia="Times New Roman" w:hAnsi="Times New Roman"/>
          <w:sz w:val="28"/>
          <w:szCs w:val="28"/>
        </w:rPr>
      </w:pPr>
      <w:bookmarkStart w:colFirst="0" w:colLast="0" w:name="_heading=h.90yiy8s49id7" w:id="12"/>
      <w:bookmarkEnd w:id="12"/>
      <w:r w:rsidDel="00000000" w:rsidR="00000000" w:rsidRPr="00000000">
        <w:rPr>
          <w:rtl w:val="0"/>
        </w:rPr>
      </w:r>
    </w:p>
    <w:sectPr>
      <w:headerReference r:id="rId8" w:type="default"/>
      <w:pgSz w:h="16838" w:w="11906" w:orient="portrait"/>
      <w:pgMar w:bottom="1843" w:top="1134" w:left="1418" w:right="85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4">
    <w:name w:val="header"/>
    <w:basedOn w:val="a"/>
    <w:link w:val="a5"/>
    <w:uiPriority w:val="99"/>
    <w:unhideWhenUsed w:val="1"/>
    <w:rsid w:val="00DB5D77"/>
    <w:pPr>
      <w:tabs>
        <w:tab w:val="center" w:pos="4819"/>
        <w:tab w:val="right" w:pos="9639"/>
      </w:tabs>
      <w:spacing w:after="0" w:line="240" w:lineRule="auto"/>
    </w:pPr>
  </w:style>
  <w:style w:type="character" w:styleId="a5" w:customStyle="1">
    <w:name w:val="Верхній колонтитул Знак"/>
    <w:basedOn w:val="a0"/>
    <w:link w:val="a4"/>
    <w:uiPriority w:val="99"/>
    <w:rsid w:val="00DB5D77"/>
    <w:rPr>
      <w:rFonts w:ascii="Calibri" w:cs="Times New Roman" w:eastAsia="Calibri" w:hAnsi="Calibri"/>
    </w:rPr>
  </w:style>
  <w:style w:type="paragraph" w:styleId="rvps21" w:customStyle="1">
    <w:name w:val="rvps21"/>
    <w:basedOn w:val="a"/>
    <w:rsid w:val="00DB5D77"/>
    <w:pPr>
      <w:spacing w:after="125" w:line="240" w:lineRule="auto"/>
      <w:ind w:firstLine="376"/>
      <w:jc w:val="both"/>
    </w:pPr>
    <w:rPr>
      <w:rFonts w:ascii="Times New Roman" w:eastAsia="Times New Roman" w:hAnsi="Times New Roman"/>
      <w:sz w:val="24"/>
      <w:szCs w:val="24"/>
      <w:lang w:val="ru-RU"/>
    </w:rPr>
  </w:style>
  <w:style w:type="character" w:styleId="rvts0" w:customStyle="1">
    <w:name w:val="rvts0"/>
    <w:basedOn w:val="a0"/>
    <w:rsid w:val="00DB5D77"/>
  </w:style>
  <w:style w:type="paragraph" w:styleId="a6">
    <w:name w:val="footer"/>
    <w:basedOn w:val="a"/>
    <w:link w:val="a7"/>
    <w:uiPriority w:val="99"/>
    <w:unhideWhenUsed w:val="1"/>
    <w:rsid w:val="00B30EA7"/>
    <w:pPr>
      <w:tabs>
        <w:tab w:val="center" w:pos="4819"/>
        <w:tab w:val="right" w:pos="9639"/>
      </w:tabs>
      <w:spacing w:after="0" w:line="240" w:lineRule="auto"/>
    </w:pPr>
  </w:style>
  <w:style w:type="character" w:styleId="a7" w:customStyle="1">
    <w:name w:val="Нижній колонтитул Знак"/>
    <w:basedOn w:val="a0"/>
    <w:link w:val="a6"/>
    <w:uiPriority w:val="99"/>
    <w:rsid w:val="00B30EA7"/>
    <w:rPr>
      <w:rFonts w:ascii="Calibri" w:cs="Times New Roman" w:eastAsia="Calibri" w:hAnsi="Calibri"/>
    </w:rPr>
  </w:style>
  <w:style w:type="paragraph" w:styleId="a8">
    <w:name w:val="List Paragraph"/>
    <w:basedOn w:val="a"/>
    <w:uiPriority w:val="34"/>
    <w:qFormat w:val="1"/>
    <w:rsid w:val="00B30EA7"/>
    <w:pPr>
      <w:ind w:left="720"/>
      <w:contextualSpacing w:val="1"/>
    </w:pPr>
  </w:style>
  <w:style w:type="paragraph" w:styleId="a9">
    <w:name w:val="No Spacing"/>
    <w:uiPriority w:val="1"/>
    <w:qFormat w:val="1"/>
    <w:rsid w:val="00356774"/>
    <w:pPr>
      <w:spacing w:after="0" w:line="240" w:lineRule="auto"/>
    </w:pPr>
    <w:rPr>
      <w:rFonts w:cs="Times New Roman"/>
    </w:r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character" w:styleId="af9">
    <w:name w:val="annotation reference"/>
    <w:basedOn w:val="a0"/>
    <w:uiPriority w:val="99"/>
    <w:semiHidden w:val="1"/>
    <w:unhideWhenUsed w:val="1"/>
    <w:rsid w:val="002667D5"/>
    <w:rPr>
      <w:sz w:val="16"/>
      <w:szCs w:val="16"/>
    </w:rPr>
  </w:style>
  <w:style w:type="paragraph" w:styleId="afa">
    <w:name w:val="annotation text"/>
    <w:basedOn w:val="a"/>
    <w:link w:val="afb"/>
    <w:uiPriority w:val="99"/>
    <w:semiHidden w:val="1"/>
    <w:unhideWhenUsed w:val="1"/>
    <w:rsid w:val="002667D5"/>
    <w:pPr>
      <w:spacing w:line="240" w:lineRule="auto"/>
    </w:pPr>
    <w:rPr>
      <w:sz w:val="20"/>
      <w:szCs w:val="20"/>
    </w:rPr>
  </w:style>
  <w:style w:type="character" w:styleId="afb" w:customStyle="1">
    <w:name w:val="Текст примітки Знак"/>
    <w:basedOn w:val="a0"/>
    <w:link w:val="afa"/>
    <w:uiPriority w:val="99"/>
    <w:semiHidden w:val="1"/>
    <w:rsid w:val="002667D5"/>
    <w:rPr>
      <w:rFonts w:cs="Times New Roman"/>
      <w:sz w:val="20"/>
      <w:szCs w:val="20"/>
    </w:rPr>
  </w:style>
  <w:style w:type="paragraph" w:styleId="afc">
    <w:name w:val="annotation subject"/>
    <w:basedOn w:val="afa"/>
    <w:next w:val="afa"/>
    <w:link w:val="afd"/>
    <w:uiPriority w:val="99"/>
    <w:semiHidden w:val="1"/>
    <w:unhideWhenUsed w:val="1"/>
    <w:rsid w:val="002667D5"/>
    <w:rPr>
      <w:b w:val="1"/>
      <w:bCs w:val="1"/>
    </w:rPr>
  </w:style>
  <w:style w:type="character" w:styleId="afd" w:customStyle="1">
    <w:name w:val="Тема примітки Знак"/>
    <w:basedOn w:val="afb"/>
    <w:link w:val="afc"/>
    <w:uiPriority w:val="99"/>
    <w:semiHidden w:val="1"/>
    <w:rsid w:val="002667D5"/>
    <w:rPr>
      <w:rFonts w:cs="Times New Roman"/>
      <w:b w:val="1"/>
      <w:bCs w:val="1"/>
      <w:sz w:val="20"/>
      <w:szCs w:val="20"/>
    </w:rPr>
  </w:style>
  <w:style w:type="paragraph" w:styleId="afe">
    <w:name w:val="Balloon Text"/>
    <w:basedOn w:val="a"/>
    <w:link w:val="aff"/>
    <w:uiPriority w:val="99"/>
    <w:semiHidden w:val="1"/>
    <w:unhideWhenUsed w:val="1"/>
    <w:rsid w:val="002667D5"/>
    <w:pPr>
      <w:spacing w:after="0" w:line="240" w:lineRule="auto"/>
    </w:pPr>
    <w:rPr>
      <w:rFonts w:ascii="Segoe UI" w:cs="Segoe UI" w:hAnsi="Segoe UI"/>
      <w:sz w:val="18"/>
      <w:szCs w:val="18"/>
    </w:rPr>
  </w:style>
  <w:style w:type="character" w:styleId="aff" w:customStyle="1">
    <w:name w:val="Текст у виносці Знак"/>
    <w:basedOn w:val="a0"/>
    <w:link w:val="afe"/>
    <w:uiPriority w:val="99"/>
    <w:semiHidden w:val="1"/>
    <w:rsid w:val="002667D5"/>
    <w:rPr>
      <w:rFonts w:ascii="Segoe UI" w:cs="Segoe UI" w:hAnsi="Segoe UI"/>
      <w:sz w:val="18"/>
      <w:szCs w:val="18"/>
    </w:rPr>
  </w:style>
  <w:style w:type="table" w:styleId="aff0">
    <w:name w:val="Table Grid"/>
    <w:basedOn w:val="a1"/>
    <w:uiPriority w:val="39"/>
    <w:rsid w:val="002803A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ff1">
    <w:name w:val="Hyperlink"/>
    <w:basedOn w:val="a0"/>
    <w:uiPriority w:val="99"/>
    <w:unhideWhenUsed w:val="1"/>
    <w:rsid w:val="00C671FA"/>
    <w:rPr>
      <w:color w:val="0563c1"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10.0" w:type="dxa"/>
        <w:left w:w="10.0" w:type="dxa"/>
        <w:bottom w:w="10.0" w:type="dxa"/>
        <w:right w:w="10.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mon.gov.ua" TargetMode="Externa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tekViV9zx/60RNFVpH6pwE/Bkg==">CgMxLjAyDmguNDBuenBhb29kaWt5Mg5oLjFpbThsMWVpaTg4cjIOaC5seXp6OWRubWdlZ2IyDmguY2RwanR4bHNrMmhlMg5oLnM1cjdva3czYXk1MjIOaC42aHoxMXE1cmozaGsyDmguNGdjbnJ1YjNtdThuMg5oLmlyeTFydnVvNGNiYjIOaC5wbnQ3aTZ5aWs2MW4yEGtpeC4yMmxxOGExbXk3NWwyEGtpeC5haHZhaXZ0emZmYncyEGtpeC52N3g0NGczbjZ5dGoyDmguOTB5aXk4czQ5aWQ3OAByITFUdWtTNjdRelRWMGlmM1ZWN1ZFZzl6Ui03UHVURjZL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2025-06-23T13:31:00Z</dcterms:created>
  <dc:creator>Токар Олег Володимирович</dc:creator>
</cp:coreProperties>
</file>