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АНАЛІЗ РЕГУЛЯТОРНОГО ВПЛИВУ</w:t>
      </w:r>
    </w:p>
    <w:p w:rsidR="00AF149D" w:rsidRPr="00B32392" w:rsidRDefault="00124845"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до проєкту Закону України </w:t>
      </w:r>
      <w:r w:rsidR="00716C69" w:rsidRPr="00B32392">
        <w:rPr>
          <w:rFonts w:ascii="Times New Roman" w:eastAsia="Times New Roman" w:hAnsi="Times New Roman" w:cs="Times New Roman"/>
          <w:b/>
          <w:sz w:val="28"/>
          <w:szCs w:val="28"/>
        </w:rPr>
        <w:t>«Про внесення змін до Закону України «Про пріоритетність соціального розвитку села та агропромислового комплексу в народному господарстві»</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b/>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 Визначення проблеми</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sz w:val="28"/>
          <w:szCs w:val="28"/>
        </w:rPr>
      </w:pPr>
    </w:p>
    <w:p w:rsidR="002D7622" w:rsidRPr="00B32392" w:rsidRDefault="00716C69" w:rsidP="00C60A7D">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Чинна редакція розділу VI Закону України «Про пріоритетність соціального розвитку села та агропромислового комплексу в народному господарстві» </w:t>
      </w:r>
      <w:r w:rsidR="00C60A7D" w:rsidRPr="00B32392">
        <w:rPr>
          <w:rFonts w:ascii="Times New Roman" w:eastAsia="Times New Roman" w:hAnsi="Times New Roman" w:cs="Times New Roman"/>
          <w:sz w:val="28"/>
          <w:szCs w:val="28"/>
        </w:rPr>
        <w:t xml:space="preserve">містить застарілі положення, що мають декларативний характер та потенційно створюють корупційні ризики через їхню нечіткість. </w:t>
      </w:r>
      <w:r w:rsidR="002D7622" w:rsidRPr="00B32392">
        <w:rPr>
          <w:rFonts w:ascii="Times New Roman" w:eastAsia="Times New Roman" w:hAnsi="Times New Roman" w:cs="Times New Roman"/>
          <w:sz w:val="28"/>
          <w:szCs w:val="28"/>
        </w:rPr>
        <w:t>Масштаби проблеми є с</w:t>
      </w:r>
      <w:r w:rsidR="009850D3" w:rsidRPr="00B32392">
        <w:rPr>
          <w:rFonts w:ascii="Times New Roman" w:eastAsia="Times New Roman" w:hAnsi="Times New Roman" w:cs="Times New Roman"/>
          <w:sz w:val="28"/>
          <w:szCs w:val="28"/>
        </w:rPr>
        <w:t>уттєвими</w:t>
      </w:r>
      <w:r w:rsidR="002D7622" w:rsidRPr="00B32392">
        <w:rPr>
          <w:rFonts w:ascii="Times New Roman" w:eastAsia="Times New Roman" w:hAnsi="Times New Roman" w:cs="Times New Roman"/>
          <w:sz w:val="28"/>
          <w:szCs w:val="28"/>
        </w:rPr>
        <w:t>, оскільки чинні положення розділу VI Закону зачіпають підходи до формування державної політики у сферах освіти та науки</w:t>
      </w:r>
      <w:r w:rsidR="009850D3" w:rsidRPr="00B32392">
        <w:rPr>
          <w:rFonts w:ascii="Times New Roman" w:eastAsia="Times New Roman" w:hAnsi="Times New Roman" w:cs="Times New Roman"/>
          <w:sz w:val="28"/>
          <w:szCs w:val="28"/>
        </w:rPr>
        <w:t>. П</w:t>
      </w:r>
      <w:r w:rsidR="002D7622" w:rsidRPr="00B32392">
        <w:rPr>
          <w:rFonts w:ascii="Times New Roman" w:eastAsia="Times New Roman" w:hAnsi="Times New Roman" w:cs="Times New Roman"/>
          <w:sz w:val="28"/>
          <w:szCs w:val="28"/>
        </w:rPr>
        <w:t>оложення щодо встановлення квот на вступ сільської молоді втратили практичну значущість, не застосовуються на практиці та не відповідають чинним інструментам вступної кампанії.</w:t>
      </w:r>
      <w:r w:rsidR="009850D3" w:rsidRPr="00B32392">
        <w:rPr>
          <w:rFonts w:ascii="Times New Roman" w:eastAsia="Times New Roman" w:hAnsi="Times New Roman" w:cs="Times New Roman"/>
          <w:sz w:val="28"/>
          <w:szCs w:val="28"/>
        </w:rPr>
        <w:t xml:space="preserve"> Наявність таких застарілих норм у законодавстві зумовлює нормативну фрагментацію, ускладнює правозастосування, створює ризики неоднозначного тлумачення відповідними органами та не відповідає принципам належного державного регулювання. Усунення вказаних положень дозволить забезпечити узгодженість правового поля, зменшити регуляторне навантаження та підвищити прозорість нормотворчого процесу.</w:t>
      </w:r>
    </w:p>
    <w:p w:rsidR="00C60A7D" w:rsidRPr="00B32392" w:rsidRDefault="00C60A7D" w:rsidP="00C60A7D">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Зокрема, норма, викладена у частині другій статті 21 цього Закону, фактично дублює положення статті 48 Закону України «Про наукову і науково-технічну діяльність», яка чітко врегульовує питання фінансового забезпечення наукової та науково-технічної діяльності. Згідно з вказаною нормою, таке фінансування здійснюється за рахунок державного бюджету, коштів установ, організацій, підприємств, грантів, а також інших джерел, не заборонених законодавством.</w:t>
      </w:r>
    </w:p>
    <w:p w:rsidR="00C60A7D" w:rsidRPr="00B32392" w:rsidRDefault="00C60A7D" w:rsidP="00C60A7D">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Водночас норма щодо встановлення квоти прийому сільської молоді до закладів професійної (професійно-технічної) освіти наразі чинним законодавством не передбачена. Відповідно до статті 50 Закону України «Про професійну (професійно-технічну) освіту», фінансування професійної підготовки кваліфікованих робітників, перепідготовки, підвищення кваліфікації, а також соціальний захист здобувачів освіти і педагогічних працівників у державних та комунальних закладах професійної освіти здійснюються в межах державного та/або регіонального замовлення за рахунок коштів державного або місцевих бюджетів. Формування такого замовлення передбачає участь роботодавців: заклади подають свої пропозиції відповідно до укладених з ними договорів (пункт 8 Методичних рекомендацій, схвалених розпорядженням Кабінету Міністрів України від 14 грудня 2016 року № 994).</w:t>
      </w:r>
    </w:p>
    <w:p w:rsidR="00C60A7D" w:rsidRPr="00B32392" w:rsidRDefault="00C60A7D" w:rsidP="00C60A7D">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Починаючи з 2016 року, у межах Закону України «Про вищу освіту» (№ 1556-VII) запроваджено систему квот для окремих категорій вступників. Зокрема, участь у конкурсі в межах встановлених квот мають право брати діти-</w:t>
      </w:r>
      <w:r w:rsidRPr="00B32392">
        <w:rPr>
          <w:rFonts w:ascii="Times New Roman" w:eastAsia="Times New Roman" w:hAnsi="Times New Roman" w:cs="Times New Roman"/>
          <w:sz w:val="28"/>
          <w:szCs w:val="28"/>
        </w:rPr>
        <w:lastRenderedPageBreak/>
        <w:t>сироти, діти, позбавлені батьківського піклування, особи з інвалідністю, учасники бойових дій, військовослужбовці тощо. Крім того, відповідно до частини третьої статті 44 цього Закону (у редакції від 2016 року, Закон № 1662-VIII), особи, які уклали угоду про трирічне відпрацювання в сільській місцевості чи селищі міського типу, мають право на першочергове зарахування на місця державного або регіонального замовлення за медичними, мистецькими та педагогічними спеціальностями. Такий підхід є більш адресним, дієвим та цілеспрямованим засобом залучення фахівців до сільських територій.</w:t>
      </w:r>
    </w:p>
    <w:p w:rsidR="00C60A7D" w:rsidRPr="00B32392" w:rsidRDefault="00C60A7D" w:rsidP="00C60A7D">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До 2022 року Умови прийому до закладів вищої освіти також передбачали застосування підвищеного сільського коефіцієнта для вступників, які закінчили навчання у сільських закладах освіти. Проте після початку повномасштабної збройної агресії змінилась структура вступників та їх регіональна приналежність, що зумовило потребу у більш гнучких механізмах підтримки осіб з тимчасово окупованих територій, територій бойових дій тощо.</w:t>
      </w:r>
    </w:p>
    <w:p w:rsidR="00AF149D" w:rsidRPr="00B32392" w:rsidRDefault="00C60A7D" w:rsidP="00C60A7D">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Таким чином, положення статті 22 розділу VI Закону України «Про пріоритетність соціального розвитку села та агропромислового комплексу в народному господарстві» втратили актуальність, не відповідають чинному законодавству та не узгоджуються з існуючими нормативно-правовими актами у сфері освіти та науки.</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D747E3" w:rsidP="00D747E3">
      <w:pPr>
        <w:shd w:val="clear" w:color="auto" w:fill="FFFFFF"/>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Основні групи (підгрупи), на які проблема справляє вплив</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b/>
          <w:sz w:val="28"/>
          <w:szCs w:val="28"/>
        </w:rPr>
      </w:pPr>
    </w:p>
    <w:tbl>
      <w:tblPr>
        <w:tblStyle w:val="a5"/>
        <w:tblW w:w="9639" w:type="dxa"/>
        <w:tblInd w:w="0" w:type="dxa"/>
        <w:tblLayout w:type="fixed"/>
        <w:tblLook w:val="0400" w:firstRow="0" w:lastRow="0" w:firstColumn="0" w:lastColumn="0" w:noHBand="0" w:noVBand="1"/>
      </w:tblPr>
      <w:tblGrid>
        <w:gridCol w:w="4381"/>
        <w:gridCol w:w="2823"/>
        <w:gridCol w:w="2435"/>
      </w:tblGrid>
      <w:tr w:rsidR="00D747E3" w:rsidRPr="00B32392">
        <w:tc>
          <w:tcPr>
            <w:tcW w:w="4381"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ind w:firstLine="709"/>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Групи (підгрупи)</w:t>
            </w:r>
          </w:p>
        </w:tc>
        <w:tc>
          <w:tcPr>
            <w:tcW w:w="2823"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Так</w:t>
            </w:r>
          </w:p>
        </w:tc>
        <w:tc>
          <w:tcPr>
            <w:tcW w:w="2435"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Ні</w:t>
            </w:r>
          </w:p>
        </w:tc>
      </w:tr>
      <w:tr w:rsidR="00D747E3" w:rsidRPr="00B32392">
        <w:tc>
          <w:tcPr>
            <w:tcW w:w="4381"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Громадяни</w:t>
            </w:r>
          </w:p>
        </w:tc>
        <w:tc>
          <w:tcPr>
            <w:tcW w:w="2823"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Держава</w:t>
            </w:r>
          </w:p>
        </w:tc>
        <w:tc>
          <w:tcPr>
            <w:tcW w:w="282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Суб’єкти господарювання,</w:t>
            </w:r>
          </w:p>
        </w:tc>
        <w:tc>
          <w:tcPr>
            <w:tcW w:w="282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r w:rsidR="00D747E3" w:rsidRPr="00B32392">
        <w:tc>
          <w:tcPr>
            <w:tcW w:w="438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у тому числі суб’єкти малого підприємництва*</w:t>
            </w:r>
          </w:p>
        </w:tc>
        <w:tc>
          <w:tcPr>
            <w:tcW w:w="282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c>
          <w:tcPr>
            <w:tcW w:w="24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ind w:hanging="7"/>
              <w:jc w:val="center"/>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w:t>
            </w:r>
          </w:p>
        </w:tc>
      </w:tr>
    </w:tbl>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b/>
          <w:sz w:val="28"/>
          <w:szCs w:val="28"/>
        </w:rPr>
        <w:t xml:space="preserve">Обґрунтування неможливості вирішення проблеми за допомогою ринкових механізмів: </w:t>
      </w:r>
      <w:r w:rsidRPr="00B32392">
        <w:rPr>
          <w:rFonts w:ascii="Times New Roman" w:eastAsia="Times New Roman" w:hAnsi="Times New Roman" w:cs="Times New Roman"/>
          <w:sz w:val="28"/>
          <w:szCs w:val="28"/>
        </w:rPr>
        <w:t xml:space="preserve">Проблема, яка потребує врегулювання, не може бути розв’язана за допомогою ринкових механізмів з огляду на її системний, нормативно-правовий характер, зокрема, в забезпеченні уніфікованої вимоги до організаційних або процедурних аспектів, що визначаються публічними інтересами та регулюються виключно державою. Проте підходи до прийому на навчання для здобуття професійної (професійно-технічної) та вищої освіти повинні бути узгодженими й уніфікованими задля забезпечення рівного доступу до освіти. Окрім цього, відсутність єдиного підходу до врегулювання зазначеного питання створює ризики неоднакового трактування чинних положень, що, у свою чергу, призводить до правової невизначеності для суб’єктів правовідносин. Таким чином, лише внесення змін до відповідного нормативно-правового акта дозволить забезпечити правову визначеність, </w:t>
      </w:r>
      <w:r w:rsidRPr="00B32392">
        <w:rPr>
          <w:rFonts w:ascii="Times New Roman" w:eastAsia="Times New Roman" w:hAnsi="Times New Roman" w:cs="Times New Roman"/>
          <w:sz w:val="28"/>
          <w:szCs w:val="28"/>
        </w:rPr>
        <w:lastRenderedPageBreak/>
        <w:t>знизити адміністративне навантаження та усунути дублювання чи неузгодженість положень чинного законодавства.</w:t>
      </w:r>
    </w:p>
    <w:p w:rsidR="00AF149D" w:rsidRPr="00B32392" w:rsidRDefault="00AF149D" w:rsidP="009850D3">
      <w:pPr>
        <w:shd w:val="clear" w:color="auto" w:fill="FFFFFF"/>
        <w:tabs>
          <w:tab w:val="left" w:pos="5760"/>
        </w:tabs>
        <w:spacing w:after="0" w:line="240" w:lineRule="auto"/>
        <w:ind w:firstLine="709"/>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II. Цілі державного регулювання</w:t>
      </w:r>
    </w:p>
    <w:p w:rsidR="00D747E3" w:rsidRPr="00B32392" w:rsidRDefault="00D747E3" w:rsidP="00D747E3">
      <w:pPr>
        <w:shd w:val="clear" w:color="auto" w:fill="FFFFFF"/>
        <w:spacing w:after="0" w:line="240" w:lineRule="auto"/>
        <w:jc w:val="center"/>
        <w:rPr>
          <w:rFonts w:ascii="Times New Roman" w:eastAsia="Times New Roman" w:hAnsi="Times New Roman" w:cs="Times New Roman"/>
          <w:sz w:val="28"/>
          <w:szCs w:val="28"/>
        </w:rPr>
      </w:pPr>
    </w:p>
    <w:p w:rsidR="00AF149D" w:rsidRPr="00B32392" w:rsidRDefault="00716C69" w:rsidP="00C12D7F">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Проєкт Закону </w:t>
      </w:r>
      <w:r w:rsidR="00C12D7F" w:rsidRPr="00B32392">
        <w:rPr>
          <w:rFonts w:ascii="Times New Roman" w:eastAsia="Times New Roman" w:hAnsi="Times New Roman" w:cs="Times New Roman"/>
          <w:sz w:val="28"/>
          <w:szCs w:val="28"/>
        </w:rPr>
        <w:t>спрямований на усунення застарілих норм, які не відповідають чинному законодавству України, а також виключення положень, які створюють корупційні ризики та перешкоджають ефективному державному управлінню у сфері науки та освіти</w:t>
      </w:r>
      <w:r w:rsidRPr="00B32392">
        <w:rPr>
          <w:rFonts w:ascii="Times New Roman" w:eastAsia="Times New Roman" w:hAnsi="Times New Roman" w:cs="Times New Roman"/>
          <w:sz w:val="28"/>
          <w:szCs w:val="28"/>
        </w:rPr>
        <w:t>.</w:t>
      </w:r>
    </w:p>
    <w:p w:rsidR="009850D3" w:rsidRPr="00B32392" w:rsidRDefault="009850D3"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Основними цілями проєкту Закону України: </w:t>
      </w:r>
    </w:p>
    <w:p w:rsidR="009850D3" w:rsidRPr="00B32392" w:rsidRDefault="009850D3"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скасувати положення розділу VI Закону України «Про пріоритетність соціального розвитку села та агропромислового комплексу в народному господарстві», які не узгоджуються з чинним законодавством у сферах освіти, науки та оподаткування, та включити оновлену норму до розділу V Закону;</w:t>
      </w:r>
    </w:p>
    <w:p w:rsidR="009850D3" w:rsidRPr="00B32392" w:rsidRDefault="009850D3" w:rsidP="009850D3">
      <w:pPr>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усунути щонайменше одну нормативну колізію (розділ VI у частині квот, фінансування та пільг) і забезпечити гармонізацію із принаймні трьома чинними законами: «Про вищу освіту», «Про професійну (професійно-технічну) освіту», «Про наукову і науково-технічну діяльність»;</w:t>
      </w:r>
    </w:p>
    <w:p w:rsidR="009850D3" w:rsidRPr="00B32392" w:rsidRDefault="009850D3" w:rsidP="009850D3">
      <w:pPr>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досягти результату шляхом внесення змін до одного закону, не створюючи додаткового адміністративного чи фінансового навантаження на суб’єктів правовідносин;</w:t>
      </w:r>
    </w:p>
    <w:p w:rsidR="00861A5A" w:rsidRDefault="009850D3" w:rsidP="00861A5A">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відповідати положенням Державної антикорупційної програми на 2023–2025 роки (зокрема заходу 2.7.6.1.3)</w:t>
      </w:r>
      <w:r w:rsidR="00124845" w:rsidRPr="00B32392">
        <w:rPr>
          <w:rFonts w:ascii="Times New Roman" w:eastAsia="Times New Roman" w:hAnsi="Times New Roman" w:cs="Times New Roman"/>
          <w:sz w:val="28"/>
          <w:szCs w:val="28"/>
        </w:rPr>
        <w:t xml:space="preserve">, </w:t>
      </w:r>
      <w:r w:rsidR="00C12D7F" w:rsidRPr="00B32392">
        <w:rPr>
          <w:rFonts w:ascii="Times New Roman" w:eastAsia="Times New Roman" w:hAnsi="Times New Roman" w:cs="Times New Roman"/>
          <w:sz w:val="28"/>
          <w:szCs w:val="28"/>
        </w:rPr>
        <w:t>затвердженої постановою Кабінету Міністрів України від 4 березня 2023 року № 220</w:t>
      </w:r>
      <w:r w:rsidRPr="00B32392">
        <w:rPr>
          <w:rFonts w:ascii="Times New Roman" w:eastAsia="Times New Roman" w:hAnsi="Times New Roman" w:cs="Times New Roman"/>
          <w:sz w:val="28"/>
          <w:szCs w:val="28"/>
        </w:rPr>
        <w:t>, а також потребам уніфікації норм права та зниженню ризиків корупційних зловживань через правову невизначеність</w:t>
      </w:r>
      <w:r w:rsidR="00861A5A">
        <w:rPr>
          <w:rFonts w:ascii="Times New Roman" w:eastAsia="Times New Roman" w:hAnsi="Times New Roman" w:cs="Times New Roman"/>
          <w:sz w:val="28"/>
          <w:szCs w:val="28"/>
        </w:rPr>
        <w:t>.</w:t>
      </w:r>
    </w:p>
    <w:p w:rsidR="00861A5A" w:rsidRPr="00B32392" w:rsidRDefault="00861A5A" w:rsidP="00861A5A">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Основні положення:</w:t>
      </w:r>
    </w:p>
    <w:p w:rsidR="00861A5A" w:rsidRPr="00B32392" w:rsidRDefault="00861A5A" w:rsidP="00861A5A">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вилучення застарілих норм щодо науково-кадрового забезпечення, які не відповідають чинному законодавству;</w:t>
      </w:r>
    </w:p>
    <w:p w:rsidR="00861A5A" w:rsidRPr="00B32392" w:rsidRDefault="00861A5A" w:rsidP="00861A5A">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забезпечення узгодження законодавства у сфері агропромислового комплексу з нормами Податкового кодексу України, Законів України «Про вищу освіту», «Про професійну (професійно-технічну) освіту», «Про наукову і науково-технічну діяльність» та іншими відповідними актами.</w:t>
      </w:r>
    </w:p>
    <w:p w:rsidR="00AF149D" w:rsidRPr="00B32392" w:rsidRDefault="00AF149D" w:rsidP="009850D3">
      <w:pPr>
        <w:shd w:val="clear" w:color="auto" w:fill="FFFFFF"/>
        <w:spacing w:after="0" w:line="240" w:lineRule="auto"/>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jc w:val="center"/>
        <w:rPr>
          <w:rFonts w:ascii="Times New Roman" w:eastAsia="Times New Roman" w:hAnsi="Times New Roman" w:cs="Times New Roman"/>
          <w:sz w:val="28"/>
          <w:szCs w:val="28"/>
        </w:rPr>
      </w:pPr>
      <w:r w:rsidRPr="00B32392">
        <w:rPr>
          <w:rFonts w:ascii="Times New Roman" w:eastAsia="Times New Roman" w:hAnsi="Times New Roman" w:cs="Times New Roman"/>
          <w:b/>
          <w:sz w:val="28"/>
          <w:szCs w:val="28"/>
        </w:rPr>
        <w:t>III. Визначення та оцінка альтернативних способів досягнення цілей</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1. Визначення альтернативних способів</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6"/>
        <w:tblW w:w="9639" w:type="dxa"/>
        <w:jc w:val="center"/>
        <w:tblInd w:w="0" w:type="dxa"/>
        <w:tblLayout w:type="fixed"/>
        <w:tblLook w:val="0400" w:firstRow="0" w:lastRow="0" w:firstColumn="0" w:lastColumn="0" w:noHBand="0" w:noVBand="1"/>
      </w:tblPr>
      <w:tblGrid>
        <w:gridCol w:w="2824"/>
        <w:gridCol w:w="6815"/>
      </w:tblGrid>
      <w:tr w:rsidR="00D747E3" w:rsidRPr="00B32392">
        <w:trPr>
          <w:jc w:val="center"/>
        </w:trPr>
        <w:tc>
          <w:tcPr>
            <w:tcW w:w="2824"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6815"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Опис альтернативи</w:t>
            </w:r>
          </w:p>
        </w:tc>
      </w:tr>
      <w:tr w:rsidR="00D747E3" w:rsidRPr="00B32392">
        <w:trPr>
          <w:trHeight w:val="896"/>
          <w:jc w:val="center"/>
        </w:trPr>
        <w:tc>
          <w:tcPr>
            <w:tcW w:w="2824"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p w:rsidR="00124845" w:rsidRPr="00B32392" w:rsidRDefault="00124845"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(збереження чинного регулювання)</w:t>
            </w:r>
          </w:p>
        </w:tc>
        <w:tc>
          <w:tcPr>
            <w:tcW w:w="6815" w:type="dxa"/>
            <w:tcBorders>
              <w:top w:val="single" w:sz="6" w:space="0" w:color="000000"/>
              <w:left w:val="single" w:sz="4" w:space="0" w:color="000000"/>
              <w:bottom w:val="single" w:sz="4" w:space="0" w:color="000000"/>
              <w:right w:val="single" w:sz="4" w:space="0" w:color="000000"/>
            </w:tcBorders>
          </w:tcPr>
          <w:p w:rsidR="00AF149D" w:rsidRPr="00B32392" w:rsidRDefault="009850D3" w:rsidP="00861A5A">
            <w:pPr>
              <w:spacing w:after="0" w:line="240" w:lineRule="auto"/>
              <w:jc w:val="both"/>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Збереження чинної редакції Закону без унесення змін призведе до збереження застарілих, неактуальних та неузгоджених із чинним законодавством норм. Зокрема, положення щодо квот для сільської молоді, податкових пільг на нововведення та </w:t>
            </w:r>
            <w:r w:rsidRPr="00B32392">
              <w:rPr>
                <w:rFonts w:ascii="Times New Roman" w:eastAsia="Times New Roman" w:hAnsi="Times New Roman" w:cs="Times New Roman"/>
                <w:sz w:val="24"/>
                <w:szCs w:val="28"/>
              </w:rPr>
              <w:lastRenderedPageBreak/>
              <w:t>фінансування досліджень дублюють або суперечать нормам інших спеціальних законів і не застосовуються на практиці. Такий підхід зберігає правову невизначеність, створює ризики різночитань, породжує колізії в нормативному полі та не відповідає положенням Державної антикорупційної програми на 2023–2025 роки. Утримання від внесення змін також не дозволяє впорядкувати розподіл повноважень між органами влади та уникнути дублювання фінансових і кадрових механізмів у межах освітньої та наукової політики.</w:t>
            </w:r>
          </w:p>
        </w:tc>
      </w:tr>
      <w:tr w:rsidR="00D747E3" w:rsidRPr="00B32392">
        <w:trPr>
          <w:jc w:val="center"/>
        </w:trPr>
        <w:tc>
          <w:tcPr>
            <w:tcW w:w="2824"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p w:rsidR="00124845" w:rsidRPr="00B32392" w:rsidRDefault="00124845"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(прийняття регуляторного акта)</w:t>
            </w:r>
          </w:p>
        </w:tc>
        <w:tc>
          <w:tcPr>
            <w:tcW w:w="6815" w:type="dxa"/>
            <w:tcBorders>
              <w:top w:val="single" w:sz="4" w:space="0" w:color="000000"/>
              <w:left w:val="single" w:sz="4" w:space="0" w:color="000000"/>
              <w:bottom w:val="single" w:sz="4" w:space="0" w:color="000000"/>
              <w:right w:val="single" w:sz="4" w:space="0" w:color="000000"/>
            </w:tcBorders>
          </w:tcPr>
          <w:p w:rsidR="00AF149D" w:rsidRPr="00B32392" w:rsidRDefault="009850D3" w:rsidP="00861A5A">
            <w:pPr>
              <w:spacing w:after="0" w:line="240" w:lineRule="auto"/>
              <w:jc w:val="both"/>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Запропонований проєкт Закону передбачає виключення розділу VI, який містить застарілі та нефункціональні норми, а також доповнення розділу V оновленою статтею 21, узгодженою із Законом України «Про наукову і науково-технічну діяльність» та іншими актами. Реалізація цієї альтернативи дозволить гармонізувати законодавство, усунути дублювання та колізії, підвищити юридичну визначеність і ефективність правозастосування. Вона сприятиме прозорості нормотворчого процесу, мінімізації корупційних ризиків та забезпечить приведення законодавчого акта у відповідність із сучасними підходами до державного управління у сфері освіти і науки. Такий підхід не потребує додаткових бюджетних витрат і є оптимальним з точки зору регуляторного впливу.</w:t>
            </w:r>
          </w:p>
        </w:tc>
      </w:tr>
    </w:tbl>
    <w:p w:rsidR="00D747E3" w:rsidRPr="00B32392" w:rsidRDefault="00D747E3" w:rsidP="00D747E3">
      <w:pPr>
        <w:shd w:val="clear" w:color="auto" w:fill="FFFFFF"/>
        <w:spacing w:after="0" w:line="240" w:lineRule="auto"/>
        <w:ind w:firstLine="709"/>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2. Оцінка вибраних альтернативних способів досягнення цілей</w:t>
      </w:r>
    </w:p>
    <w:p w:rsidR="00124845" w:rsidRPr="00B32392" w:rsidRDefault="00C12D7F"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Оцінка впливу на сферу інтересів держави</w:t>
      </w:r>
    </w:p>
    <w:p w:rsidR="00C12D7F" w:rsidRPr="00B32392" w:rsidRDefault="00C12D7F" w:rsidP="00D747E3">
      <w:pPr>
        <w:shd w:val="clear" w:color="auto" w:fill="FFFFFF"/>
        <w:spacing w:after="0" w:line="240" w:lineRule="auto"/>
        <w:ind w:firstLine="709"/>
        <w:jc w:val="both"/>
        <w:rPr>
          <w:rFonts w:ascii="Times New Roman" w:eastAsia="Times New Roman" w:hAnsi="Times New Roman" w:cs="Times New Roman"/>
          <w:sz w:val="28"/>
          <w:szCs w:val="28"/>
        </w:rPr>
      </w:pPr>
    </w:p>
    <w:tbl>
      <w:tblPr>
        <w:tblStyle w:val="a7"/>
        <w:tblW w:w="9639" w:type="dxa"/>
        <w:tblInd w:w="0" w:type="dxa"/>
        <w:tblLayout w:type="fixed"/>
        <w:tblLook w:val="0400" w:firstRow="0" w:lastRow="0" w:firstColumn="0" w:lastColumn="0" w:noHBand="0" w:noVBand="1"/>
      </w:tblPr>
      <w:tblGrid>
        <w:gridCol w:w="3235"/>
        <w:gridCol w:w="2577"/>
        <w:gridCol w:w="3827"/>
      </w:tblGrid>
      <w:tr w:rsidR="00D747E3" w:rsidRPr="00B32392" w:rsidTr="00124845">
        <w:tc>
          <w:tcPr>
            <w:tcW w:w="3235"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2577"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827"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rsidTr="00124845">
        <w:tc>
          <w:tcPr>
            <w:tcW w:w="3235"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p w:rsidR="00124845" w:rsidRPr="00B32392" w:rsidRDefault="00124845" w:rsidP="00D747E3">
            <w:pPr>
              <w:spacing w:after="0" w:line="240" w:lineRule="auto"/>
              <w:rPr>
                <w:rFonts w:ascii="Times New Roman" w:eastAsia="Times New Roman" w:hAnsi="Times New Roman" w:cs="Times New Roman"/>
                <w:sz w:val="24"/>
                <w:szCs w:val="28"/>
              </w:rPr>
            </w:pPr>
          </w:p>
        </w:tc>
        <w:tc>
          <w:tcPr>
            <w:tcW w:w="2577" w:type="dxa"/>
            <w:tcBorders>
              <w:top w:val="single" w:sz="6" w:space="0" w:color="000000"/>
              <w:left w:val="single" w:sz="4" w:space="0" w:color="000000"/>
              <w:bottom w:val="single" w:sz="4" w:space="0" w:color="000000"/>
              <w:right w:val="single" w:sz="4" w:space="0" w:color="000000"/>
            </w:tcBorders>
          </w:tcPr>
          <w:p w:rsidR="00AD5772" w:rsidRDefault="00124845" w:rsidP="00AD5772">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Відсутні</w:t>
            </w:r>
            <w:r w:rsidR="00AD5772">
              <w:rPr>
                <w:rFonts w:ascii="Times New Roman" w:eastAsia="Times New Roman" w:hAnsi="Times New Roman" w:cs="Times New Roman"/>
                <w:sz w:val="24"/>
                <w:szCs w:val="28"/>
              </w:rPr>
              <w:t>.</w:t>
            </w:r>
          </w:p>
          <w:p w:rsidR="00AD5772" w:rsidRPr="004C33E6" w:rsidRDefault="00AD5772" w:rsidP="00AD5772">
            <w:pPr>
              <w:spacing w:after="0" w:line="240" w:lineRule="auto"/>
              <w:rPr>
                <w:rFonts w:ascii="Times New Roman" w:eastAsia="Times New Roman" w:hAnsi="Times New Roman" w:cs="Times New Roman"/>
                <w:sz w:val="24"/>
                <w:szCs w:val="28"/>
              </w:rPr>
            </w:pPr>
            <w:r w:rsidRPr="004C33E6">
              <w:rPr>
                <w:rFonts w:ascii="Times New Roman" w:eastAsia="Times New Roman" w:hAnsi="Times New Roman" w:cs="Times New Roman"/>
                <w:sz w:val="24"/>
                <w:szCs w:val="28"/>
              </w:rPr>
              <w:t>Неприйняття акта зберігає ситуацію правової невизначеності, перешкоджає антикорупційній трансформації законодавства, унеможливлює гармонізацію із чинними спеціальними законами та ускладнює ефективне державне управління.</w:t>
            </w:r>
            <w:r>
              <w:rPr>
                <w:rFonts w:ascii="Times New Roman" w:eastAsia="Times New Roman" w:hAnsi="Times New Roman" w:cs="Times New Roman"/>
                <w:sz w:val="24"/>
                <w:szCs w:val="28"/>
              </w:rPr>
              <w:t xml:space="preserve"> </w:t>
            </w:r>
            <w:r w:rsidRPr="004C33E6">
              <w:rPr>
                <w:rFonts w:ascii="Times New Roman" w:eastAsia="Times New Roman" w:hAnsi="Times New Roman" w:cs="Times New Roman"/>
                <w:sz w:val="24"/>
                <w:szCs w:val="28"/>
              </w:rPr>
              <w:t xml:space="preserve">Збереження формальної відповідальності центрального органу виконавчої влади за реалізацію норм, які втратили практичну </w:t>
            </w:r>
            <w:r w:rsidRPr="004C33E6">
              <w:rPr>
                <w:rFonts w:ascii="Times New Roman" w:eastAsia="Times New Roman" w:hAnsi="Times New Roman" w:cs="Times New Roman"/>
                <w:sz w:val="24"/>
                <w:szCs w:val="28"/>
              </w:rPr>
              <w:lastRenderedPageBreak/>
              <w:t>дієвість, що створює підґрунтя для можливих маніпуляцій, упереджених оцінок або критики з боку контролюючих органів, громадськості чи політичних інституцій під час звітування про результати діяльності міністерства.</w:t>
            </w:r>
          </w:p>
          <w:p w:rsidR="00AD5772" w:rsidRPr="004C33E6" w:rsidRDefault="00AD5772" w:rsidP="00AD5772">
            <w:pPr>
              <w:spacing w:after="0" w:line="240" w:lineRule="auto"/>
              <w:rPr>
                <w:rFonts w:ascii="Times New Roman" w:eastAsia="Times New Roman" w:hAnsi="Times New Roman" w:cs="Times New Roman"/>
                <w:sz w:val="24"/>
                <w:szCs w:val="28"/>
              </w:rPr>
            </w:pPr>
            <w:r w:rsidRPr="004C33E6">
              <w:rPr>
                <w:rFonts w:ascii="Times New Roman" w:eastAsia="Times New Roman" w:hAnsi="Times New Roman" w:cs="Times New Roman"/>
                <w:sz w:val="24"/>
                <w:szCs w:val="28"/>
              </w:rPr>
              <w:t>Неможливість належної реалізації положень антикорупційної політики держави, зокрема окремих завдань, визначених Державною антикорупційною програмою на 2023–2025 роки, які прямо передбачають необхідність перегляду та виключення застарілих, нефункціональних або таких, що створюють ризики зловживань, положень законодавства.</w:t>
            </w:r>
          </w:p>
          <w:p w:rsidR="00AF149D" w:rsidRPr="00B32392" w:rsidRDefault="00AF149D" w:rsidP="00861A5A">
            <w:pPr>
              <w:spacing w:after="0" w:line="240" w:lineRule="auto"/>
              <w:rPr>
                <w:rFonts w:ascii="Times New Roman" w:eastAsia="Times New Roman" w:hAnsi="Times New Roman" w:cs="Times New Roman"/>
                <w:sz w:val="24"/>
                <w:szCs w:val="28"/>
              </w:rPr>
            </w:pPr>
          </w:p>
        </w:tc>
        <w:tc>
          <w:tcPr>
            <w:tcW w:w="3827" w:type="dxa"/>
            <w:tcBorders>
              <w:top w:val="single" w:sz="6" w:space="0" w:color="000000"/>
              <w:left w:val="single" w:sz="4" w:space="0" w:color="000000"/>
              <w:bottom w:val="single" w:sz="4" w:space="0" w:color="000000"/>
              <w:right w:val="single" w:sz="4" w:space="0" w:color="000000"/>
            </w:tcBorders>
          </w:tcPr>
          <w:p w:rsidR="00AF149D" w:rsidRPr="00B32392" w:rsidRDefault="009850D3"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Збереження нормативної колізії між різними законами, зокрема у частині регулювання освітніх квот; підвищення ризику неоднозначного трактування положень Закону; наявність неузгоджених норм, що не застосовуються на практиці; збереження декларативних положень; продовження чинності норм, які створюють потенційні корупційні ризики та ускладнюють міжвідомчу координацію.</w:t>
            </w:r>
          </w:p>
          <w:p w:rsidR="00124845" w:rsidRPr="00B32392" w:rsidRDefault="00D8248E"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Розгляд одного звернення щодо квотування займає в середньому 2 робочі години фахівця категорії "головний спеціаліст". Середня заробітна плата у державному секторі в травні 2025 року становила 21 000 грн. Вартість однієї години — близько 131 грн. Орієнтовні </w:t>
            </w:r>
            <w:r w:rsidRPr="00B32392">
              <w:rPr>
                <w:rFonts w:ascii="Times New Roman" w:eastAsia="Times New Roman" w:hAnsi="Times New Roman" w:cs="Times New Roman"/>
                <w:sz w:val="24"/>
                <w:szCs w:val="28"/>
              </w:rPr>
              <w:lastRenderedPageBreak/>
              <w:t>витрати на розгляд одного звернення — 262 грн.</w:t>
            </w:r>
          </w:p>
        </w:tc>
      </w:tr>
      <w:tr w:rsidR="00D747E3" w:rsidRPr="00B32392" w:rsidTr="00124845">
        <w:tc>
          <w:tcPr>
            <w:tcW w:w="3235"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tc>
        <w:tc>
          <w:tcPr>
            <w:tcW w:w="2577" w:type="dxa"/>
            <w:tcBorders>
              <w:top w:val="single" w:sz="4" w:space="0" w:color="000000"/>
              <w:left w:val="single" w:sz="4" w:space="0" w:color="000000"/>
              <w:bottom w:val="single" w:sz="4" w:space="0" w:color="000000"/>
              <w:right w:val="single" w:sz="4" w:space="0" w:color="000000"/>
            </w:tcBorders>
          </w:tcPr>
          <w:p w:rsidR="00AF149D" w:rsidRPr="00B32392" w:rsidRDefault="00716C69"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Усунення колізій; відповідність чинному законодавству; зменшення ризиків; підвищення ефективності правозастосування</w:t>
            </w:r>
            <w:r w:rsidR="00124845" w:rsidRPr="00B32392">
              <w:rPr>
                <w:rFonts w:ascii="Times New Roman" w:eastAsia="Times New Roman" w:hAnsi="Times New Roman" w:cs="Times New Roman"/>
                <w:sz w:val="24"/>
                <w:szCs w:val="28"/>
              </w:rPr>
              <w:t>, усунення корупційної складової</w:t>
            </w:r>
          </w:p>
        </w:tc>
        <w:tc>
          <w:tcPr>
            <w:tcW w:w="3827" w:type="dxa"/>
            <w:tcBorders>
              <w:top w:val="single" w:sz="4" w:space="0" w:color="000000"/>
              <w:left w:val="single" w:sz="4" w:space="0" w:color="000000"/>
              <w:bottom w:val="single" w:sz="4" w:space="0" w:color="000000"/>
              <w:right w:val="single" w:sz="4" w:space="0" w:color="000000"/>
            </w:tcBorders>
          </w:tcPr>
          <w:p w:rsidR="00AF149D" w:rsidRPr="00B32392" w:rsidRDefault="00561511" w:rsidP="00861A5A">
            <w:pPr>
              <w:spacing w:after="0" w:line="24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В</w:t>
            </w:r>
            <w:r w:rsidR="009850D3" w:rsidRPr="00B32392">
              <w:rPr>
                <w:rFonts w:ascii="Times New Roman" w:eastAsia="Times New Roman" w:hAnsi="Times New Roman" w:cs="Times New Roman"/>
                <w:sz w:val="24"/>
                <w:szCs w:val="28"/>
              </w:rPr>
              <w:t>ідсутність потреби в додатковому бюджетному фінансуванні або інституційних змінах.</w:t>
            </w:r>
          </w:p>
        </w:tc>
      </w:tr>
    </w:tbl>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Оцінка впливу на сферу інтересів громадян</w:t>
      </w:r>
    </w:p>
    <w:p w:rsidR="00D747E3" w:rsidRPr="00B32392" w:rsidRDefault="00D747E3" w:rsidP="00D747E3">
      <w:pPr>
        <w:shd w:val="clear" w:color="auto" w:fill="FFFFFF"/>
        <w:spacing w:after="0" w:line="240" w:lineRule="auto"/>
        <w:ind w:firstLine="709"/>
        <w:jc w:val="both"/>
        <w:rPr>
          <w:rFonts w:ascii="Times New Roman" w:eastAsia="Times New Roman" w:hAnsi="Times New Roman" w:cs="Times New Roman"/>
          <w:b/>
          <w:sz w:val="28"/>
          <w:szCs w:val="28"/>
        </w:rPr>
      </w:pPr>
    </w:p>
    <w:tbl>
      <w:tblPr>
        <w:tblStyle w:val="a8"/>
        <w:tblW w:w="9639" w:type="dxa"/>
        <w:tblInd w:w="0" w:type="dxa"/>
        <w:tblLayout w:type="fixed"/>
        <w:tblLook w:val="0400" w:firstRow="0" w:lastRow="0" w:firstColumn="0" w:lastColumn="0" w:noHBand="0" w:noVBand="1"/>
      </w:tblPr>
      <w:tblGrid>
        <w:gridCol w:w="3213"/>
        <w:gridCol w:w="3213"/>
        <w:gridCol w:w="3213"/>
      </w:tblGrid>
      <w:tr w:rsidR="00D747E3" w:rsidRPr="00B32392">
        <w:tc>
          <w:tcPr>
            <w:tcW w:w="3213"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3213"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213"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tc>
          <w:tcPr>
            <w:tcW w:w="3213"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3213" w:type="dxa"/>
            <w:tcBorders>
              <w:top w:val="single" w:sz="6" w:space="0" w:color="000000"/>
              <w:left w:val="single" w:sz="4" w:space="0" w:color="000000"/>
              <w:bottom w:val="single" w:sz="4" w:space="0" w:color="000000"/>
              <w:right w:val="single" w:sz="4" w:space="0" w:color="000000"/>
            </w:tcBorders>
          </w:tcPr>
          <w:p w:rsidR="00AF149D" w:rsidRPr="00B32392" w:rsidRDefault="009850D3"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Вигоди для громадян відсутні. Формальна наявність норм щодо квотування чи фінансування не супроводжується механізмами </w:t>
            </w:r>
            <w:r w:rsidRPr="00B32392">
              <w:rPr>
                <w:rFonts w:ascii="Times New Roman" w:eastAsia="Times New Roman" w:hAnsi="Times New Roman" w:cs="Times New Roman"/>
                <w:sz w:val="24"/>
                <w:szCs w:val="28"/>
              </w:rPr>
              <w:lastRenderedPageBreak/>
              <w:t>реалізації та не дає реальних правових гарантій.</w:t>
            </w:r>
          </w:p>
        </w:tc>
        <w:tc>
          <w:tcPr>
            <w:tcW w:w="3213" w:type="dxa"/>
            <w:tcBorders>
              <w:top w:val="single" w:sz="6" w:space="0" w:color="000000"/>
              <w:left w:val="single" w:sz="4" w:space="0" w:color="000000"/>
              <w:bottom w:val="single" w:sz="4" w:space="0" w:color="000000"/>
              <w:right w:val="single" w:sz="4" w:space="0" w:color="000000"/>
            </w:tcBorders>
          </w:tcPr>
          <w:p w:rsidR="00AF149D" w:rsidRPr="00B32392" w:rsidRDefault="009850D3"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 xml:space="preserve">Збереження положень, що не реалізуються на практиці, може вводити громадян в оману щодо існування прав або пільг, які фактично не </w:t>
            </w:r>
            <w:r w:rsidRPr="00B32392">
              <w:rPr>
                <w:rFonts w:ascii="Times New Roman" w:eastAsia="Times New Roman" w:hAnsi="Times New Roman" w:cs="Times New Roman"/>
                <w:sz w:val="24"/>
                <w:szCs w:val="28"/>
              </w:rPr>
              <w:lastRenderedPageBreak/>
              <w:t>діють. Це знижує довіру до законодавства та державних інституцій. Відсутність чітких і дієвих норм ускладнює доступ до об’єктивної інформації щодо прав та процедур у сфері освіти й науки, особливо для мешканців сільської місцевості.</w:t>
            </w:r>
          </w:p>
        </w:tc>
      </w:tr>
      <w:tr w:rsidR="00D747E3" w:rsidRPr="00B32392">
        <w:tc>
          <w:tcPr>
            <w:tcW w:w="321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tc>
        <w:tc>
          <w:tcPr>
            <w:tcW w:w="3213" w:type="dxa"/>
            <w:tcBorders>
              <w:top w:val="single" w:sz="4" w:space="0" w:color="000000"/>
              <w:left w:val="single" w:sz="4" w:space="0" w:color="000000"/>
              <w:bottom w:val="single" w:sz="4" w:space="0" w:color="000000"/>
              <w:right w:val="single" w:sz="4" w:space="0" w:color="000000"/>
            </w:tcBorders>
          </w:tcPr>
          <w:p w:rsidR="00AF149D" w:rsidRPr="00B32392" w:rsidRDefault="00B60B99"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Підвищення якості регулювання у сфері освіти й науки; забезпечення узгодженості законодавства, що сприятиме правовій визначеності та зрозумілості для громадян; зменшення ризику зловживань чи маніпуляцій з боку органів влади через посилення прозорості норм; запобігання хибним очікуванням щодо неіснуючих пільг або прав.</w:t>
            </w:r>
          </w:p>
        </w:tc>
        <w:tc>
          <w:tcPr>
            <w:tcW w:w="3213" w:type="dxa"/>
            <w:tcBorders>
              <w:top w:val="single" w:sz="4" w:space="0" w:color="000000"/>
              <w:left w:val="single" w:sz="4" w:space="0" w:color="000000"/>
              <w:bottom w:val="single" w:sz="4" w:space="0" w:color="000000"/>
              <w:right w:val="single" w:sz="4" w:space="0" w:color="000000"/>
            </w:tcBorders>
          </w:tcPr>
          <w:p w:rsidR="00AF149D" w:rsidRPr="00B32392" w:rsidRDefault="009850D3"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Відсутні прямі витрати для громадян. Законопроєкт не передбачає запровадження нових обов’язків, фінансових платежів чи обмежень для фізичних осіб. Водночас очікується позитивний опосередкований ефект через покращення нормативного середовища.</w:t>
            </w:r>
          </w:p>
        </w:tc>
      </w:tr>
    </w:tbl>
    <w:p w:rsidR="00C60A7D" w:rsidRPr="00B32392" w:rsidRDefault="00C60A7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bookmarkStart w:id="0" w:name="bookmark=id.s5zdsn9om3vf" w:colFirst="0" w:colLast="0"/>
      <w:bookmarkEnd w:id="0"/>
      <w:r w:rsidRPr="00B32392">
        <w:rPr>
          <w:rFonts w:ascii="Times New Roman" w:eastAsia="Times New Roman" w:hAnsi="Times New Roman" w:cs="Times New Roman"/>
          <w:sz w:val="28"/>
          <w:szCs w:val="28"/>
        </w:rPr>
        <w:t>Оцінка впливу на сферу інтересів суб’єктів господарювання</w:t>
      </w:r>
    </w:p>
    <w:p w:rsidR="00D747E3" w:rsidRPr="00B32392" w:rsidRDefault="002D7622" w:rsidP="002D7622">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У ролі суб’єктів господарювання, на яких створює вплив проєкт акта, виступають 981 закладів професійної (професійно-технічної) освіти різних форм власності та підпорядкування та </w:t>
      </w:r>
      <w:r w:rsidR="00D50D05">
        <w:rPr>
          <w:rFonts w:ascii="Times New Roman" w:eastAsia="Times New Roman" w:hAnsi="Times New Roman" w:cs="Times New Roman"/>
          <w:sz w:val="28"/>
          <w:szCs w:val="28"/>
        </w:rPr>
        <w:t>468 закладів</w:t>
      </w:r>
      <w:r w:rsidRPr="00B32392">
        <w:rPr>
          <w:rFonts w:ascii="Times New Roman" w:eastAsia="Times New Roman" w:hAnsi="Times New Roman" w:cs="Times New Roman"/>
          <w:sz w:val="28"/>
          <w:szCs w:val="28"/>
        </w:rPr>
        <w:t xml:space="preserve"> </w:t>
      </w:r>
      <w:r w:rsidRPr="00B32392">
        <w:rPr>
          <w:rFonts w:ascii="Times New Roman" w:hAnsi="Times New Roman" w:cs="Times New Roman"/>
          <w:sz w:val="28"/>
        </w:rPr>
        <w:t>освіти, що здійснюють освітню діяльність за рівнями вищої освіти, отримано з Реєстру суб’єктів освітньої діяльності</w:t>
      </w:r>
      <w:r w:rsidRPr="00B32392">
        <w:rPr>
          <w:rFonts w:ascii="Times New Roman" w:eastAsia="Times New Roman" w:hAnsi="Times New Roman" w:cs="Times New Roman"/>
          <w:sz w:val="28"/>
          <w:szCs w:val="28"/>
        </w:rPr>
        <w:t xml:space="preserve"> (за даними ЄДЕБО станом на травень 2025).</w:t>
      </w:r>
      <w:r w:rsidRPr="00B32392">
        <w:rPr>
          <w:rFonts w:ascii="Times New Roman" w:eastAsia="Times New Roman" w:hAnsi="Times New Roman" w:cs="Times New Roman"/>
          <w:sz w:val="28"/>
          <w:szCs w:val="28"/>
        </w:rPr>
        <w:cr/>
      </w:r>
    </w:p>
    <w:tbl>
      <w:tblPr>
        <w:tblStyle w:val="a9"/>
        <w:tblW w:w="9638" w:type="dxa"/>
        <w:tblInd w:w="0" w:type="dxa"/>
        <w:tblLayout w:type="fixed"/>
        <w:tblLook w:val="0400" w:firstRow="0" w:lastRow="0" w:firstColumn="0" w:lastColumn="0" w:noHBand="0" w:noVBand="1"/>
      </w:tblPr>
      <w:tblGrid>
        <w:gridCol w:w="2434"/>
        <w:gridCol w:w="1459"/>
        <w:gridCol w:w="1459"/>
        <w:gridCol w:w="1365"/>
        <w:gridCol w:w="1363"/>
        <w:gridCol w:w="1558"/>
      </w:tblGrid>
      <w:tr w:rsidR="00D747E3" w:rsidRPr="00B32392" w:rsidTr="00AB1AF8">
        <w:tc>
          <w:tcPr>
            <w:tcW w:w="2434"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Показник</w:t>
            </w:r>
          </w:p>
        </w:tc>
        <w:tc>
          <w:tcPr>
            <w:tcW w:w="1459"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Великі</w:t>
            </w:r>
          </w:p>
        </w:tc>
        <w:tc>
          <w:tcPr>
            <w:tcW w:w="1459"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Середні</w:t>
            </w:r>
          </w:p>
        </w:tc>
        <w:tc>
          <w:tcPr>
            <w:tcW w:w="1365"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Малі</w:t>
            </w:r>
          </w:p>
        </w:tc>
        <w:tc>
          <w:tcPr>
            <w:tcW w:w="1363"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Мікро</w:t>
            </w:r>
          </w:p>
        </w:tc>
        <w:tc>
          <w:tcPr>
            <w:tcW w:w="1558"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Разом</w:t>
            </w:r>
          </w:p>
        </w:tc>
      </w:tr>
      <w:tr w:rsidR="00D747E3" w:rsidRPr="00B32392" w:rsidTr="00AB1AF8">
        <w:tc>
          <w:tcPr>
            <w:tcW w:w="2434"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Кількість суб’єктів господарювання, що підпадають під дію регулювання, одиниць</w:t>
            </w:r>
          </w:p>
        </w:tc>
        <w:tc>
          <w:tcPr>
            <w:tcW w:w="1459" w:type="dxa"/>
            <w:tcBorders>
              <w:top w:val="single" w:sz="6" w:space="0" w:color="000000"/>
              <w:left w:val="single" w:sz="4" w:space="0" w:color="000000"/>
              <w:bottom w:val="single" w:sz="4" w:space="0" w:color="000000"/>
              <w:right w:val="single" w:sz="4" w:space="0" w:color="000000"/>
            </w:tcBorders>
          </w:tcPr>
          <w:p w:rsidR="00AF149D" w:rsidRPr="00B32392" w:rsidRDefault="002D7622"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197</w:t>
            </w:r>
          </w:p>
        </w:tc>
        <w:tc>
          <w:tcPr>
            <w:tcW w:w="1459" w:type="dxa"/>
            <w:tcBorders>
              <w:top w:val="single" w:sz="6" w:space="0" w:color="000000"/>
              <w:left w:val="single" w:sz="4" w:space="0" w:color="000000"/>
              <w:bottom w:val="single" w:sz="4" w:space="0" w:color="000000"/>
              <w:right w:val="single" w:sz="4" w:space="0" w:color="000000"/>
            </w:tcBorders>
          </w:tcPr>
          <w:p w:rsidR="00AF149D" w:rsidRPr="00B32392" w:rsidRDefault="002D7622"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228</w:t>
            </w:r>
          </w:p>
        </w:tc>
        <w:tc>
          <w:tcPr>
            <w:tcW w:w="1365" w:type="dxa"/>
            <w:tcBorders>
              <w:top w:val="single" w:sz="6" w:space="0" w:color="000000"/>
              <w:left w:val="single" w:sz="4" w:space="0" w:color="000000"/>
              <w:bottom w:val="single" w:sz="4" w:space="0" w:color="000000"/>
              <w:right w:val="single" w:sz="4" w:space="0" w:color="000000"/>
            </w:tcBorders>
          </w:tcPr>
          <w:p w:rsidR="002D7622"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1024</w:t>
            </w:r>
          </w:p>
        </w:tc>
        <w:tc>
          <w:tcPr>
            <w:tcW w:w="1363" w:type="dxa"/>
            <w:tcBorders>
              <w:top w:val="single" w:sz="6" w:space="0" w:color="000000"/>
              <w:left w:val="single" w:sz="4" w:space="0" w:color="000000"/>
              <w:bottom w:val="single" w:sz="4" w:space="0" w:color="000000"/>
              <w:right w:val="single" w:sz="4" w:space="0" w:color="000000"/>
            </w:tcBorders>
          </w:tcPr>
          <w:p w:rsidR="00AF149D" w:rsidRPr="00B32392" w:rsidRDefault="002D7622"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w:t>
            </w:r>
          </w:p>
        </w:tc>
        <w:tc>
          <w:tcPr>
            <w:tcW w:w="1558" w:type="dxa"/>
            <w:tcBorders>
              <w:top w:val="single" w:sz="6" w:space="0" w:color="000000"/>
              <w:left w:val="single" w:sz="4" w:space="0" w:color="000000"/>
              <w:bottom w:val="single" w:sz="4" w:space="0" w:color="000000"/>
              <w:right w:val="single" w:sz="4" w:space="0" w:color="000000"/>
            </w:tcBorders>
          </w:tcPr>
          <w:p w:rsidR="00AF149D"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1449</w:t>
            </w:r>
          </w:p>
        </w:tc>
      </w:tr>
      <w:tr w:rsidR="00D747E3" w:rsidRPr="00B32392" w:rsidTr="00AB1AF8">
        <w:tc>
          <w:tcPr>
            <w:tcW w:w="2434"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Питома вага групи у загальній кількості, відсотків</w:t>
            </w:r>
          </w:p>
        </w:tc>
        <w:tc>
          <w:tcPr>
            <w:tcW w:w="1459" w:type="dxa"/>
            <w:tcBorders>
              <w:top w:val="single" w:sz="4" w:space="0" w:color="000000"/>
              <w:left w:val="single" w:sz="4" w:space="0" w:color="000000"/>
              <w:bottom w:val="single" w:sz="4" w:space="0" w:color="000000"/>
              <w:right w:val="single" w:sz="4" w:space="0" w:color="000000"/>
            </w:tcBorders>
          </w:tcPr>
          <w:p w:rsidR="00AF149D"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14%</w:t>
            </w:r>
          </w:p>
        </w:tc>
        <w:tc>
          <w:tcPr>
            <w:tcW w:w="1459" w:type="dxa"/>
            <w:tcBorders>
              <w:top w:val="single" w:sz="4" w:space="0" w:color="000000"/>
              <w:left w:val="single" w:sz="4" w:space="0" w:color="000000"/>
              <w:bottom w:val="single" w:sz="4" w:space="0" w:color="000000"/>
              <w:right w:val="single" w:sz="4" w:space="0" w:color="000000"/>
            </w:tcBorders>
          </w:tcPr>
          <w:p w:rsidR="00AF149D"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16%</w:t>
            </w:r>
          </w:p>
        </w:tc>
        <w:tc>
          <w:tcPr>
            <w:tcW w:w="1365" w:type="dxa"/>
            <w:tcBorders>
              <w:top w:val="single" w:sz="4" w:space="0" w:color="000000"/>
              <w:left w:val="single" w:sz="4" w:space="0" w:color="000000"/>
              <w:bottom w:val="single" w:sz="4" w:space="0" w:color="000000"/>
              <w:right w:val="single" w:sz="4" w:space="0" w:color="000000"/>
            </w:tcBorders>
          </w:tcPr>
          <w:p w:rsidR="00AF149D"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70%</w:t>
            </w:r>
          </w:p>
        </w:tc>
        <w:tc>
          <w:tcPr>
            <w:tcW w:w="1363"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w:t>
            </w:r>
          </w:p>
        </w:tc>
        <w:tc>
          <w:tcPr>
            <w:tcW w:w="1558" w:type="dxa"/>
            <w:tcBorders>
              <w:top w:val="single" w:sz="4" w:space="0" w:color="000000"/>
              <w:left w:val="single" w:sz="4" w:space="0" w:color="000000"/>
              <w:bottom w:val="single" w:sz="4" w:space="0" w:color="000000"/>
              <w:right w:val="single" w:sz="4" w:space="0" w:color="000000"/>
            </w:tcBorders>
          </w:tcPr>
          <w:p w:rsidR="00AF149D" w:rsidRPr="00B32392" w:rsidRDefault="00B60B9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100%</w:t>
            </w:r>
          </w:p>
        </w:tc>
      </w:tr>
    </w:tbl>
    <w:p w:rsidR="00AB1AF8" w:rsidRPr="00B32392" w:rsidRDefault="00AB1AF8" w:rsidP="002D7622">
      <w:pPr>
        <w:rPr>
          <w:rFonts w:ascii="Times New Roman" w:hAnsi="Times New Roman" w:cs="Times New Roman"/>
          <w:sz w:val="28"/>
        </w:rPr>
      </w:pPr>
    </w:p>
    <w:tbl>
      <w:tblPr>
        <w:tblStyle w:val="a9"/>
        <w:tblW w:w="9638" w:type="dxa"/>
        <w:tblInd w:w="0" w:type="dxa"/>
        <w:tblLayout w:type="fixed"/>
        <w:tblLook w:val="0400" w:firstRow="0" w:lastRow="0" w:firstColumn="0" w:lastColumn="0" w:noHBand="0" w:noVBand="1"/>
      </w:tblPr>
      <w:tblGrid>
        <w:gridCol w:w="3211"/>
        <w:gridCol w:w="2885"/>
        <w:gridCol w:w="3542"/>
      </w:tblGrid>
      <w:tr w:rsidR="00D747E3" w:rsidRPr="00B32392" w:rsidTr="00D8248E">
        <w:tc>
          <w:tcPr>
            <w:tcW w:w="3211" w:type="dxa"/>
            <w:tcBorders>
              <w:top w:val="single" w:sz="6" w:space="0" w:color="000000"/>
              <w:left w:val="nil"/>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Вид альтернативи</w:t>
            </w:r>
          </w:p>
        </w:tc>
        <w:tc>
          <w:tcPr>
            <w:tcW w:w="2885" w:type="dxa"/>
            <w:tcBorders>
              <w:top w:val="single" w:sz="6" w:space="0" w:color="000000"/>
              <w:left w:val="single" w:sz="6" w:space="0" w:color="000000"/>
              <w:bottom w:val="single" w:sz="6" w:space="0" w:color="000000"/>
              <w:right w:val="single" w:sz="6" w:space="0" w:color="000000"/>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w:t>
            </w:r>
          </w:p>
        </w:tc>
        <w:tc>
          <w:tcPr>
            <w:tcW w:w="3542" w:type="dxa"/>
            <w:tcBorders>
              <w:top w:val="single" w:sz="6" w:space="0" w:color="000000"/>
              <w:left w:val="single" w:sz="6" w:space="0" w:color="000000"/>
              <w:bottom w:val="single" w:sz="6" w:space="0" w:color="000000"/>
              <w:right w:val="nil"/>
            </w:tcBorders>
          </w:tcPr>
          <w:p w:rsidR="00AF149D" w:rsidRPr="00B32392" w:rsidRDefault="00716C69" w:rsidP="00D747E3">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w:t>
            </w:r>
          </w:p>
        </w:tc>
      </w:tr>
      <w:tr w:rsidR="00D747E3" w:rsidRPr="00B32392" w:rsidTr="00D8248E">
        <w:tc>
          <w:tcPr>
            <w:tcW w:w="3211" w:type="dxa"/>
            <w:tcBorders>
              <w:top w:val="single" w:sz="6"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2885" w:type="dxa"/>
            <w:tcBorders>
              <w:top w:val="single" w:sz="6" w:space="0" w:color="000000"/>
              <w:left w:val="single" w:sz="4" w:space="0" w:color="000000"/>
              <w:bottom w:val="single" w:sz="4" w:space="0" w:color="000000"/>
              <w:right w:val="single" w:sz="4" w:space="0" w:color="000000"/>
            </w:tcBorders>
          </w:tcPr>
          <w:p w:rsidR="00AF149D" w:rsidRPr="00B32392" w:rsidRDefault="00B60B99"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Вигоди для суб’єктів господарювання та органів влади відсутні, оскільки чинні норми не </w:t>
            </w:r>
            <w:r w:rsidRPr="00B32392">
              <w:rPr>
                <w:rFonts w:ascii="Times New Roman" w:eastAsia="Times New Roman" w:hAnsi="Times New Roman" w:cs="Times New Roman"/>
                <w:sz w:val="24"/>
                <w:szCs w:val="28"/>
              </w:rPr>
              <w:lastRenderedPageBreak/>
              <w:t>забезпечують практичного регуляторного ефекту.</w:t>
            </w:r>
          </w:p>
        </w:tc>
        <w:tc>
          <w:tcPr>
            <w:tcW w:w="3542" w:type="dxa"/>
            <w:tcBorders>
              <w:top w:val="single" w:sz="6" w:space="0" w:color="000000"/>
              <w:left w:val="single" w:sz="4" w:space="0" w:color="000000"/>
              <w:bottom w:val="single" w:sz="4" w:space="0" w:color="000000"/>
              <w:right w:val="single" w:sz="4" w:space="0" w:color="000000"/>
            </w:tcBorders>
          </w:tcPr>
          <w:p w:rsidR="00AF149D" w:rsidRPr="00B32392" w:rsidRDefault="00B60B99"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 xml:space="preserve">Відсутність змін не дозволяє усунути колізійні норми та правову невизначеність. Це створює потенційні ризики для органів влади при виконанні </w:t>
            </w:r>
            <w:r w:rsidRPr="00B32392">
              <w:rPr>
                <w:rFonts w:ascii="Times New Roman" w:eastAsia="Times New Roman" w:hAnsi="Times New Roman" w:cs="Times New Roman"/>
                <w:sz w:val="24"/>
                <w:szCs w:val="28"/>
              </w:rPr>
              <w:lastRenderedPageBreak/>
              <w:t xml:space="preserve">своїх повноважень, зокрема щодо </w:t>
            </w:r>
            <w:r w:rsidR="00172B14" w:rsidRPr="00B32392">
              <w:rPr>
                <w:rFonts w:ascii="Times New Roman" w:eastAsia="Times New Roman" w:hAnsi="Times New Roman" w:cs="Times New Roman"/>
                <w:sz w:val="24"/>
                <w:szCs w:val="28"/>
              </w:rPr>
              <w:t>освітніх квот</w:t>
            </w:r>
            <w:r w:rsidRPr="00B32392">
              <w:rPr>
                <w:rFonts w:ascii="Times New Roman" w:eastAsia="Times New Roman" w:hAnsi="Times New Roman" w:cs="Times New Roman"/>
                <w:sz w:val="24"/>
                <w:szCs w:val="28"/>
              </w:rPr>
              <w:t>, а для суб’єктів господарювання – ускладнення у тлумаченні правових норм та їх застосуванні.</w:t>
            </w:r>
          </w:p>
        </w:tc>
      </w:tr>
      <w:tr w:rsidR="00D747E3" w:rsidRPr="00B32392" w:rsidTr="00D8248E">
        <w:tc>
          <w:tcPr>
            <w:tcW w:w="3211" w:type="dxa"/>
            <w:tcBorders>
              <w:top w:val="single" w:sz="4" w:space="0" w:color="000000"/>
              <w:left w:val="single" w:sz="4" w:space="0" w:color="000000"/>
              <w:bottom w:val="single" w:sz="4" w:space="0" w:color="000000"/>
              <w:right w:val="single" w:sz="4" w:space="0" w:color="000000"/>
            </w:tcBorders>
          </w:tcPr>
          <w:p w:rsidR="00AF149D" w:rsidRPr="00B32392" w:rsidRDefault="00716C69" w:rsidP="00D747E3">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tc>
        <w:tc>
          <w:tcPr>
            <w:tcW w:w="2885" w:type="dxa"/>
            <w:tcBorders>
              <w:top w:val="single" w:sz="4" w:space="0" w:color="000000"/>
              <w:left w:val="single" w:sz="4" w:space="0" w:color="000000"/>
              <w:bottom w:val="single" w:sz="4" w:space="0" w:color="000000"/>
              <w:right w:val="single" w:sz="4" w:space="0" w:color="000000"/>
            </w:tcBorders>
          </w:tcPr>
          <w:p w:rsidR="00AF149D" w:rsidRPr="00B32392" w:rsidRDefault="00B60B99"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Забезпечення правової визначеності та однозначності тлумачення законодавства; усунення застарілих та нефункціональних положень; спрощення нормативного середовища для органів виконавчої влади, які координують освітню, наукову та фінансову політику; узгодженість між секторальними актами.</w:t>
            </w:r>
          </w:p>
        </w:tc>
        <w:tc>
          <w:tcPr>
            <w:tcW w:w="3542" w:type="dxa"/>
            <w:tcBorders>
              <w:top w:val="single" w:sz="4" w:space="0" w:color="000000"/>
              <w:left w:val="single" w:sz="4" w:space="0" w:color="000000"/>
              <w:bottom w:val="single" w:sz="4" w:space="0" w:color="000000"/>
              <w:right w:val="single" w:sz="4" w:space="0" w:color="000000"/>
            </w:tcBorders>
          </w:tcPr>
          <w:p w:rsidR="00124845" w:rsidRPr="00B32392" w:rsidRDefault="00D8248E" w:rsidP="00861A5A">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Прийняття законопроєкту не передбачає запровадження нових обов’язків або витрат для органів влади чи суб’єктів господарювання. Витрати на реалізацію положень Закону відсутні, оскільки пропоновані зміни мають виключно правовий та техніко-юридичний характер. Окремі витрати можуть виникати в межах стандартної процедури офіційного оприлюднення </w:t>
            </w:r>
            <w:proofErr w:type="spellStart"/>
            <w:r w:rsidRPr="00B32392">
              <w:rPr>
                <w:rFonts w:ascii="Times New Roman" w:eastAsia="Times New Roman" w:hAnsi="Times New Roman" w:cs="Times New Roman"/>
                <w:sz w:val="24"/>
                <w:szCs w:val="28"/>
              </w:rPr>
              <w:t>акта</w:t>
            </w:r>
            <w:proofErr w:type="spellEnd"/>
            <w:r w:rsidRPr="00B32392">
              <w:rPr>
                <w:rFonts w:ascii="Times New Roman" w:eastAsia="Times New Roman" w:hAnsi="Times New Roman" w:cs="Times New Roman"/>
                <w:sz w:val="24"/>
                <w:szCs w:val="28"/>
              </w:rPr>
              <w:t xml:space="preserve">: публікація на </w:t>
            </w:r>
            <w:proofErr w:type="spellStart"/>
            <w:r w:rsidRPr="00B32392">
              <w:rPr>
                <w:rFonts w:ascii="Times New Roman" w:eastAsia="Times New Roman" w:hAnsi="Times New Roman" w:cs="Times New Roman"/>
                <w:sz w:val="24"/>
                <w:szCs w:val="28"/>
              </w:rPr>
              <w:t>вебсайтах</w:t>
            </w:r>
            <w:proofErr w:type="spellEnd"/>
            <w:r w:rsidRPr="00B32392">
              <w:rPr>
                <w:rFonts w:ascii="Times New Roman" w:eastAsia="Times New Roman" w:hAnsi="Times New Roman" w:cs="Times New Roman"/>
                <w:sz w:val="24"/>
                <w:szCs w:val="28"/>
              </w:rPr>
              <w:t xml:space="preserve"> органів виконавчої влади, розміщення супровідної інформації та забезпечення базового інформування громадськості. Такі дії потребують не більше 1–2 годин роботи одного працівника (прес-служби або фахівця з комунікацій), що за середньою годинною ставкою становить орієнтовно 127–254 грн на одного працівника. Ці витрати є разовими, мінімальними і покриваються в межах звичайної діяльності органів влади без потреби в додатковому бюджетному фінансуванні.</w:t>
            </w:r>
          </w:p>
        </w:tc>
      </w:tr>
    </w:tbl>
    <w:p w:rsidR="00AB1AF8" w:rsidRPr="00B32392" w:rsidRDefault="00AB1AF8" w:rsidP="00D747E3">
      <w:pPr>
        <w:shd w:val="clear" w:color="auto" w:fill="FFFFFF"/>
        <w:spacing w:after="0" w:line="240" w:lineRule="auto"/>
        <w:ind w:firstLine="709"/>
        <w:rPr>
          <w:rFonts w:ascii="Times New Roman" w:eastAsia="Times New Roman" w:hAnsi="Times New Roman" w:cs="Times New Roman"/>
          <w:sz w:val="28"/>
          <w:szCs w:val="28"/>
        </w:rPr>
      </w:pPr>
    </w:p>
    <w:p w:rsidR="00AF149D" w:rsidRPr="00B32392" w:rsidRDefault="00716C69" w:rsidP="00EE0211">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Оскільки зміни мають винятково законодавчо-системний характер і не містять норм прямої дії для суб’єктів господарювання, жоден тип підприємств не підпадає під дію норм, які б прямо впливали на витрати чи обов’язки бізнесу.</w:t>
      </w:r>
    </w:p>
    <w:p w:rsidR="00210328" w:rsidRPr="00B32392" w:rsidRDefault="00210328" w:rsidP="00D747E3">
      <w:pPr>
        <w:shd w:val="clear" w:color="auto" w:fill="FFFFFF"/>
        <w:spacing w:after="0" w:line="240" w:lineRule="auto"/>
        <w:ind w:firstLine="709"/>
        <w:rPr>
          <w:rFonts w:ascii="Times New Roman" w:eastAsia="Times New Roman" w:hAnsi="Times New Roman" w:cs="Times New Roman"/>
          <w:sz w:val="28"/>
          <w:szCs w:val="28"/>
        </w:rPr>
      </w:pPr>
    </w:p>
    <w:tbl>
      <w:tblPr>
        <w:tblStyle w:val="aa"/>
        <w:tblW w:w="9639" w:type="dxa"/>
        <w:tblInd w:w="0" w:type="dxa"/>
        <w:tblLayout w:type="fixed"/>
        <w:tblLook w:val="0400" w:firstRow="0" w:lastRow="0" w:firstColumn="0" w:lastColumn="0" w:noHBand="0" w:noVBand="1"/>
      </w:tblPr>
      <w:tblGrid>
        <w:gridCol w:w="3119"/>
        <w:gridCol w:w="6520"/>
      </w:tblGrid>
      <w:tr w:rsidR="00D747E3" w:rsidRPr="00B32392" w:rsidTr="00B60B99">
        <w:tc>
          <w:tcPr>
            <w:tcW w:w="3119" w:type="dxa"/>
            <w:tcBorders>
              <w:top w:val="single" w:sz="6" w:space="0" w:color="000000"/>
              <w:left w:val="nil"/>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Сумарні витрати за альтернативами</w:t>
            </w:r>
          </w:p>
        </w:tc>
        <w:tc>
          <w:tcPr>
            <w:tcW w:w="6520" w:type="dxa"/>
            <w:tcBorders>
              <w:top w:val="single" w:sz="6" w:space="0" w:color="000000"/>
              <w:left w:val="single" w:sz="6" w:space="0" w:color="000000"/>
              <w:bottom w:val="single" w:sz="6" w:space="0" w:color="000000"/>
              <w:right w:val="nil"/>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Сума витрат, гривень</w:t>
            </w:r>
          </w:p>
        </w:tc>
      </w:tr>
      <w:tr w:rsidR="00D747E3" w:rsidRPr="00B32392" w:rsidTr="00B60B99">
        <w:tc>
          <w:tcPr>
            <w:tcW w:w="3119"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Альтернатива 1. </w:t>
            </w:r>
          </w:p>
        </w:tc>
        <w:tc>
          <w:tcPr>
            <w:tcW w:w="6520"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Іміджеві витрати, пов’язані із наявністю застарілих норм, що не відповідають чинному законодавству</w:t>
            </w:r>
            <w:r w:rsidR="00B60B99" w:rsidRPr="00B32392">
              <w:rPr>
                <w:rFonts w:ascii="Times New Roman" w:eastAsia="Times New Roman" w:hAnsi="Times New Roman" w:cs="Times New Roman"/>
                <w:sz w:val="24"/>
                <w:szCs w:val="28"/>
              </w:rPr>
              <w:t>.</w:t>
            </w:r>
            <w:r w:rsidR="00B60B99" w:rsidRPr="00B32392">
              <w:rPr>
                <w:rFonts w:ascii="Times New Roman" w:hAnsi="Times New Roman" w:cs="Times New Roman"/>
                <w:sz w:val="24"/>
              </w:rPr>
              <w:t xml:space="preserve"> </w:t>
            </w:r>
            <w:r w:rsidR="00B60B99" w:rsidRPr="00B32392">
              <w:rPr>
                <w:rFonts w:ascii="Times New Roman" w:eastAsia="Times New Roman" w:hAnsi="Times New Roman" w:cs="Times New Roman"/>
                <w:sz w:val="24"/>
                <w:szCs w:val="28"/>
              </w:rPr>
              <w:t xml:space="preserve">Хоча прямих фінансових витрат державного чи приватного сектору не передбачається, збереження застарілих норм у законодавстві спричиняє репутаційні (іміджеві) втрати для держави, знижує довіру громадян до нормативної бази, створює ризики правової невизначеності та неефективного управління. Ці </w:t>
            </w:r>
            <w:r w:rsidR="00B60B99" w:rsidRPr="00B32392">
              <w:rPr>
                <w:rFonts w:ascii="Times New Roman" w:eastAsia="Times New Roman" w:hAnsi="Times New Roman" w:cs="Times New Roman"/>
                <w:sz w:val="24"/>
                <w:szCs w:val="28"/>
              </w:rPr>
              <w:lastRenderedPageBreak/>
              <w:t>витрати проявляються у вигляді втрат якості врядування, ризиків неоднозначного тлумачення норм і ускладнень у міжвідомчій координації.</w:t>
            </w:r>
          </w:p>
        </w:tc>
      </w:tr>
      <w:tr w:rsidR="00D747E3" w:rsidRPr="00B32392" w:rsidTr="00B60B99">
        <w:tc>
          <w:tcPr>
            <w:tcW w:w="311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 xml:space="preserve">Альтернатива 2. </w:t>
            </w:r>
          </w:p>
        </w:tc>
        <w:tc>
          <w:tcPr>
            <w:tcW w:w="6520"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Відсутні</w:t>
            </w:r>
            <w:r w:rsidR="00B60B99" w:rsidRPr="00B32392">
              <w:rPr>
                <w:rFonts w:ascii="Times New Roman" w:eastAsia="Times New Roman" w:hAnsi="Times New Roman" w:cs="Times New Roman"/>
                <w:sz w:val="24"/>
                <w:szCs w:val="28"/>
              </w:rPr>
              <w:t>. Реалізація цієї альтернативи не потребує додаткових бюджетних чи приватних фінансових витрат. Пропоновані зміни мають техніко-юридичний характер та не передбачають введення нових процедур або створення нових інституцій. Витрати на нормативне впровадження (підготовка, погодження, оприлюднення) здійснюються у межах поточної діяльності органів влади.</w:t>
            </w:r>
          </w:p>
        </w:tc>
      </w:tr>
    </w:tbl>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b/>
          <w:sz w:val="28"/>
          <w:szCs w:val="28"/>
        </w:rPr>
      </w:pPr>
    </w:p>
    <w:p w:rsidR="00AF149D" w:rsidRPr="00B32392"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IV. Вибір найбільш оптимального альтернативного способу досягнення цілей</w:t>
      </w:r>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tbl>
      <w:tblPr>
        <w:tblStyle w:val="ab"/>
        <w:tblW w:w="9639" w:type="dxa"/>
        <w:jc w:val="center"/>
        <w:tblInd w:w="0" w:type="dxa"/>
        <w:tblLayout w:type="fixed"/>
        <w:tblLook w:val="0400" w:firstRow="0" w:lastRow="0" w:firstColumn="0" w:lastColumn="0" w:noHBand="0" w:noVBand="1"/>
      </w:tblPr>
      <w:tblGrid>
        <w:gridCol w:w="3699"/>
        <w:gridCol w:w="3019"/>
        <w:gridCol w:w="2921"/>
      </w:tblGrid>
      <w:tr w:rsidR="00D747E3" w:rsidRPr="00B32392">
        <w:trPr>
          <w:jc w:val="center"/>
        </w:trPr>
        <w:tc>
          <w:tcPr>
            <w:tcW w:w="3699" w:type="dxa"/>
            <w:tcBorders>
              <w:top w:val="single" w:sz="6" w:space="0" w:color="000000"/>
              <w:left w:val="nil"/>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 результативності (досягнення цілей під час вирішення проблеми)</w:t>
            </w:r>
          </w:p>
        </w:tc>
        <w:tc>
          <w:tcPr>
            <w:tcW w:w="3019" w:type="dxa"/>
            <w:tcBorders>
              <w:top w:val="single" w:sz="6" w:space="0" w:color="000000"/>
              <w:left w:val="single" w:sz="6" w:space="0" w:color="000000"/>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Бал результативності (за чотирибальною системою оцінки)</w:t>
            </w:r>
          </w:p>
        </w:tc>
        <w:tc>
          <w:tcPr>
            <w:tcW w:w="2921" w:type="dxa"/>
            <w:tcBorders>
              <w:top w:val="single" w:sz="6" w:space="0" w:color="000000"/>
              <w:left w:val="single" w:sz="6" w:space="0" w:color="000000"/>
              <w:bottom w:val="single" w:sz="6" w:space="0" w:color="000000"/>
              <w:right w:val="nil"/>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Коментарі щодо присвоєння відповідного </w:t>
            </w:r>
            <w:proofErr w:type="spellStart"/>
            <w:r w:rsidRPr="00B32392">
              <w:rPr>
                <w:rFonts w:ascii="Times New Roman" w:eastAsia="Times New Roman" w:hAnsi="Times New Roman" w:cs="Times New Roman"/>
                <w:sz w:val="24"/>
                <w:szCs w:val="28"/>
              </w:rPr>
              <w:t>бала</w:t>
            </w:r>
            <w:proofErr w:type="spellEnd"/>
          </w:p>
        </w:tc>
      </w:tr>
      <w:tr w:rsidR="00D747E3" w:rsidRPr="00B32392">
        <w:trPr>
          <w:jc w:val="center"/>
        </w:trPr>
        <w:tc>
          <w:tcPr>
            <w:tcW w:w="3699"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3019"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1</w:t>
            </w:r>
          </w:p>
        </w:tc>
        <w:tc>
          <w:tcPr>
            <w:tcW w:w="2921" w:type="dxa"/>
            <w:tcBorders>
              <w:top w:val="single" w:sz="6" w:space="0" w:color="000000"/>
              <w:left w:val="single" w:sz="4" w:space="0" w:color="000000"/>
              <w:bottom w:val="single" w:sz="4" w:space="0" w:color="000000"/>
              <w:right w:val="single" w:sz="4" w:space="0" w:color="000000"/>
            </w:tcBorders>
          </w:tcPr>
          <w:p w:rsidR="00AF149D" w:rsidRPr="00B32392" w:rsidRDefault="00B60B9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не забезпечує досягнення визначених цілей. Проблема нормативної невідповідності та застарілості положень зберігається. Залишаються чинними норми, які суперечать або дублюють інші закони, що створює правову плутанину та потенційні ризики зловживань. Цілі у сфері гармонізації, правової визначеності та антикорупційного очищення не досягаються.</w:t>
            </w:r>
          </w:p>
        </w:tc>
      </w:tr>
      <w:tr w:rsidR="00D747E3" w:rsidRPr="00B32392">
        <w:trPr>
          <w:jc w:val="center"/>
        </w:trPr>
        <w:tc>
          <w:tcPr>
            <w:tcW w:w="369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301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4</w:t>
            </w:r>
          </w:p>
        </w:tc>
        <w:tc>
          <w:tcPr>
            <w:tcW w:w="2921" w:type="dxa"/>
            <w:tcBorders>
              <w:top w:val="single" w:sz="4" w:space="0" w:color="000000"/>
              <w:left w:val="single" w:sz="4" w:space="0" w:color="000000"/>
              <w:bottom w:val="single" w:sz="4" w:space="0" w:color="000000"/>
              <w:right w:val="single" w:sz="4" w:space="0" w:color="000000"/>
            </w:tcBorders>
          </w:tcPr>
          <w:p w:rsidR="00AF149D" w:rsidRPr="00B32392" w:rsidRDefault="00B60B99" w:rsidP="00B60B99">
            <w:pP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Альтернатива повністю відповідає задекларованим цілям. Проблему </w:t>
            </w:r>
            <w:proofErr w:type="spellStart"/>
            <w:r w:rsidRPr="00B32392">
              <w:rPr>
                <w:rFonts w:ascii="Times New Roman" w:eastAsia="Times New Roman" w:hAnsi="Times New Roman" w:cs="Times New Roman"/>
                <w:sz w:val="24"/>
                <w:szCs w:val="28"/>
              </w:rPr>
              <w:t>усунено</w:t>
            </w:r>
            <w:proofErr w:type="spellEnd"/>
            <w:r w:rsidRPr="00B32392">
              <w:rPr>
                <w:rFonts w:ascii="Times New Roman" w:eastAsia="Times New Roman" w:hAnsi="Times New Roman" w:cs="Times New Roman"/>
                <w:sz w:val="24"/>
                <w:szCs w:val="28"/>
              </w:rPr>
              <w:t xml:space="preserve"> шляхом виключення застарілого розділу VI та перенесення оновлених положень до розділу V із урахуванням чинного законодавства. Забезпечується узгодженість правового регулювання, усунення нормативного дублювання, </w:t>
            </w:r>
            <w:r w:rsidRPr="00B32392">
              <w:rPr>
                <w:rFonts w:ascii="Times New Roman" w:eastAsia="Times New Roman" w:hAnsi="Times New Roman" w:cs="Times New Roman"/>
                <w:sz w:val="24"/>
                <w:szCs w:val="28"/>
              </w:rPr>
              <w:lastRenderedPageBreak/>
              <w:t>зменшення ризиків правозастосування та відповідність положенням Державної антикорупційної програми.</w:t>
            </w:r>
          </w:p>
        </w:tc>
      </w:tr>
    </w:tbl>
    <w:p w:rsidR="00AB1AF8" w:rsidRPr="00B32392" w:rsidRDefault="00AB1AF8">
      <w:pPr>
        <w:rPr>
          <w:rFonts w:ascii="Times New Roman" w:hAnsi="Times New Roman" w:cs="Times New Roman"/>
          <w:sz w:val="28"/>
        </w:rPr>
      </w:pPr>
    </w:p>
    <w:tbl>
      <w:tblPr>
        <w:tblStyle w:val="ab"/>
        <w:tblW w:w="9639" w:type="dxa"/>
        <w:jc w:val="center"/>
        <w:tblInd w:w="0" w:type="dxa"/>
        <w:tblLayout w:type="fixed"/>
        <w:tblLook w:val="0400" w:firstRow="0" w:lastRow="0" w:firstColumn="0" w:lastColumn="0" w:noHBand="0" w:noVBand="1"/>
      </w:tblPr>
      <w:tblGrid>
        <w:gridCol w:w="2434"/>
        <w:gridCol w:w="2044"/>
        <w:gridCol w:w="1947"/>
        <w:gridCol w:w="3214"/>
      </w:tblGrid>
      <w:tr w:rsidR="00D747E3" w:rsidRPr="00B32392">
        <w:trPr>
          <w:jc w:val="center"/>
        </w:trPr>
        <w:tc>
          <w:tcPr>
            <w:tcW w:w="2434" w:type="dxa"/>
            <w:tcBorders>
              <w:top w:val="single" w:sz="6" w:space="0" w:color="000000"/>
              <w:left w:val="nil"/>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 результативності</w:t>
            </w:r>
          </w:p>
        </w:tc>
        <w:tc>
          <w:tcPr>
            <w:tcW w:w="2044" w:type="dxa"/>
            <w:tcBorders>
              <w:top w:val="single" w:sz="6" w:space="0" w:color="000000"/>
              <w:left w:val="single" w:sz="6" w:space="0" w:color="000000"/>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Вигоди (підсумок)</w:t>
            </w:r>
          </w:p>
        </w:tc>
        <w:tc>
          <w:tcPr>
            <w:tcW w:w="1947" w:type="dxa"/>
            <w:tcBorders>
              <w:top w:val="single" w:sz="6" w:space="0" w:color="000000"/>
              <w:left w:val="single" w:sz="6" w:space="0" w:color="000000"/>
              <w:bottom w:val="single" w:sz="6" w:space="0" w:color="000000"/>
              <w:right w:val="single" w:sz="6" w:space="0" w:color="000000"/>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Витрати (підсумок)</w:t>
            </w:r>
          </w:p>
        </w:tc>
        <w:tc>
          <w:tcPr>
            <w:tcW w:w="3214" w:type="dxa"/>
            <w:tcBorders>
              <w:top w:val="single" w:sz="6" w:space="0" w:color="000000"/>
              <w:left w:val="single" w:sz="6" w:space="0" w:color="000000"/>
              <w:bottom w:val="single" w:sz="6" w:space="0" w:color="000000"/>
              <w:right w:val="nil"/>
            </w:tcBorders>
          </w:tcPr>
          <w:p w:rsidR="00AF149D" w:rsidRPr="00B32392" w:rsidRDefault="00716C69" w:rsidP="00AB1AF8">
            <w:pPr>
              <w:spacing w:after="0" w:line="240" w:lineRule="auto"/>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Обґрунтування відповідного місця альтернативи у рейтингу</w:t>
            </w:r>
          </w:p>
        </w:tc>
      </w:tr>
      <w:tr w:rsidR="00D747E3" w:rsidRPr="00B32392">
        <w:trPr>
          <w:jc w:val="center"/>
        </w:trPr>
        <w:tc>
          <w:tcPr>
            <w:tcW w:w="2434"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2044"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Відсутні. Проблема залишається невирішеною. Зберігаються ризики правової невизначеності, адміністративне навантаження, можливість зловживань.</w:t>
            </w:r>
          </w:p>
        </w:tc>
        <w:tc>
          <w:tcPr>
            <w:tcW w:w="1947"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Високі непрямі витрати: час і ресурси на роз’яснення, ризик збільшення кількості звернень, зростання витрат закладів та органів управління.</w:t>
            </w:r>
          </w:p>
        </w:tc>
        <w:tc>
          <w:tcPr>
            <w:tcW w:w="3214" w:type="dxa"/>
            <w:tcBorders>
              <w:top w:val="single" w:sz="6" w:space="0" w:color="000000"/>
              <w:left w:val="single" w:sz="4" w:space="0" w:color="000000"/>
              <w:bottom w:val="single" w:sz="4" w:space="0" w:color="000000"/>
              <w:right w:val="single" w:sz="4" w:space="0" w:color="000000"/>
            </w:tcBorders>
          </w:tcPr>
          <w:p w:rsidR="00AF149D" w:rsidRPr="00B32392" w:rsidRDefault="00B60B9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не забезпечує досягнення цілей державного регулювання. Проблема залишається актуальною, що створює загрози реалізації прав громадян та порушення вимог чинного законодавства. Альтернатива є неефективною.</w:t>
            </w:r>
          </w:p>
        </w:tc>
      </w:tr>
      <w:tr w:rsidR="00D747E3" w:rsidRPr="00B32392">
        <w:trPr>
          <w:jc w:val="center"/>
        </w:trPr>
        <w:tc>
          <w:tcPr>
            <w:tcW w:w="2434"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2</w:t>
            </w:r>
          </w:p>
        </w:tc>
        <w:tc>
          <w:tcPr>
            <w:tcW w:w="2044"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Високі. Досягається повне вирішення проблеми, усувається правова невизначеність, гармонізуються норми законодавства, зменшується адміністративне навантаження.</w:t>
            </w:r>
          </w:p>
        </w:tc>
        <w:tc>
          <w:tcPr>
            <w:tcW w:w="1947"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Мінімальні. Пов’язані лише з технічним інформуванням.</w:t>
            </w:r>
          </w:p>
        </w:tc>
        <w:tc>
          <w:tcPr>
            <w:tcW w:w="3214" w:type="dxa"/>
            <w:tcBorders>
              <w:top w:val="single" w:sz="4" w:space="0" w:color="000000"/>
              <w:left w:val="single" w:sz="4" w:space="0" w:color="000000"/>
              <w:bottom w:val="single" w:sz="4" w:space="0" w:color="000000"/>
              <w:right w:val="single" w:sz="4" w:space="0" w:color="000000"/>
            </w:tcBorders>
          </w:tcPr>
          <w:p w:rsidR="00AF149D" w:rsidRPr="00B32392" w:rsidRDefault="00B60B99" w:rsidP="00AB1AF8">
            <w:pPr>
              <w:spacing w:after="0" w:line="240" w:lineRule="auto"/>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є найбільш доцільною та ефективною. Забезпечує повне досягнення цілей державного регулювання за відсутності регуляторного навантаження. Ризики реалізації незначні або відсутні.</w:t>
            </w:r>
          </w:p>
        </w:tc>
      </w:tr>
    </w:tbl>
    <w:p w:rsidR="00AF149D" w:rsidRPr="00B32392" w:rsidRDefault="00AF149D" w:rsidP="00D747E3">
      <w:pPr>
        <w:widowControl w:val="0"/>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tbl>
      <w:tblPr>
        <w:tblStyle w:val="ac"/>
        <w:tblW w:w="9639" w:type="dxa"/>
        <w:tblInd w:w="0" w:type="dxa"/>
        <w:tblLayout w:type="fixed"/>
        <w:tblLook w:val="0400" w:firstRow="0" w:lastRow="0" w:firstColumn="0" w:lastColumn="0" w:noHBand="0" w:noVBand="1"/>
      </w:tblPr>
      <w:tblGrid>
        <w:gridCol w:w="2239"/>
        <w:gridCol w:w="4186"/>
        <w:gridCol w:w="3214"/>
      </w:tblGrid>
      <w:tr w:rsidR="00D747E3" w:rsidRPr="00B32392">
        <w:tc>
          <w:tcPr>
            <w:tcW w:w="2239" w:type="dxa"/>
            <w:tcBorders>
              <w:top w:val="single" w:sz="6" w:space="0" w:color="000000"/>
              <w:left w:val="nil"/>
              <w:bottom w:val="single" w:sz="6" w:space="0" w:color="000000"/>
              <w:right w:val="single" w:sz="6" w:space="0" w:color="000000"/>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Рейтинг</w:t>
            </w:r>
          </w:p>
        </w:tc>
        <w:tc>
          <w:tcPr>
            <w:tcW w:w="4186" w:type="dxa"/>
            <w:tcBorders>
              <w:top w:val="single" w:sz="6" w:space="0" w:color="000000"/>
              <w:left w:val="single" w:sz="6" w:space="0" w:color="000000"/>
              <w:bottom w:val="single" w:sz="6" w:space="0" w:color="000000"/>
              <w:right w:val="single" w:sz="6" w:space="0" w:color="000000"/>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Аргументи щодо переваги обраної альтернативи/причини відмови від альтернативи</w:t>
            </w:r>
          </w:p>
        </w:tc>
        <w:tc>
          <w:tcPr>
            <w:tcW w:w="3214" w:type="dxa"/>
            <w:tcBorders>
              <w:top w:val="single" w:sz="6" w:space="0" w:color="000000"/>
              <w:left w:val="single" w:sz="6" w:space="0" w:color="000000"/>
              <w:bottom w:val="single" w:sz="6" w:space="0" w:color="000000"/>
              <w:right w:val="nil"/>
            </w:tcBorders>
          </w:tcPr>
          <w:p w:rsidR="00AF149D" w:rsidRPr="00B32392" w:rsidRDefault="00716C69" w:rsidP="00210328">
            <w:pPr>
              <w:spacing w:after="0" w:line="240" w:lineRule="auto"/>
              <w:ind w:hanging="14"/>
              <w:jc w:val="center"/>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Оцінка ризику зовнішніх чинників на дію запропонованого регуляторного акта</w:t>
            </w:r>
          </w:p>
        </w:tc>
      </w:tr>
      <w:tr w:rsidR="00D747E3" w:rsidRPr="00B32392">
        <w:tc>
          <w:tcPr>
            <w:tcW w:w="2239" w:type="dxa"/>
            <w:tcBorders>
              <w:top w:val="single" w:sz="6"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Альтернатива 1</w:t>
            </w:r>
          </w:p>
        </w:tc>
        <w:tc>
          <w:tcPr>
            <w:tcW w:w="4186" w:type="dxa"/>
            <w:tcBorders>
              <w:top w:val="single" w:sz="6" w:space="0" w:color="000000"/>
              <w:left w:val="single" w:sz="4" w:space="0" w:color="000000"/>
              <w:bottom w:val="single" w:sz="4" w:space="0" w:color="000000"/>
              <w:right w:val="single" w:sz="4" w:space="0" w:color="000000"/>
            </w:tcBorders>
          </w:tcPr>
          <w:p w:rsidR="00AF149D" w:rsidRPr="00B32392" w:rsidRDefault="00B60B9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 xml:space="preserve">Альтернатива відхилена через повну неефективність. Проблема залишається невирішеною, а чинні положення не відповідають вимогам чинного законодавства. Зберігаються нормативні колізії, дублювання функцій, адміністративне навантаження на органи влади та ризики правової невизначеності для громадян і суб’єктів господарювання. Альтернатива не </w:t>
            </w:r>
            <w:r w:rsidRPr="00B32392">
              <w:rPr>
                <w:rFonts w:ascii="Times New Roman" w:eastAsia="Times New Roman" w:hAnsi="Times New Roman" w:cs="Times New Roman"/>
                <w:sz w:val="24"/>
                <w:szCs w:val="28"/>
              </w:rPr>
              <w:lastRenderedPageBreak/>
              <w:t>забезпечує реалізацію цілей державної політики у сферах освіти та науки.</w:t>
            </w:r>
          </w:p>
        </w:tc>
        <w:tc>
          <w:tcPr>
            <w:tcW w:w="3214" w:type="dxa"/>
            <w:tcBorders>
              <w:top w:val="single" w:sz="6" w:space="0" w:color="000000"/>
              <w:left w:val="single" w:sz="4" w:space="0" w:color="000000"/>
              <w:bottom w:val="single" w:sz="4" w:space="0" w:color="000000"/>
              <w:right w:val="single" w:sz="4" w:space="0" w:color="000000"/>
            </w:tcBorders>
          </w:tcPr>
          <w:p w:rsidR="00AF149D" w:rsidRPr="00B32392" w:rsidRDefault="00B60B9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Високий ризик подальшого ускладнення правозастосування, збереження значної кількості звернень і потенційних зловживань через нечіткість чинних норм. Ризики репутаційного характеру для держави залишаються актуальними.</w:t>
            </w:r>
          </w:p>
        </w:tc>
      </w:tr>
      <w:tr w:rsidR="00D747E3" w:rsidRPr="00B32392">
        <w:tc>
          <w:tcPr>
            <w:tcW w:w="2239" w:type="dxa"/>
            <w:tcBorders>
              <w:top w:val="single" w:sz="4" w:space="0" w:color="000000"/>
              <w:left w:val="single" w:sz="4" w:space="0" w:color="000000"/>
              <w:bottom w:val="single" w:sz="4" w:space="0" w:color="000000"/>
              <w:right w:val="single" w:sz="4" w:space="0" w:color="000000"/>
            </w:tcBorders>
          </w:tcPr>
          <w:p w:rsidR="00AF149D" w:rsidRPr="00B32392" w:rsidRDefault="00716C6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lastRenderedPageBreak/>
              <w:t>Альтернатива 2</w:t>
            </w:r>
          </w:p>
        </w:tc>
        <w:tc>
          <w:tcPr>
            <w:tcW w:w="4186" w:type="dxa"/>
            <w:tcBorders>
              <w:top w:val="single" w:sz="4" w:space="0" w:color="000000"/>
              <w:left w:val="single" w:sz="4" w:space="0" w:color="000000"/>
              <w:bottom w:val="single" w:sz="4" w:space="0" w:color="000000"/>
              <w:right w:val="single" w:sz="4" w:space="0" w:color="000000"/>
            </w:tcBorders>
          </w:tcPr>
          <w:p w:rsidR="00AF149D" w:rsidRPr="00B32392" w:rsidRDefault="00B60B9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Обрана як найбільш ефективна альтернатива. Законопроєкт дозволяє усунути нормативні прогалини, гармонізувати Закон із чинним законодавством, зменшити адміністративне навантаження, підвищити прозорість та уніфікованість правозастосування. Зміни мають чітко визначену мету, не створюють додаткового регуляторного навантаження та відповідають антикорупційним підходам державної політики.</w:t>
            </w:r>
          </w:p>
        </w:tc>
        <w:tc>
          <w:tcPr>
            <w:tcW w:w="3214" w:type="dxa"/>
            <w:tcBorders>
              <w:top w:val="single" w:sz="4" w:space="0" w:color="000000"/>
              <w:left w:val="single" w:sz="4" w:space="0" w:color="000000"/>
              <w:bottom w:val="single" w:sz="4" w:space="0" w:color="000000"/>
              <w:right w:val="single" w:sz="4" w:space="0" w:color="000000"/>
            </w:tcBorders>
          </w:tcPr>
          <w:p w:rsidR="00AF149D" w:rsidRPr="00B32392" w:rsidRDefault="00B60B99" w:rsidP="00AB1AF8">
            <w:pPr>
              <w:spacing w:after="0" w:line="240" w:lineRule="auto"/>
              <w:ind w:hanging="14"/>
              <w:rPr>
                <w:rFonts w:ascii="Times New Roman" w:eastAsia="Times New Roman" w:hAnsi="Times New Roman" w:cs="Times New Roman"/>
                <w:sz w:val="24"/>
                <w:szCs w:val="28"/>
              </w:rPr>
            </w:pPr>
            <w:r w:rsidRPr="00B32392">
              <w:rPr>
                <w:rFonts w:ascii="Times New Roman" w:eastAsia="Times New Roman" w:hAnsi="Times New Roman" w:cs="Times New Roman"/>
                <w:sz w:val="24"/>
                <w:szCs w:val="28"/>
              </w:rPr>
              <w:t>Вплив зовнішніх чинників не прогнозується. Реалізація регуляторного акта не залежить від політичних, економічних чи соціальних ризиків. Зміни мають техніко-юридичний характер і можуть бути реалізовані незалежно від зовнішніх обставин.</w:t>
            </w:r>
          </w:p>
        </w:tc>
      </w:tr>
    </w:tbl>
    <w:p w:rsidR="00AB1AF8" w:rsidRPr="00B32392" w:rsidRDefault="00AB1AF8"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Таким чином, оптимальним варіантом є Альтернатива 2 — ухвалення проєкту регуляторного акта у запропонованій редакції, яка забезпечує правову визначеність, ефективність та відповідність чинному законодавству.</w:t>
      </w:r>
    </w:p>
    <w:p w:rsidR="00C60A7D" w:rsidRPr="00B32392" w:rsidRDefault="00C60A7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561511"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561511">
        <w:rPr>
          <w:rFonts w:ascii="Times New Roman" w:eastAsia="Times New Roman" w:hAnsi="Times New Roman" w:cs="Times New Roman"/>
          <w:b/>
          <w:sz w:val="28"/>
          <w:szCs w:val="28"/>
        </w:rPr>
        <w:t>V. Механізми та заходи, які забезпечать розв’язання визначеної проблеми</w:t>
      </w:r>
    </w:p>
    <w:p w:rsidR="00AB1AF8" w:rsidRPr="00B47B0E" w:rsidRDefault="00561511" w:rsidP="00561511">
      <w:pPr>
        <w:shd w:val="clear" w:color="auto" w:fill="FFFFFF"/>
        <w:spacing w:after="0" w:line="240" w:lineRule="auto"/>
        <w:ind w:firstLine="709"/>
        <w:jc w:val="both"/>
        <w:rPr>
          <w:rFonts w:ascii="Times New Roman" w:eastAsia="Times New Roman" w:hAnsi="Times New Roman" w:cs="Times New Roman"/>
          <w:sz w:val="28"/>
          <w:szCs w:val="28"/>
        </w:rPr>
      </w:pPr>
      <w:r w:rsidRPr="00B47B0E">
        <w:rPr>
          <w:rFonts w:ascii="Times New Roman" w:hAnsi="Times New Roman" w:cs="Times New Roman"/>
          <w:sz w:val="28"/>
          <w:szCs w:val="28"/>
        </w:rPr>
        <w:t>Для вирішення проблем, визначених у розділі першому, та досягнення цілей, визначених у розділі другому цього аналізу регуляторного впливу, проєктом акта передбачено механізм розв’язання проблеми шляхом його прийняття.</w:t>
      </w:r>
    </w:p>
    <w:p w:rsidR="00D8248E" w:rsidRPr="00B32392" w:rsidRDefault="00D8248E" w:rsidP="00D8248E">
      <w:pPr>
        <w:shd w:val="clear" w:color="auto" w:fill="FFFFFF"/>
        <w:spacing w:after="0" w:line="240" w:lineRule="auto"/>
        <w:ind w:firstLine="709"/>
        <w:jc w:val="both"/>
        <w:rPr>
          <w:rFonts w:ascii="Times New Roman" w:eastAsia="Times New Roman" w:hAnsi="Times New Roman" w:cs="Times New Roman"/>
          <w:sz w:val="28"/>
          <w:szCs w:val="28"/>
        </w:rPr>
      </w:pPr>
      <w:r w:rsidRPr="00561511">
        <w:rPr>
          <w:rFonts w:ascii="Times New Roman" w:eastAsia="Times New Roman" w:hAnsi="Times New Roman" w:cs="Times New Roman"/>
          <w:sz w:val="28"/>
          <w:szCs w:val="28"/>
        </w:rPr>
        <w:t>Для забезпечення</w:t>
      </w:r>
      <w:r w:rsidRPr="00B32392">
        <w:rPr>
          <w:rFonts w:ascii="Times New Roman" w:eastAsia="Times New Roman" w:hAnsi="Times New Roman" w:cs="Times New Roman"/>
          <w:sz w:val="28"/>
          <w:szCs w:val="28"/>
        </w:rPr>
        <w:t xml:space="preserve"> впровадження запропонованих змін органи державної влади повинні здійснити такі дії:</w:t>
      </w:r>
    </w:p>
    <w:p w:rsidR="00D8248E" w:rsidRPr="00B32392" w:rsidRDefault="00D8248E" w:rsidP="00D8248E">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 оприлюднення прийнятого закону на офіційних </w:t>
      </w:r>
      <w:proofErr w:type="spellStart"/>
      <w:r w:rsidRPr="00B32392">
        <w:rPr>
          <w:rFonts w:ascii="Times New Roman" w:eastAsia="Times New Roman" w:hAnsi="Times New Roman" w:cs="Times New Roman"/>
          <w:sz w:val="28"/>
          <w:szCs w:val="28"/>
        </w:rPr>
        <w:t>вебсайтах</w:t>
      </w:r>
      <w:proofErr w:type="spellEnd"/>
      <w:r w:rsidRPr="00B32392">
        <w:rPr>
          <w:rFonts w:ascii="Times New Roman" w:eastAsia="Times New Roman" w:hAnsi="Times New Roman" w:cs="Times New Roman"/>
          <w:sz w:val="28"/>
          <w:szCs w:val="28"/>
        </w:rPr>
        <w:t xml:space="preserve"> (Верховної Ради України, Міністерства освіти і науки України, інших дотичних ЦОВВ);</w:t>
      </w:r>
    </w:p>
    <w:p w:rsidR="00D8248E" w:rsidRPr="00B32392" w:rsidRDefault="00D8248E" w:rsidP="00D8248E">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підготовка та поширення офіційних роз’яснень щодо внесених змін для цільових аудиторій — закладів освіти, наукових установ, органів управління;</w:t>
      </w:r>
    </w:p>
    <w:p w:rsidR="00D8248E" w:rsidRPr="00B32392" w:rsidRDefault="00D8248E" w:rsidP="00D8248E">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доведення змін до відома керівників закладів освіти та профільних підрозділів ЦОВВ, які реалізують державну політику у сферах освіти та науки.</w:t>
      </w:r>
    </w:p>
    <w:p w:rsidR="00D8248E" w:rsidRPr="00B32392" w:rsidRDefault="00D8248E" w:rsidP="00D8248E">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Зазначені заходи не потребують додаткового бюджетного фінансування та здійснюються в межах повноважень органів виконавчої влади як елемент реалізації нормотворчої та інформаційної політики.</w:t>
      </w:r>
    </w:p>
    <w:p w:rsidR="00AF149D" w:rsidRPr="00B32392" w:rsidRDefault="00AF149D"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AB1AF8">
      <w:pPr>
        <w:shd w:val="clear" w:color="auto" w:fill="FFFFFF"/>
        <w:spacing w:after="0" w:line="240" w:lineRule="auto"/>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AB1AF8" w:rsidRPr="00B32392" w:rsidRDefault="00AB1AF8" w:rsidP="00AB1AF8">
      <w:pPr>
        <w:shd w:val="clear" w:color="auto" w:fill="FFFFFF"/>
        <w:spacing w:after="0" w:line="240" w:lineRule="auto"/>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xml:space="preserve">Запропонований регуляторний акт має виключно техніко-юридичний характер і не містить норм прямої дії, які б покладали додаткові обов’язки на </w:t>
      </w:r>
      <w:r w:rsidRPr="00B32392">
        <w:rPr>
          <w:rFonts w:ascii="Times New Roman" w:eastAsia="Times New Roman" w:hAnsi="Times New Roman" w:cs="Times New Roman"/>
          <w:sz w:val="28"/>
          <w:szCs w:val="28"/>
        </w:rPr>
        <w:lastRenderedPageBreak/>
        <w:t>фізичних чи юридичних осіб, органи виконавчої влади або місцевого самоврядування.</w:t>
      </w: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У зв’язку з цим:</w:t>
      </w: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витрати на виконання вимог регуляторного акта для органів виконавчої влади не передбачаються;</w:t>
      </w: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регулювання не поширюється на суб’єктів господарювання, включно з малим підприємництвом;</w:t>
      </w:r>
    </w:p>
    <w:p w:rsidR="00124845" w:rsidRPr="00B32392" w:rsidRDefault="00127438" w:rsidP="00D747E3">
      <w:pPr>
        <w:shd w:val="clear" w:color="auto" w:fill="FFFFFF"/>
        <w:spacing w:after="0" w:line="240" w:lineRule="auto"/>
        <w:ind w:firstLine="709"/>
        <w:jc w:val="both"/>
        <w:rPr>
          <w:rFonts w:ascii="Times New Roman" w:eastAsia="Times New Roman" w:hAnsi="Times New Roman" w:cs="Times New Roman"/>
          <w:sz w:val="28"/>
          <w:szCs w:val="28"/>
        </w:rPr>
      </w:pPr>
      <w:r w:rsidRPr="00127438">
        <w:rPr>
          <w:rFonts w:ascii="Times New Roman" w:eastAsia="Times New Roman" w:hAnsi="Times New Roman" w:cs="Times New Roman"/>
          <w:sz w:val="28"/>
          <w:szCs w:val="28"/>
        </w:rPr>
        <w:t>Ураховуючи, що питома вага суб’єктів малого підприємництва в загальній кількості суб’єктів господарювання, на яких поширюється регулювання, перевищує 10 %, здійснюється розрахунок витрат за запровадження державного регулювання для суб’єктів малого підприємництва згідно з додатком 4 до Методики проведення аналізу впливу регуляторного акта (</w:t>
      </w:r>
      <w:r>
        <w:rPr>
          <w:rFonts w:ascii="Times New Roman" w:eastAsia="Times New Roman" w:hAnsi="Times New Roman" w:cs="Times New Roman"/>
          <w:sz w:val="28"/>
          <w:szCs w:val="28"/>
        </w:rPr>
        <w:t>додається</w:t>
      </w:r>
      <w:r w:rsidRPr="00127438">
        <w:rPr>
          <w:rFonts w:ascii="Times New Roman" w:eastAsia="Times New Roman" w:hAnsi="Times New Roman" w:cs="Times New Roman"/>
          <w:sz w:val="28"/>
          <w:szCs w:val="28"/>
        </w:rPr>
        <w:t>).</w:t>
      </w:r>
    </w:p>
    <w:p w:rsidR="00124845" w:rsidRPr="001D7205" w:rsidRDefault="00124845"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VII. Обґрунтування запропонованого строку дії регуляторного акта</w:t>
      </w:r>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Регуляторний акт має безстроковий характер, оскільки стосується виключно внесення змін до закону, якими:</w:t>
      </w: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усуваються застарілі та неактуальні норми;</w:t>
      </w: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 гармонізується правове регулювання з чинними законами України.</w:t>
      </w: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Зміни мають постійний ефект і не потребують подальшої актуалізації, якщо не зміниться базове законодавство у відповідних сферах. Отже, встановлення строку дії не є необхідним.</w:t>
      </w:r>
    </w:p>
    <w:p w:rsidR="00B47B0E" w:rsidRPr="00B32392" w:rsidRDefault="00B47B0E"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VIII. Визначення показників результативності дії регуляторного акта</w:t>
      </w:r>
    </w:p>
    <w:p w:rsidR="00AB1AF8" w:rsidRPr="00B32392" w:rsidRDefault="00AB1AF8" w:rsidP="00D747E3">
      <w:pPr>
        <w:shd w:val="clear" w:color="auto" w:fill="FFFFFF"/>
        <w:spacing w:after="0" w:line="240" w:lineRule="auto"/>
        <w:ind w:firstLine="709"/>
        <w:jc w:val="center"/>
        <w:rPr>
          <w:rFonts w:ascii="Times New Roman" w:eastAsia="Times New Roman" w:hAnsi="Times New Roman" w:cs="Times New Roman"/>
          <w:sz w:val="28"/>
          <w:szCs w:val="28"/>
        </w:rPr>
      </w:pPr>
    </w:p>
    <w:p w:rsidR="00AF149D" w:rsidRPr="00B32392"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B32392">
        <w:rPr>
          <w:rFonts w:ascii="Times New Roman" w:eastAsia="Times New Roman" w:hAnsi="Times New Roman" w:cs="Times New Roman"/>
          <w:sz w:val="28"/>
          <w:szCs w:val="28"/>
        </w:rPr>
        <w:t>Прогнозованими кількісними показниками результативності дії регуляторного акта є:</w:t>
      </w:r>
    </w:p>
    <w:p w:rsidR="007B6B97" w:rsidRPr="007B6B97" w:rsidRDefault="007B6B97" w:rsidP="007B6B9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w:t>
      </w:r>
      <w:r w:rsidRPr="007B6B97">
        <w:rPr>
          <w:rFonts w:ascii="Times New Roman" w:eastAsia="Times New Roman" w:hAnsi="Times New Roman" w:cs="Times New Roman"/>
          <w:sz w:val="28"/>
          <w:szCs w:val="28"/>
        </w:rPr>
        <w:t>розмір надходжень до державного та місцевих бюджетів і державних цільових фондів, пов’язаних з дією акта – не прогнозується;</w:t>
      </w:r>
    </w:p>
    <w:p w:rsidR="007B6B97" w:rsidRPr="00605CA0" w:rsidRDefault="007B6B97" w:rsidP="007B6B97">
      <w:pPr>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w:t>
      </w:r>
      <w:r w:rsidRPr="007B6B97">
        <w:rPr>
          <w:rFonts w:ascii="Times New Roman" w:eastAsia="Times New Roman" w:hAnsi="Times New Roman" w:cs="Times New Roman"/>
          <w:sz w:val="28"/>
          <w:szCs w:val="28"/>
        </w:rPr>
        <w:t xml:space="preserve">розмір коштів і час, що </w:t>
      </w:r>
      <w:r w:rsidRPr="00605CA0">
        <w:rPr>
          <w:rFonts w:ascii="Times New Roman" w:eastAsia="Times New Roman" w:hAnsi="Times New Roman" w:cs="Times New Roman"/>
          <w:sz w:val="28"/>
          <w:szCs w:val="28"/>
        </w:rPr>
        <w:t xml:space="preserve">витрачатимуться суб’єктами господарювання, пов’язаними з виконанням вимог акта – </w:t>
      </w:r>
      <w:r w:rsidR="00125DF2" w:rsidRPr="00605CA0">
        <w:rPr>
          <w:rFonts w:ascii="Times New Roman" w:eastAsia="Times New Roman" w:hAnsi="Times New Roman" w:cs="Times New Roman"/>
          <w:sz w:val="28"/>
          <w:szCs w:val="28"/>
        </w:rPr>
        <w:t>368 046</w:t>
      </w:r>
      <w:r w:rsidR="00B47B0E" w:rsidRPr="00605CA0">
        <w:rPr>
          <w:rFonts w:ascii="Times New Roman" w:eastAsia="Times New Roman" w:hAnsi="Times New Roman" w:cs="Times New Roman"/>
          <w:sz w:val="28"/>
          <w:szCs w:val="28"/>
        </w:rPr>
        <w:t>,00 грн;</w:t>
      </w:r>
    </w:p>
    <w:p w:rsidR="007B6B97" w:rsidRPr="00605CA0" w:rsidRDefault="007B6B97" w:rsidP="007B6B97">
      <w:pPr>
        <w:shd w:val="clear" w:color="auto" w:fill="FFFFFF"/>
        <w:spacing w:after="0" w:line="240" w:lineRule="auto"/>
        <w:ind w:firstLine="709"/>
        <w:jc w:val="both"/>
        <w:rPr>
          <w:rFonts w:ascii="Times New Roman" w:eastAsia="Times New Roman" w:hAnsi="Times New Roman" w:cs="Times New Roman"/>
          <w:sz w:val="28"/>
          <w:szCs w:val="28"/>
        </w:rPr>
      </w:pPr>
      <w:r w:rsidRPr="00605CA0">
        <w:rPr>
          <w:rFonts w:ascii="Times New Roman" w:eastAsia="Times New Roman" w:hAnsi="Times New Roman" w:cs="Times New Roman"/>
          <w:sz w:val="28"/>
          <w:szCs w:val="28"/>
        </w:rPr>
        <w:t>-</w:t>
      </w:r>
      <w:r w:rsidRPr="00605CA0">
        <w:rPr>
          <w:rFonts w:ascii="Times New Roman" w:eastAsia="Times New Roman" w:hAnsi="Times New Roman" w:cs="Times New Roman"/>
          <w:sz w:val="28"/>
          <w:szCs w:val="28"/>
          <w:lang w:val="en-US"/>
        </w:rPr>
        <w:t> </w:t>
      </w:r>
      <w:r w:rsidRPr="00605CA0">
        <w:rPr>
          <w:rFonts w:ascii="Times New Roman" w:eastAsia="Times New Roman" w:hAnsi="Times New Roman" w:cs="Times New Roman"/>
          <w:sz w:val="28"/>
          <w:szCs w:val="28"/>
        </w:rPr>
        <w:t xml:space="preserve">кількість суб’єктів господарювання та/або фізичних осіб (закладів професійної (професійно-технічної) освіти різних форм власності та підпорядкування та заклади </w:t>
      </w:r>
      <w:r w:rsidRPr="00605CA0">
        <w:rPr>
          <w:rFonts w:ascii="Times New Roman" w:hAnsi="Times New Roman" w:cs="Times New Roman"/>
          <w:sz w:val="28"/>
        </w:rPr>
        <w:t>освіти, що здійснюють освітню діяльність за рівнями вищої освіти</w:t>
      </w:r>
      <w:r w:rsidRPr="00605CA0">
        <w:rPr>
          <w:rFonts w:ascii="Times New Roman" w:eastAsia="Times New Roman" w:hAnsi="Times New Roman" w:cs="Times New Roman"/>
          <w:sz w:val="28"/>
          <w:szCs w:val="28"/>
        </w:rPr>
        <w:t>), на яких поширюватиметься дія акта</w:t>
      </w:r>
      <w:r w:rsidR="00561511" w:rsidRPr="00605CA0">
        <w:rPr>
          <w:rFonts w:ascii="Times New Roman" w:eastAsia="Times New Roman" w:hAnsi="Times New Roman" w:cs="Times New Roman"/>
          <w:sz w:val="28"/>
          <w:szCs w:val="28"/>
        </w:rPr>
        <w:t xml:space="preserve"> - 981</w:t>
      </w:r>
      <w:r w:rsidRPr="00605CA0">
        <w:rPr>
          <w:rFonts w:ascii="Times New Roman" w:eastAsia="Times New Roman" w:hAnsi="Times New Roman" w:cs="Times New Roman"/>
          <w:sz w:val="28"/>
          <w:szCs w:val="28"/>
        </w:rPr>
        <w:t>;</w:t>
      </w:r>
    </w:p>
    <w:p w:rsidR="007B6B97" w:rsidRPr="00605CA0" w:rsidRDefault="007B6B97" w:rsidP="007B6B97">
      <w:pPr>
        <w:shd w:val="clear" w:color="auto" w:fill="FFFFFF"/>
        <w:spacing w:after="0" w:line="240" w:lineRule="auto"/>
        <w:ind w:firstLine="709"/>
        <w:jc w:val="both"/>
        <w:rPr>
          <w:rFonts w:ascii="Times New Roman" w:eastAsia="Times New Roman" w:hAnsi="Times New Roman" w:cs="Times New Roman"/>
          <w:sz w:val="28"/>
          <w:szCs w:val="28"/>
        </w:rPr>
      </w:pPr>
      <w:r w:rsidRPr="00605CA0">
        <w:rPr>
          <w:rFonts w:ascii="Times New Roman" w:eastAsia="Times New Roman" w:hAnsi="Times New Roman" w:cs="Times New Roman"/>
          <w:sz w:val="28"/>
          <w:szCs w:val="28"/>
        </w:rPr>
        <w:t>-</w:t>
      </w:r>
      <w:r w:rsidRPr="00605CA0">
        <w:rPr>
          <w:rFonts w:ascii="Times New Roman" w:eastAsia="Times New Roman" w:hAnsi="Times New Roman" w:cs="Times New Roman"/>
          <w:sz w:val="28"/>
          <w:szCs w:val="28"/>
          <w:lang w:val="en-US"/>
        </w:rPr>
        <w:t> </w:t>
      </w:r>
      <w:r w:rsidRPr="00605CA0">
        <w:rPr>
          <w:rFonts w:ascii="Times New Roman" w:eastAsia="Times New Roman" w:hAnsi="Times New Roman" w:cs="Times New Roman"/>
          <w:sz w:val="28"/>
          <w:szCs w:val="28"/>
        </w:rPr>
        <w:t>рівень поінформованості суб’єктів господарювання з основних положень акта</w:t>
      </w:r>
      <w:r w:rsidR="00561511" w:rsidRPr="00605CA0">
        <w:rPr>
          <w:rFonts w:ascii="Times New Roman" w:eastAsia="Times New Roman" w:hAnsi="Times New Roman" w:cs="Times New Roman"/>
          <w:sz w:val="28"/>
          <w:szCs w:val="28"/>
        </w:rPr>
        <w:t>.</w:t>
      </w:r>
      <w:r w:rsidR="00561511" w:rsidRPr="00605CA0">
        <w:rPr>
          <w:rFonts w:ascii="Times New Roman" w:hAnsi="Times New Roman" w:cs="Times New Roman"/>
          <w:sz w:val="28"/>
          <w:szCs w:val="28"/>
        </w:rPr>
        <w:t xml:space="preserve"> Повідомлення про оприлюднення, проєкт акта та аналіз регуляторного впливу акта розміщено на офіційному </w:t>
      </w:r>
      <w:proofErr w:type="spellStart"/>
      <w:r w:rsidR="00561511" w:rsidRPr="00605CA0">
        <w:rPr>
          <w:rFonts w:ascii="Times New Roman" w:hAnsi="Times New Roman" w:cs="Times New Roman"/>
          <w:sz w:val="28"/>
          <w:szCs w:val="28"/>
        </w:rPr>
        <w:t>вебсайті</w:t>
      </w:r>
      <w:proofErr w:type="spellEnd"/>
      <w:r w:rsidR="00561511" w:rsidRPr="00605CA0">
        <w:rPr>
          <w:rFonts w:ascii="Times New Roman" w:hAnsi="Times New Roman" w:cs="Times New Roman"/>
          <w:sz w:val="28"/>
          <w:szCs w:val="28"/>
        </w:rPr>
        <w:t xml:space="preserve"> Міністерства освіти і науки України (www.mon.gov.ua). Проєкт акта було обговорено та підтримано </w:t>
      </w:r>
      <w:r w:rsidR="00B47B0E" w:rsidRPr="00605CA0">
        <w:rPr>
          <w:rFonts w:ascii="Times New Roman" w:hAnsi="Times New Roman" w:cs="Times New Roman"/>
          <w:sz w:val="28"/>
          <w:szCs w:val="28"/>
        </w:rPr>
        <w:t>закладами освіти, громадськістю</w:t>
      </w:r>
      <w:r w:rsidRPr="00605CA0">
        <w:rPr>
          <w:rFonts w:ascii="Times New Roman" w:eastAsia="Times New Roman" w:hAnsi="Times New Roman" w:cs="Times New Roman"/>
          <w:sz w:val="28"/>
          <w:szCs w:val="28"/>
        </w:rPr>
        <w:t>;</w:t>
      </w:r>
    </w:p>
    <w:p w:rsidR="00AF149D" w:rsidRPr="00861A5A" w:rsidRDefault="00716C69" w:rsidP="00D747E3">
      <w:pPr>
        <w:shd w:val="clear" w:color="auto" w:fill="FFFFFF"/>
        <w:spacing w:after="0" w:line="240" w:lineRule="auto"/>
        <w:ind w:firstLine="709"/>
        <w:jc w:val="both"/>
        <w:rPr>
          <w:rFonts w:ascii="Times New Roman" w:eastAsia="Times New Roman" w:hAnsi="Times New Roman" w:cs="Times New Roman"/>
          <w:sz w:val="28"/>
          <w:szCs w:val="28"/>
        </w:rPr>
      </w:pPr>
      <w:r w:rsidRPr="00861A5A">
        <w:rPr>
          <w:rFonts w:ascii="Times New Roman" w:eastAsia="Times New Roman" w:hAnsi="Times New Roman" w:cs="Times New Roman"/>
          <w:sz w:val="28"/>
          <w:szCs w:val="28"/>
        </w:rPr>
        <w:t>- </w:t>
      </w:r>
      <w:r w:rsidR="00605CA0" w:rsidRPr="00861A5A">
        <w:rPr>
          <w:rFonts w:ascii="Times New Roman" w:eastAsia="Times New Roman" w:hAnsi="Times New Roman" w:cs="Times New Roman"/>
          <w:sz w:val="28"/>
          <w:szCs w:val="28"/>
        </w:rPr>
        <w:t>кількість випадків застосування квотування, яке регулювалося положеннями, що підлягають виключенню;</w:t>
      </w:r>
    </w:p>
    <w:p w:rsidR="00D92D23" w:rsidRPr="00861A5A" w:rsidRDefault="00D92D23" w:rsidP="007B6B97">
      <w:pPr>
        <w:shd w:val="clear" w:color="auto" w:fill="FFFFFF"/>
        <w:spacing w:after="0" w:line="240" w:lineRule="auto"/>
        <w:ind w:firstLine="709"/>
        <w:jc w:val="both"/>
        <w:rPr>
          <w:rFonts w:ascii="Times New Roman" w:eastAsia="Times New Roman" w:hAnsi="Times New Roman" w:cs="Times New Roman"/>
          <w:sz w:val="28"/>
          <w:szCs w:val="28"/>
        </w:rPr>
      </w:pPr>
      <w:r w:rsidRPr="00861A5A">
        <w:rPr>
          <w:rFonts w:ascii="Times New Roman" w:eastAsia="Times New Roman" w:hAnsi="Times New Roman" w:cs="Times New Roman"/>
          <w:sz w:val="28"/>
          <w:szCs w:val="28"/>
        </w:rPr>
        <w:lastRenderedPageBreak/>
        <w:t>- </w:t>
      </w:r>
      <w:r w:rsidR="00605CA0" w:rsidRPr="00861A5A">
        <w:rPr>
          <w:rFonts w:ascii="Times New Roman" w:eastAsia="Times New Roman" w:hAnsi="Times New Roman" w:cs="Times New Roman"/>
          <w:sz w:val="28"/>
          <w:szCs w:val="28"/>
        </w:rPr>
        <w:t>обсяг витрат суб’єктів господарювання, пов’язаних із процедурою квотування, — відсутній у зв’язку зі скасуванням відповідних норм</w:t>
      </w:r>
      <w:r w:rsidR="007B6B97" w:rsidRPr="00861A5A">
        <w:rPr>
          <w:rFonts w:ascii="Times New Roman" w:eastAsia="Times New Roman" w:hAnsi="Times New Roman" w:cs="Times New Roman"/>
          <w:sz w:val="28"/>
          <w:szCs w:val="28"/>
        </w:rPr>
        <w:t>;</w:t>
      </w:r>
    </w:p>
    <w:p w:rsidR="007B6B97" w:rsidRPr="00861A5A" w:rsidRDefault="007B6B97" w:rsidP="007B6B97">
      <w:pPr>
        <w:shd w:val="clear" w:color="auto" w:fill="FFFFFF"/>
        <w:spacing w:after="0" w:line="240" w:lineRule="auto"/>
        <w:ind w:firstLine="709"/>
        <w:jc w:val="both"/>
        <w:rPr>
          <w:rFonts w:ascii="Times New Roman" w:eastAsia="Times New Roman" w:hAnsi="Times New Roman" w:cs="Times New Roman"/>
          <w:sz w:val="28"/>
          <w:szCs w:val="28"/>
        </w:rPr>
      </w:pPr>
      <w:r w:rsidRPr="00861A5A">
        <w:rPr>
          <w:rFonts w:ascii="Times New Roman" w:eastAsia="Times New Roman" w:hAnsi="Times New Roman" w:cs="Times New Roman"/>
          <w:sz w:val="28"/>
          <w:szCs w:val="28"/>
        </w:rPr>
        <w:t>- </w:t>
      </w:r>
      <w:r w:rsidR="000F183A" w:rsidRPr="00861A5A">
        <w:rPr>
          <w:rFonts w:ascii="Times New Roman" w:eastAsia="Times New Roman" w:hAnsi="Times New Roman" w:cs="Times New Roman"/>
          <w:sz w:val="28"/>
          <w:szCs w:val="28"/>
        </w:rPr>
        <w:t>кількість органів державної влади, які мають бути поінформовані про зміни.</w:t>
      </w:r>
    </w:p>
    <w:p w:rsidR="00EE0211" w:rsidRPr="00B32392" w:rsidRDefault="00EE0211" w:rsidP="00D747E3">
      <w:pPr>
        <w:shd w:val="clear" w:color="auto" w:fill="FFFFFF"/>
        <w:spacing w:after="0" w:line="240" w:lineRule="auto"/>
        <w:ind w:firstLine="709"/>
        <w:jc w:val="both"/>
        <w:rPr>
          <w:rFonts w:ascii="Times New Roman" w:eastAsia="Times New Roman" w:hAnsi="Times New Roman" w:cs="Times New Roman"/>
          <w:sz w:val="28"/>
          <w:szCs w:val="28"/>
        </w:rPr>
      </w:pPr>
    </w:p>
    <w:p w:rsidR="00AF149D" w:rsidRPr="00B32392" w:rsidRDefault="00716C69" w:rsidP="001D7205">
      <w:pPr>
        <w:shd w:val="clear" w:color="auto" w:fill="FFFFFF"/>
        <w:spacing w:after="0" w:line="240" w:lineRule="auto"/>
        <w:ind w:firstLine="709"/>
        <w:jc w:val="center"/>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IX. Визначення заходів, за допомогою яких здійснюватиметься відстеження результативності дії регуляторного акта</w:t>
      </w:r>
    </w:p>
    <w:p w:rsidR="00AB1AF8" w:rsidRPr="00B32392" w:rsidRDefault="00AB1AF8" w:rsidP="001D7205">
      <w:pPr>
        <w:shd w:val="clear" w:color="auto" w:fill="FFFFFF"/>
        <w:spacing w:after="0" w:line="240" w:lineRule="auto"/>
        <w:ind w:firstLine="709"/>
        <w:jc w:val="center"/>
        <w:rPr>
          <w:rFonts w:ascii="Times New Roman" w:eastAsia="Times New Roman" w:hAnsi="Times New Roman" w:cs="Times New Roman"/>
          <w:sz w:val="28"/>
          <w:szCs w:val="28"/>
        </w:rPr>
      </w:pPr>
    </w:p>
    <w:p w:rsidR="000F183A" w:rsidRDefault="004C33E6" w:rsidP="001D7205">
      <w:pPr>
        <w:pStyle w:val="af6"/>
        <w:ind w:firstLine="709"/>
        <w:jc w:val="both"/>
      </w:pPr>
      <w:r>
        <w:t>Відстеження результативності дії регуляторного акта буде здійснювати Міністерство освіти і науки України</w:t>
      </w:r>
      <w:r w:rsidR="000F183A" w:rsidRPr="0053157C">
        <w:t xml:space="preserve"> за допомогою заходів, спрямованих на оцінку стану впровадження регуляторного акта, шляхом аналізу статистичних даних. </w:t>
      </w:r>
    </w:p>
    <w:p w:rsidR="000F183A" w:rsidRDefault="000F183A" w:rsidP="001D7205">
      <w:pPr>
        <w:pStyle w:val="af6"/>
        <w:ind w:firstLine="709"/>
        <w:jc w:val="both"/>
      </w:pPr>
      <w:r w:rsidRPr="000F183A">
        <w:t>Базове відстеження результативності буде здійснено у III ква</w:t>
      </w:r>
      <w:r>
        <w:t xml:space="preserve">рталі після набрання чинності </w:t>
      </w:r>
      <w:r w:rsidRPr="000F183A">
        <w:t>регуляторн</w:t>
      </w:r>
      <w:r>
        <w:t>ого</w:t>
      </w:r>
      <w:r w:rsidRPr="000F183A">
        <w:t xml:space="preserve"> акт</w:t>
      </w:r>
      <w:r>
        <w:t>а.</w:t>
      </w:r>
    </w:p>
    <w:p w:rsidR="000F183A" w:rsidRDefault="000F183A" w:rsidP="001D7205">
      <w:pPr>
        <w:pStyle w:val="af6"/>
        <w:ind w:firstLine="709"/>
        <w:jc w:val="both"/>
      </w:pPr>
      <w:r w:rsidRPr="0053157C">
        <w:t>Повторне відстеження планується здійснити</w:t>
      </w:r>
      <w:r w:rsidR="00841266">
        <w:t xml:space="preserve"> у</w:t>
      </w:r>
      <w:r w:rsidRPr="0053157C">
        <w:t xml:space="preserve"> </w:t>
      </w:r>
      <w:r w:rsidRPr="000F183A">
        <w:t>III кварталі</w:t>
      </w:r>
      <w:r>
        <w:t xml:space="preserve"> наступного року</w:t>
      </w:r>
      <w:r w:rsidRPr="0053157C">
        <w:t xml:space="preserve"> після набрання чинності регуляторного акта, в результаті якого відбудеться порівняння показників базового та повторного обстеження. </w:t>
      </w:r>
    </w:p>
    <w:p w:rsidR="000F183A" w:rsidRDefault="000F183A" w:rsidP="001D7205">
      <w:pPr>
        <w:pStyle w:val="af6"/>
        <w:ind w:firstLine="709"/>
        <w:jc w:val="both"/>
      </w:pPr>
      <w:r w:rsidRPr="0053157C">
        <w:t xml:space="preserve">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 </w:t>
      </w:r>
    </w:p>
    <w:p w:rsidR="000F183A" w:rsidRDefault="000F183A" w:rsidP="001D7205">
      <w:pPr>
        <w:pStyle w:val="af6"/>
        <w:ind w:firstLine="709"/>
        <w:jc w:val="both"/>
      </w:pPr>
      <w:r w:rsidRPr="0053157C">
        <w:t xml:space="preserve">Метод проведення відстеження результативності </w:t>
      </w:r>
      <w:r w:rsidR="001D7205">
        <w:t>–</w:t>
      </w:r>
      <w:r w:rsidRPr="0053157C">
        <w:t xml:space="preserve"> статистичний</w:t>
      </w:r>
      <w:r w:rsidR="00841266">
        <w:t>.</w:t>
      </w:r>
      <w:bookmarkStart w:id="1" w:name="_GoBack"/>
      <w:bookmarkEnd w:id="1"/>
    </w:p>
    <w:p w:rsidR="001D7205" w:rsidRPr="00F041FA" w:rsidRDefault="001D7205" w:rsidP="001D7205">
      <w:pPr>
        <w:pStyle w:val="af6"/>
        <w:ind w:firstLine="709"/>
        <w:jc w:val="both"/>
      </w:pPr>
    </w:p>
    <w:p w:rsidR="00EE0211" w:rsidRPr="00B32392" w:rsidRDefault="00EE0211" w:rsidP="001D7205">
      <w:pPr>
        <w:spacing w:after="0" w:line="240" w:lineRule="auto"/>
        <w:ind w:firstLine="709"/>
        <w:rPr>
          <w:rFonts w:ascii="Times New Roman" w:eastAsia="Times New Roman" w:hAnsi="Times New Roman" w:cs="Times New Roman"/>
          <w:sz w:val="28"/>
          <w:szCs w:val="28"/>
        </w:rPr>
      </w:pPr>
    </w:p>
    <w:p w:rsidR="00B32392" w:rsidRPr="00B32392" w:rsidRDefault="00C60A7D" w:rsidP="001D7205">
      <w:pPr>
        <w:tabs>
          <w:tab w:val="left" w:pos="7371"/>
        </w:tabs>
        <w:spacing w:after="0" w:line="240" w:lineRule="auto"/>
        <w:rPr>
          <w:rFonts w:ascii="Times New Roman" w:eastAsia="Times New Roman" w:hAnsi="Times New Roman" w:cs="Times New Roman"/>
          <w:b/>
          <w:sz w:val="28"/>
          <w:szCs w:val="28"/>
        </w:rPr>
      </w:pPr>
      <w:r w:rsidRPr="00B32392">
        <w:rPr>
          <w:rFonts w:ascii="Times New Roman" w:eastAsia="Times New Roman" w:hAnsi="Times New Roman" w:cs="Times New Roman"/>
          <w:b/>
          <w:sz w:val="28"/>
          <w:szCs w:val="28"/>
        </w:rPr>
        <w:t xml:space="preserve">Міністр освіти і науки України </w:t>
      </w:r>
      <w:r w:rsidRPr="00B32392">
        <w:rPr>
          <w:rFonts w:ascii="Times New Roman" w:eastAsia="Times New Roman" w:hAnsi="Times New Roman" w:cs="Times New Roman"/>
          <w:b/>
          <w:sz w:val="28"/>
          <w:szCs w:val="28"/>
        </w:rPr>
        <w:tab/>
        <w:t>Оксен ЛІСОВИЙ</w:t>
      </w:r>
      <w:r w:rsidR="00B32392" w:rsidRPr="00B32392">
        <w:rPr>
          <w:rFonts w:ascii="Times New Roman" w:eastAsia="Times New Roman" w:hAnsi="Times New Roman" w:cs="Times New Roman"/>
          <w:b/>
          <w:sz w:val="28"/>
          <w:szCs w:val="28"/>
        </w:rPr>
        <w:br w:type="page"/>
      </w:r>
    </w:p>
    <w:p w:rsidR="00B32392" w:rsidRPr="00B32392" w:rsidRDefault="00B32392" w:rsidP="004F3E07">
      <w:pPr>
        <w:spacing w:after="0" w:line="240" w:lineRule="auto"/>
        <w:ind w:left="5670"/>
        <w:rPr>
          <w:rFonts w:ascii="Times New Roman" w:hAnsi="Times New Roman" w:cs="Times New Roman"/>
          <w:b/>
        </w:rPr>
      </w:pPr>
      <w:r w:rsidRPr="00B32392">
        <w:rPr>
          <w:rFonts w:ascii="Times New Roman" w:hAnsi="Times New Roman" w:cs="Times New Roman"/>
          <w:b/>
        </w:rPr>
        <w:lastRenderedPageBreak/>
        <w:t>Додаток</w:t>
      </w:r>
      <w:r w:rsidR="00FD6BD5">
        <w:rPr>
          <w:rFonts w:ascii="Times New Roman" w:hAnsi="Times New Roman" w:cs="Times New Roman"/>
          <w:b/>
        </w:rPr>
        <w:t xml:space="preserve"> 1</w:t>
      </w:r>
    </w:p>
    <w:p w:rsidR="00B32392" w:rsidRPr="00B32392" w:rsidRDefault="00DF3D94" w:rsidP="005754A2">
      <w:pPr>
        <w:spacing w:after="0" w:line="240" w:lineRule="auto"/>
        <w:ind w:left="5670"/>
        <w:jc w:val="both"/>
        <w:rPr>
          <w:rFonts w:ascii="Times New Roman" w:hAnsi="Times New Roman" w:cs="Times New Roman"/>
          <w:b/>
        </w:rPr>
      </w:pPr>
      <w:r>
        <w:rPr>
          <w:rFonts w:ascii="Times New Roman" w:hAnsi="Times New Roman" w:cs="Times New Roman"/>
          <w:b/>
        </w:rPr>
        <w:t>до А</w:t>
      </w:r>
      <w:r w:rsidR="00B32392" w:rsidRPr="00B32392">
        <w:rPr>
          <w:rFonts w:ascii="Times New Roman" w:hAnsi="Times New Roman" w:cs="Times New Roman"/>
          <w:b/>
        </w:rPr>
        <w:t>налі</w:t>
      </w:r>
      <w:r w:rsidR="00B32392">
        <w:rPr>
          <w:rFonts w:ascii="Times New Roman" w:hAnsi="Times New Roman" w:cs="Times New Roman"/>
          <w:b/>
        </w:rPr>
        <w:t>зу регуляторного впливу д</w:t>
      </w:r>
      <w:r w:rsidR="00B32392" w:rsidRPr="00B32392">
        <w:rPr>
          <w:rFonts w:ascii="Times New Roman" w:hAnsi="Times New Roman" w:cs="Times New Roman"/>
          <w:b/>
        </w:rPr>
        <w:t>о проєкту Закону України «Про внесення змін до Закону України «Про пріоритетність соціального розвитку села та агропромислового комплексу в народному господарстві»</w:t>
      </w:r>
    </w:p>
    <w:p w:rsidR="00B32392" w:rsidRPr="00B32392" w:rsidRDefault="00B32392" w:rsidP="004F3E07">
      <w:pPr>
        <w:spacing w:after="0" w:line="240" w:lineRule="auto"/>
        <w:rPr>
          <w:rFonts w:ascii="Times New Roman" w:hAnsi="Times New Roman" w:cs="Times New Roman"/>
        </w:rPr>
      </w:pPr>
    </w:p>
    <w:p w:rsidR="00B32392" w:rsidRPr="00B32392" w:rsidRDefault="00B32392" w:rsidP="004F3E07">
      <w:pPr>
        <w:spacing w:after="0" w:line="240" w:lineRule="auto"/>
        <w:jc w:val="center"/>
        <w:rPr>
          <w:rFonts w:ascii="Times New Roman" w:hAnsi="Times New Roman" w:cs="Times New Roman"/>
          <w:b/>
          <w:noProof/>
          <w:sz w:val="28"/>
          <w:szCs w:val="28"/>
        </w:rPr>
      </w:pPr>
      <w:r w:rsidRPr="00B32392">
        <w:rPr>
          <w:rFonts w:ascii="Times New Roman" w:hAnsi="Times New Roman" w:cs="Times New Roman"/>
          <w:b/>
          <w:noProof/>
          <w:sz w:val="28"/>
          <w:szCs w:val="28"/>
        </w:rPr>
        <w:t>ТЕСТ</w:t>
      </w:r>
    </w:p>
    <w:p w:rsidR="00B32392" w:rsidRPr="00B32392" w:rsidRDefault="00B32392" w:rsidP="004F3E07">
      <w:pPr>
        <w:spacing w:after="0" w:line="240" w:lineRule="auto"/>
        <w:jc w:val="center"/>
        <w:rPr>
          <w:rFonts w:ascii="Times New Roman" w:hAnsi="Times New Roman" w:cs="Times New Roman"/>
          <w:b/>
          <w:noProof/>
          <w:sz w:val="28"/>
          <w:szCs w:val="28"/>
        </w:rPr>
      </w:pPr>
      <w:r w:rsidRPr="00B32392">
        <w:rPr>
          <w:rFonts w:ascii="Times New Roman" w:hAnsi="Times New Roman" w:cs="Times New Roman"/>
          <w:b/>
          <w:noProof/>
          <w:sz w:val="28"/>
          <w:szCs w:val="28"/>
        </w:rPr>
        <w:t>малого підприємництва (М-Тест)</w:t>
      </w:r>
    </w:p>
    <w:p w:rsidR="00B32392" w:rsidRPr="00B32392" w:rsidRDefault="00B32392" w:rsidP="004F3E07">
      <w:pPr>
        <w:spacing w:after="0" w:line="240" w:lineRule="auto"/>
        <w:jc w:val="both"/>
        <w:rPr>
          <w:rFonts w:ascii="Times New Roman" w:hAnsi="Times New Roman" w:cs="Times New Roman"/>
          <w:noProof/>
          <w:sz w:val="28"/>
          <w:szCs w:val="28"/>
        </w:rPr>
      </w:pP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1. Консультації з представниками мікро- та малого підприємництва щодо оцінки впливу регулювання.</w:t>
      </w:r>
    </w:p>
    <w:p w:rsidR="004F3E07" w:rsidRDefault="004F3E07" w:rsidP="004F3E07">
      <w:pPr>
        <w:spacing w:after="0" w:line="240" w:lineRule="auto"/>
        <w:ind w:firstLine="567"/>
        <w:jc w:val="both"/>
        <w:rPr>
          <w:rFonts w:ascii="Times New Roman" w:hAnsi="Times New Roman" w:cs="Times New Roman"/>
          <w:noProof/>
          <w:sz w:val="28"/>
          <w:szCs w:val="28"/>
        </w:rPr>
      </w:pP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 xml:space="preserve">Консультації щодо визначення впливу запропонованого регулювання на суб’єктів малого підприємництва </w:t>
      </w:r>
      <w:r w:rsidR="004F3E07">
        <w:rPr>
          <w:rFonts w:ascii="Times New Roman" w:hAnsi="Times New Roman" w:cs="Times New Roman"/>
          <w:noProof/>
          <w:sz w:val="28"/>
          <w:szCs w:val="28"/>
        </w:rPr>
        <w:t>Н</w:t>
      </w:r>
      <w:r w:rsidR="004F3E07" w:rsidRPr="004F3E07">
        <w:rPr>
          <w:rFonts w:ascii="Times New Roman" w:hAnsi="Times New Roman" w:cs="Times New Roman"/>
          <w:noProof/>
          <w:sz w:val="28"/>
          <w:szCs w:val="28"/>
        </w:rPr>
        <w:t>е проводились, оскільки регуляторний акт має виключно техніко-юридичний характер і не містить норм, що стосуються підприємницької діяльності.</w:t>
      </w:r>
    </w:p>
    <w:tbl>
      <w:tblPr>
        <w:tblW w:w="5000" w:type="pct"/>
        <w:tblCellMar>
          <w:top w:w="57" w:type="dxa"/>
          <w:bottom w:w="57" w:type="dxa"/>
        </w:tblCellMar>
        <w:tblLook w:val="0060" w:firstRow="1" w:lastRow="1" w:firstColumn="0" w:lastColumn="0" w:noHBand="0" w:noVBand="0"/>
      </w:tblPr>
      <w:tblGrid>
        <w:gridCol w:w="1556"/>
        <w:gridCol w:w="3258"/>
        <w:gridCol w:w="1623"/>
        <w:gridCol w:w="3190"/>
      </w:tblGrid>
      <w:tr w:rsidR="00B32392" w:rsidRPr="00B32392" w:rsidTr="00127438">
        <w:trPr>
          <w:cantSplit/>
          <w:trHeight w:val="1809"/>
        </w:trPr>
        <w:tc>
          <w:tcPr>
            <w:tcW w:w="8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szCs w:val="28"/>
              </w:rPr>
            </w:pPr>
            <w:r w:rsidRPr="00B32392">
              <w:rPr>
                <w:rFonts w:ascii="Times New Roman" w:eastAsia="Times New Roman" w:hAnsi="Times New Roman" w:cs="Times New Roman"/>
                <w:noProof/>
                <w:color w:val="000000"/>
                <w:szCs w:val="28"/>
              </w:rPr>
              <w:t>Порядковий номер</w:t>
            </w:r>
          </w:p>
        </w:tc>
        <w:tc>
          <w:tcPr>
            <w:tcW w:w="1692" w:type="pct"/>
            <w:tcBorders>
              <w:top w:val="single" w:sz="4" w:space="0" w:color="000000"/>
              <w:left w:val="nil"/>
              <w:bottom w:val="single" w:sz="4" w:space="0" w:color="000000"/>
              <w:right w:val="single" w:sz="4" w:space="0" w:color="000000"/>
            </w:tcBorders>
            <w:shd w:val="clear" w:color="auto" w:fill="auto"/>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szCs w:val="28"/>
              </w:rPr>
            </w:pPr>
            <w:r w:rsidRPr="00B32392">
              <w:rPr>
                <w:rFonts w:ascii="Times New Roman" w:eastAsia="Times New Roman" w:hAnsi="Times New Roman" w:cs="Times New Roman"/>
                <w:noProof/>
                <w:color w:val="000000"/>
                <w:szCs w:val="28"/>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843" w:type="pct"/>
            <w:tcBorders>
              <w:top w:val="single" w:sz="4" w:space="0" w:color="000000"/>
              <w:left w:val="nil"/>
              <w:bottom w:val="single" w:sz="4" w:space="0" w:color="000000"/>
              <w:right w:val="single" w:sz="4" w:space="0" w:color="000000"/>
            </w:tcBorders>
            <w:shd w:val="clear" w:color="auto" w:fill="auto"/>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szCs w:val="28"/>
              </w:rPr>
            </w:pPr>
            <w:r w:rsidRPr="00B32392">
              <w:rPr>
                <w:rFonts w:ascii="Times New Roman" w:eastAsia="Times New Roman" w:hAnsi="Times New Roman" w:cs="Times New Roman"/>
                <w:noProof/>
                <w:color w:val="000000"/>
                <w:szCs w:val="28"/>
              </w:rPr>
              <w:t>Кількість учасників консультацій, осіб</w:t>
            </w:r>
          </w:p>
        </w:tc>
        <w:tc>
          <w:tcPr>
            <w:tcW w:w="1657" w:type="pct"/>
            <w:tcBorders>
              <w:top w:val="single" w:sz="4" w:space="0" w:color="000000"/>
              <w:left w:val="nil"/>
              <w:bottom w:val="single" w:sz="4" w:space="0" w:color="000000"/>
              <w:right w:val="single" w:sz="4" w:space="0" w:color="000000"/>
            </w:tcBorders>
            <w:shd w:val="clear" w:color="auto" w:fill="auto"/>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szCs w:val="28"/>
              </w:rPr>
            </w:pPr>
            <w:r w:rsidRPr="00B32392">
              <w:rPr>
                <w:rFonts w:ascii="Times New Roman" w:eastAsia="Times New Roman" w:hAnsi="Times New Roman" w:cs="Times New Roman"/>
                <w:noProof/>
                <w:color w:val="000000"/>
                <w:szCs w:val="28"/>
              </w:rPr>
              <w:t>Основні результати консультацій (опис)</w:t>
            </w:r>
          </w:p>
        </w:tc>
      </w:tr>
      <w:tr w:rsidR="00B32392" w:rsidRPr="00B32392" w:rsidTr="004F3E07">
        <w:trPr>
          <w:trHeight w:val="250"/>
        </w:trPr>
        <w:tc>
          <w:tcPr>
            <w:tcW w:w="808" w:type="pct"/>
            <w:tcBorders>
              <w:top w:val="nil"/>
              <w:left w:val="single" w:sz="4" w:space="0" w:color="000000"/>
              <w:bottom w:val="single" w:sz="4" w:space="0" w:color="000000"/>
              <w:right w:val="single" w:sz="4" w:space="0" w:color="000000"/>
            </w:tcBorders>
            <w:shd w:val="clear" w:color="auto" w:fill="auto"/>
            <w:hideMark/>
          </w:tcPr>
          <w:p w:rsidR="00B32392" w:rsidRPr="00B32392" w:rsidRDefault="004F3E07" w:rsidP="004F3E07">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noProof/>
                <w:color w:val="000000"/>
                <w:szCs w:val="28"/>
              </w:rPr>
              <w:t>-</w:t>
            </w:r>
          </w:p>
        </w:tc>
        <w:tc>
          <w:tcPr>
            <w:tcW w:w="1692" w:type="pct"/>
            <w:tcBorders>
              <w:top w:val="nil"/>
              <w:left w:val="nil"/>
              <w:bottom w:val="single" w:sz="4" w:space="0" w:color="000000"/>
              <w:right w:val="single" w:sz="4" w:space="0" w:color="000000"/>
            </w:tcBorders>
            <w:shd w:val="clear" w:color="auto" w:fill="auto"/>
            <w:hideMark/>
          </w:tcPr>
          <w:p w:rsidR="00B32392" w:rsidRPr="00B32392" w:rsidRDefault="004F3E07" w:rsidP="004F3E07">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noProof/>
                <w:color w:val="000000"/>
                <w:szCs w:val="28"/>
              </w:rPr>
              <w:t>-</w:t>
            </w:r>
          </w:p>
        </w:tc>
        <w:tc>
          <w:tcPr>
            <w:tcW w:w="843" w:type="pct"/>
            <w:tcBorders>
              <w:top w:val="nil"/>
              <w:left w:val="nil"/>
              <w:bottom w:val="single" w:sz="4" w:space="0" w:color="000000"/>
              <w:right w:val="single" w:sz="4" w:space="0" w:color="000000"/>
            </w:tcBorders>
            <w:shd w:val="clear" w:color="auto" w:fill="auto"/>
            <w:hideMark/>
          </w:tcPr>
          <w:p w:rsidR="00B32392" w:rsidRPr="00B32392" w:rsidRDefault="004F3E07" w:rsidP="004F3E07">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noProof/>
                <w:color w:val="000000"/>
                <w:szCs w:val="28"/>
              </w:rPr>
              <w:t>-</w:t>
            </w:r>
          </w:p>
        </w:tc>
        <w:tc>
          <w:tcPr>
            <w:tcW w:w="1657" w:type="pct"/>
            <w:tcBorders>
              <w:top w:val="nil"/>
              <w:left w:val="nil"/>
              <w:bottom w:val="single" w:sz="4" w:space="0" w:color="000000"/>
              <w:right w:val="single" w:sz="4" w:space="0" w:color="000000"/>
            </w:tcBorders>
            <w:shd w:val="clear" w:color="auto" w:fill="auto"/>
            <w:hideMark/>
          </w:tcPr>
          <w:p w:rsidR="00B32392" w:rsidRPr="00B32392" w:rsidRDefault="004F3E07" w:rsidP="004F3E07">
            <w:pPr>
              <w:spacing w:after="0" w:line="240" w:lineRule="auto"/>
              <w:jc w:val="center"/>
              <w:rPr>
                <w:rFonts w:ascii="Times New Roman" w:eastAsia="Times New Roman" w:hAnsi="Times New Roman" w:cs="Times New Roman"/>
                <w:color w:val="000000"/>
                <w:szCs w:val="28"/>
              </w:rPr>
            </w:pPr>
            <w:r>
              <w:rPr>
                <w:rFonts w:ascii="Times New Roman" w:eastAsia="Times New Roman" w:hAnsi="Times New Roman" w:cs="Times New Roman"/>
                <w:noProof/>
                <w:color w:val="000000"/>
                <w:szCs w:val="28"/>
              </w:rPr>
              <w:t>-</w:t>
            </w:r>
          </w:p>
        </w:tc>
      </w:tr>
    </w:tbl>
    <w:p w:rsidR="00B32392" w:rsidRPr="00B32392" w:rsidRDefault="00B32392" w:rsidP="004F3E07">
      <w:pPr>
        <w:spacing w:after="0" w:line="240" w:lineRule="auto"/>
        <w:ind w:firstLine="567"/>
        <w:jc w:val="both"/>
        <w:rPr>
          <w:rFonts w:ascii="Times New Roman" w:hAnsi="Times New Roman" w:cs="Times New Roman"/>
          <w:noProof/>
          <w:sz w:val="28"/>
          <w:szCs w:val="28"/>
        </w:rPr>
      </w:pP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2. Вимірювання впливу регулювання на суб'єктів малого підприємництва:</w:t>
      </w:r>
    </w:p>
    <w:p w:rsidR="004F3E07" w:rsidRDefault="004F3E07" w:rsidP="004F3E07">
      <w:pPr>
        <w:spacing w:after="0" w:line="240" w:lineRule="auto"/>
        <w:ind w:firstLine="567"/>
        <w:jc w:val="both"/>
        <w:rPr>
          <w:rFonts w:ascii="Times New Roman" w:hAnsi="Times New Roman" w:cs="Times New Roman"/>
          <w:noProof/>
          <w:sz w:val="28"/>
          <w:szCs w:val="28"/>
        </w:rPr>
      </w:pP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максимальна кількість суб'єктів господарювання, на яких поширюється регулювання 1</w:t>
      </w:r>
      <w:r w:rsidR="004F3E07">
        <w:rPr>
          <w:rFonts w:ascii="Times New Roman" w:hAnsi="Times New Roman" w:cs="Times New Roman"/>
          <w:noProof/>
          <w:sz w:val="28"/>
          <w:szCs w:val="28"/>
        </w:rPr>
        <w:t>449</w:t>
      </w:r>
      <w:r w:rsidRPr="00B32392">
        <w:rPr>
          <w:rFonts w:ascii="Times New Roman" w:hAnsi="Times New Roman" w:cs="Times New Roman"/>
          <w:noProof/>
          <w:sz w:val="28"/>
          <w:szCs w:val="28"/>
        </w:rPr>
        <w:t xml:space="preserve"> (одиниць), у тому числі малого підприємництва 1</w:t>
      </w:r>
      <w:r w:rsidR="004F3E07">
        <w:rPr>
          <w:rFonts w:ascii="Times New Roman" w:hAnsi="Times New Roman" w:cs="Times New Roman"/>
          <w:noProof/>
          <w:sz w:val="28"/>
          <w:szCs w:val="28"/>
        </w:rPr>
        <w:t>024 (одиниці</w:t>
      </w:r>
      <w:r w:rsidRPr="00B32392">
        <w:rPr>
          <w:rFonts w:ascii="Times New Roman" w:hAnsi="Times New Roman" w:cs="Times New Roman"/>
          <w:noProof/>
          <w:sz w:val="28"/>
          <w:szCs w:val="28"/>
        </w:rPr>
        <w:t>);</w:t>
      </w: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питома вага суб'єктів малого підприємництва у загальній кількості суб'єктів господарювання, на</w:t>
      </w:r>
      <w:r w:rsidR="004F3E07">
        <w:rPr>
          <w:rFonts w:ascii="Times New Roman" w:hAnsi="Times New Roman" w:cs="Times New Roman"/>
          <w:noProof/>
          <w:sz w:val="28"/>
          <w:szCs w:val="28"/>
        </w:rPr>
        <w:t xml:space="preserve"> яких проблема справляє вплив 7</w:t>
      </w:r>
      <w:r w:rsidRPr="00B32392">
        <w:rPr>
          <w:rFonts w:ascii="Times New Roman" w:hAnsi="Times New Roman" w:cs="Times New Roman"/>
          <w:noProof/>
          <w:sz w:val="28"/>
          <w:szCs w:val="28"/>
        </w:rPr>
        <w:t>0% відсотків (відповідно до таблиці «Оцінка впливу на сферу інтересів суб'єктів господарювання»).</w:t>
      </w: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Вартість затрат не змінює вартість процедури.</w:t>
      </w:r>
    </w:p>
    <w:p w:rsidR="004F3E07" w:rsidRDefault="004F3E07" w:rsidP="004F3E07">
      <w:pPr>
        <w:spacing w:after="0" w:line="240" w:lineRule="auto"/>
        <w:ind w:firstLine="567"/>
        <w:jc w:val="both"/>
        <w:rPr>
          <w:rFonts w:ascii="Times New Roman" w:hAnsi="Times New Roman" w:cs="Times New Roman"/>
          <w:noProof/>
          <w:sz w:val="28"/>
          <w:szCs w:val="28"/>
        </w:rPr>
      </w:pP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3. Розрахунок витрат суб'єктів малого підприємництва на виконання вимог регулювання (під час здійснення розрахунку за основу взято витрати одного суб'єкта малого підприємництва для підготовки та подання однієї освітньої програми для експертизи)</w:t>
      </w:r>
    </w:p>
    <w:p w:rsidR="00B32392" w:rsidRDefault="00B32392" w:rsidP="004F3E07">
      <w:pPr>
        <w:spacing w:after="0" w:line="240" w:lineRule="auto"/>
        <w:ind w:firstLine="567"/>
        <w:jc w:val="both"/>
        <w:rPr>
          <w:rFonts w:ascii="Times New Roman" w:hAnsi="Times New Roman" w:cs="Times New Roman"/>
          <w:noProof/>
          <w:sz w:val="28"/>
          <w:szCs w:val="28"/>
        </w:rPr>
      </w:pPr>
    </w:p>
    <w:p w:rsidR="004F3E07" w:rsidRDefault="004F3E07" w:rsidP="004F3E07">
      <w:pPr>
        <w:spacing w:after="0" w:line="240" w:lineRule="auto"/>
        <w:ind w:firstLine="567"/>
        <w:jc w:val="both"/>
        <w:rPr>
          <w:rFonts w:ascii="Times New Roman" w:hAnsi="Times New Roman" w:cs="Times New Roman"/>
          <w:noProof/>
          <w:sz w:val="28"/>
          <w:szCs w:val="28"/>
        </w:rPr>
      </w:pPr>
    </w:p>
    <w:p w:rsidR="004F3E07" w:rsidRPr="00B32392" w:rsidRDefault="004F3E07" w:rsidP="004F3E07">
      <w:pPr>
        <w:spacing w:after="0" w:line="240" w:lineRule="auto"/>
        <w:ind w:firstLine="567"/>
        <w:jc w:val="both"/>
        <w:rPr>
          <w:rFonts w:ascii="Times New Roman" w:hAnsi="Times New Roman" w:cs="Times New Roman"/>
          <w:noProo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263"/>
        <w:gridCol w:w="3267"/>
        <w:gridCol w:w="1791"/>
        <w:gridCol w:w="1650"/>
        <w:gridCol w:w="1656"/>
      </w:tblGrid>
      <w:tr w:rsidR="00B32392" w:rsidRPr="00B32392" w:rsidTr="002F508E">
        <w:tc>
          <w:tcPr>
            <w:tcW w:w="656" w:type="pct"/>
            <w:tcMar>
              <w:top w:w="57" w:type="dxa"/>
              <w:left w:w="57" w:type="dxa"/>
              <w:bottom w:w="57" w:type="dxa"/>
              <w:right w:w="57" w:type="dxa"/>
            </w:tcMar>
            <w:vAlign w:val="center"/>
            <w:hideMark/>
          </w:tcPr>
          <w:p w:rsidR="00B32392" w:rsidRPr="00B32392" w:rsidRDefault="004F3E07" w:rsidP="004F3E07">
            <w:pPr>
              <w:spacing w:after="0" w:line="240" w:lineRule="auto"/>
              <w:jc w:val="center"/>
              <w:rPr>
                <w:rFonts w:ascii="Times New Roman" w:hAnsi="Times New Roman" w:cs="Times New Roman"/>
                <w:noProof/>
              </w:rPr>
            </w:pPr>
            <w:r>
              <w:rPr>
                <w:rFonts w:ascii="Times New Roman" w:hAnsi="Times New Roman" w:cs="Times New Roman"/>
                <w:noProof/>
              </w:rPr>
              <w:lastRenderedPageBreak/>
              <w:t>Порядковий номер</w:t>
            </w:r>
          </w:p>
        </w:tc>
        <w:tc>
          <w:tcPr>
            <w:tcW w:w="1697" w:type="pct"/>
            <w:tcMar>
              <w:top w:w="57" w:type="dxa"/>
              <w:left w:w="57" w:type="dxa"/>
              <w:bottom w:w="57" w:type="dxa"/>
              <w:right w:w="57" w:type="dxa"/>
            </w:tcMar>
            <w:vAlign w:val="cente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Найменування оцінки</w:t>
            </w:r>
          </w:p>
        </w:tc>
        <w:tc>
          <w:tcPr>
            <w:tcW w:w="930" w:type="pct"/>
            <w:tcMar>
              <w:top w:w="57" w:type="dxa"/>
              <w:left w:w="57" w:type="dxa"/>
              <w:bottom w:w="57" w:type="dxa"/>
              <w:right w:w="57" w:type="dxa"/>
            </w:tcMar>
            <w:vAlign w:val="cente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У перший рік (стартовий рік впровадження регулювання)</w:t>
            </w:r>
          </w:p>
        </w:tc>
        <w:tc>
          <w:tcPr>
            <w:tcW w:w="857" w:type="pct"/>
            <w:tcMar>
              <w:top w:w="57" w:type="dxa"/>
              <w:left w:w="57" w:type="dxa"/>
              <w:bottom w:w="57" w:type="dxa"/>
              <w:right w:w="57" w:type="dxa"/>
            </w:tcMar>
            <w:vAlign w:val="cente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Періодичні (за наступний рік)</w:t>
            </w:r>
          </w:p>
        </w:tc>
        <w:tc>
          <w:tcPr>
            <w:tcW w:w="860" w:type="pct"/>
            <w:tcMar>
              <w:top w:w="57" w:type="dxa"/>
              <w:left w:w="57" w:type="dxa"/>
              <w:bottom w:w="57" w:type="dxa"/>
              <w:right w:w="57" w:type="dxa"/>
            </w:tcMar>
            <w:vAlign w:val="cente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Витрати за три роки</w:t>
            </w:r>
          </w:p>
        </w:tc>
      </w:tr>
      <w:tr w:rsidR="00B32392" w:rsidRPr="00B32392" w:rsidTr="00127438">
        <w:tc>
          <w:tcPr>
            <w:tcW w:w="5000" w:type="pct"/>
            <w:gridSpan w:val="5"/>
            <w:tcMar>
              <w:top w:w="57" w:type="dxa"/>
              <w:left w:w="57" w:type="dxa"/>
              <w:bottom w:w="57" w:type="dxa"/>
              <w:right w:w="57" w:type="dxa"/>
            </w:tcMar>
            <w:hideMark/>
          </w:tcPr>
          <w:p w:rsidR="00B32392" w:rsidRPr="00B32392" w:rsidRDefault="00B32392" w:rsidP="004F3E07">
            <w:pPr>
              <w:spacing w:after="0" w:line="240" w:lineRule="auto"/>
              <w:jc w:val="both"/>
              <w:rPr>
                <w:rFonts w:ascii="Times New Roman" w:hAnsi="Times New Roman" w:cs="Times New Roman"/>
                <w:noProof/>
              </w:rPr>
            </w:pPr>
            <w:r w:rsidRPr="00B32392">
              <w:rPr>
                <w:rFonts w:ascii="Times New Roman" w:hAnsi="Times New Roman" w:cs="Times New Roman"/>
                <w:noProof/>
              </w:rPr>
              <w:t>Оцінка «прямих» витрат суб’єктів малого підприємництва на виконання регулювання</w:t>
            </w:r>
          </w:p>
        </w:tc>
      </w:tr>
      <w:tr w:rsidR="00B32392" w:rsidRPr="00B32392" w:rsidTr="002F508E">
        <w:tc>
          <w:tcPr>
            <w:tcW w:w="656"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1</w:t>
            </w:r>
          </w:p>
        </w:tc>
        <w:tc>
          <w:tcPr>
            <w:tcW w:w="1697" w:type="pct"/>
            <w:tcMar>
              <w:top w:w="57" w:type="dxa"/>
              <w:left w:w="57" w:type="dxa"/>
              <w:bottom w:w="57" w:type="dxa"/>
              <w:right w:w="57" w:type="dxa"/>
            </w:tcMar>
            <w:hideMark/>
          </w:tcPr>
          <w:p w:rsidR="00B32392" w:rsidRPr="00B32392" w:rsidRDefault="00B32392" w:rsidP="004F3E07">
            <w:pPr>
              <w:spacing w:after="0" w:line="240" w:lineRule="auto"/>
              <w:jc w:val="both"/>
              <w:rPr>
                <w:rFonts w:ascii="Times New Roman" w:hAnsi="Times New Roman" w:cs="Times New Roman"/>
                <w:noProof/>
              </w:rPr>
            </w:pPr>
            <w:r w:rsidRPr="00B32392">
              <w:rPr>
                <w:rFonts w:ascii="Times New Roman" w:hAnsi="Times New Roman" w:cs="Times New Roman"/>
                <w:noProof/>
              </w:rPr>
              <w:t>Придбання необхідного обладнання (пристроїв, машин, механізмів)</w:t>
            </w:r>
          </w:p>
        </w:tc>
        <w:tc>
          <w:tcPr>
            <w:tcW w:w="93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B32392" w:rsidRPr="00B32392" w:rsidTr="002F508E">
        <w:tc>
          <w:tcPr>
            <w:tcW w:w="656"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2</w:t>
            </w:r>
          </w:p>
        </w:tc>
        <w:tc>
          <w:tcPr>
            <w:tcW w:w="1697" w:type="pct"/>
            <w:tcMar>
              <w:top w:w="57" w:type="dxa"/>
              <w:left w:w="57" w:type="dxa"/>
              <w:bottom w:w="57" w:type="dxa"/>
              <w:right w:w="57" w:type="dxa"/>
            </w:tcMar>
            <w:hideMark/>
          </w:tcPr>
          <w:p w:rsidR="00B32392" w:rsidRPr="00B32392" w:rsidRDefault="00B32392" w:rsidP="004F3E07">
            <w:pPr>
              <w:spacing w:after="0" w:line="240" w:lineRule="auto"/>
              <w:jc w:val="both"/>
              <w:rPr>
                <w:rFonts w:ascii="Times New Roman" w:hAnsi="Times New Roman" w:cs="Times New Roman"/>
                <w:noProof/>
              </w:rPr>
            </w:pPr>
            <w:r w:rsidRPr="00B32392">
              <w:rPr>
                <w:rFonts w:ascii="Times New Roman" w:hAnsi="Times New Roman" w:cs="Times New Roman"/>
                <w:noProof/>
              </w:rPr>
              <w:t>Процедури повірки та/або постановки на відповідний облік у визначеному органі державної влади чи місцевого самоврядування</w:t>
            </w:r>
          </w:p>
        </w:tc>
        <w:tc>
          <w:tcPr>
            <w:tcW w:w="93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B32392" w:rsidRPr="00B32392" w:rsidTr="002F508E">
        <w:tc>
          <w:tcPr>
            <w:tcW w:w="656"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3</w:t>
            </w:r>
          </w:p>
        </w:tc>
        <w:tc>
          <w:tcPr>
            <w:tcW w:w="1697" w:type="pct"/>
            <w:tcMar>
              <w:top w:w="57" w:type="dxa"/>
              <w:left w:w="57" w:type="dxa"/>
              <w:bottom w:w="57" w:type="dxa"/>
              <w:right w:w="57" w:type="dxa"/>
            </w:tcMar>
            <w:hideMark/>
          </w:tcPr>
          <w:p w:rsidR="00B32392" w:rsidRPr="00B32392" w:rsidRDefault="00B32392" w:rsidP="004F3E07">
            <w:pPr>
              <w:spacing w:after="0" w:line="240" w:lineRule="auto"/>
              <w:jc w:val="both"/>
              <w:rPr>
                <w:rFonts w:ascii="Times New Roman" w:hAnsi="Times New Roman" w:cs="Times New Roman"/>
                <w:noProof/>
              </w:rPr>
            </w:pPr>
            <w:r w:rsidRPr="00B32392">
              <w:rPr>
                <w:rFonts w:ascii="Times New Roman" w:hAnsi="Times New Roman" w:cs="Times New Roman"/>
                <w:noProof/>
              </w:rPr>
              <w:t>Процедури експлуатації обладнання (експлуатаційні витрати - витратні матеріали)</w:t>
            </w:r>
          </w:p>
        </w:tc>
        <w:tc>
          <w:tcPr>
            <w:tcW w:w="93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B32392" w:rsidRPr="00B32392" w:rsidTr="002F508E">
        <w:tc>
          <w:tcPr>
            <w:tcW w:w="656"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4</w:t>
            </w:r>
          </w:p>
        </w:tc>
        <w:tc>
          <w:tcPr>
            <w:tcW w:w="1697" w:type="pct"/>
            <w:tcMar>
              <w:top w:w="57" w:type="dxa"/>
              <w:left w:w="57" w:type="dxa"/>
              <w:bottom w:w="57" w:type="dxa"/>
              <w:right w:w="57" w:type="dxa"/>
            </w:tcMar>
            <w:hideMark/>
          </w:tcPr>
          <w:p w:rsidR="00B32392" w:rsidRPr="00B32392" w:rsidRDefault="00B32392" w:rsidP="004F3E07">
            <w:pPr>
              <w:spacing w:after="0" w:line="240" w:lineRule="auto"/>
              <w:jc w:val="both"/>
              <w:rPr>
                <w:rFonts w:ascii="Times New Roman" w:hAnsi="Times New Roman" w:cs="Times New Roman"/>
                <w:noProof/>
              </w:rPr>
            </w:pPr>
            <w:r w:rsidRPr="00B32392">
              <w:rPr>
                <w:rFonts w:ascii="Times New Roman" w:hAnsi="Times New Roman" w:cs="Times New Roman"/>
                <w:noProof/>
              </w:rPr>
              <w:t>Процедури обслуговування обладнання (технічне обслуговування)</w:t>
            </w:r>
          </w:p>
        </w:tc>
        <w:tc>
          <w:tcPr>
            <w:tcW w:w="93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B32392" w:rsidRPr="00B32392" w:rsidRDefault="00B32392" w:rsidP="004F3E07">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2F508E" w:rsidRPr="00B32392" w:rsidTr="002F508E">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5</w:t>
            </w:r>
          </w:p>
        </w:tc>
        <w:tc>
          <w:tcPr>
            <w:tcW w:w="1697" w:type="pct"/>
            <w:tcMar>
              <w:top w:w="57" w:type="dxa"/>
              <w:left w:w="57" w:type="dxa"/>
              <w:bottom w:w="57" w:type="dxa"/>
              <w:right w:w="57" w:type="dxa"/>
            </w:tcMar>
            <w:hideMark/>
          </w:tcPr>
          <w:p w:rsidR="002F508E" w:rsidRPr="00B32392" w:rsidRDefault="002F508E" w:rsidP="002F508E">
            <w:pPr>
              <w:spacing w:after="0" w:line="240" w:lineRule="auto"/>
              <w:jc w:val="both"/>
              <w:rPr>
                <w:rFonts w:ascii="Times New Roman" w:hAnsi="Times New Roman" w:cs="Times New Roman"/>
                <w:noProof/>
              </w:rPr>
            </w:pPr>
            <w:r w:rsidRPr="00B32392">
              <w:rPr>
                <w:rFonts w:ascii="Times New Roman" w:hAnsi="Times New Roman" w:cs="Times New Roman"/>
                <w:noProof/>
              </w:rPr>
              <w:t xml:space="preserve">Інші процедури </w:t>
            </w:r>
          </w:p>
        </w:tc>
        <w:tc>
          <w:tcPr>
            <w:tcW w:w="930"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2F508E" w:rsidRPr="00B32392" w:rsidTr="002F508E">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6</w:t>
            </w:r>
          </w:p>
        </w:tc>
        <w:tc>
          <w:tcPr>
            <w:tcW w:w="1697" w:type="pct"/>
            <w:tcMar>
              <w:top w:w="57" w:type="dxa"/>
              <w:left w:w="57" w:type="dxa"/>
              <w:bottom w:w="57" w:type="dxa"/>
              <w:right w:w="57" w:type="dxa"/>
            </w:tcMar>
            <w:hideMark/>
          </w:tcPr>
          <w:p w:rsidR="002F508E" w:rsidRPr="00B32392" w:rsidRDefault="002F508E" w:rsidP="002F508E">
            <w:pPr>
              <w:spacing w:after="0" w:line="240" w:lineRule="auto"/>
              <w:jc w:val="both"/>
              <w:rPr>
                <w:rFonts w:ascii="Times New Roman" w:hAnsi="Times New Roman" w:cs="Times New Roman"/>
                <w:noProof/>
              </w:rPr>
            </w:pPr>
            <w:r w:rsidRPr="00B32392">
              <w:rPr>
                <w:rFonts w:ascii="Times New Roman" w:hAnsi="Times New Roman" w:cs="Times New Roman"/>
                <w:noProof/>
              </w:rPr>
              <w:t>Разом, гривень (сума</w:t>
            </w:r>
            <w:r>
              <w:rPr>
                <w:rFonts w:ascii="Times New Roman" w:hAnsi="Times New Roman" w:cs="Times New Roman"/>
                <w:noProof/>
              </w:rPr>
              <w:t>)</w:t>
            </w:r>
          </w:p>
        </w:tc>
        <w:tc>
          <w:tcPr>
            <w:tcW w:w="930"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2F508E" w:rsidRPr="00B32392" w:rsidTr="002F508E">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7</w:t>
            </w:r>
          </w:p>
        </w:tc>
        <w:tc>
          <w:tcPr>
            <w:tcW w:w="1697" w:type="pct"/>
            <w:tcMar>
              <w:top w:w="57" w:type="dxa"/>
              <w:left w:w="57" w:type="dxa"/>
              <w:bottom w:w="57" w:type="dxa"/>
              <w:right w:w="57" w:type="dxa"/>
            </w:tcMar>
            <w:hideMark/>
          </w:tcPr>
          <w:p w:rsidR="002F508E" w:rsidRPr="00B32392" w:rsidRDefault="002F508E" w:rsidP="002F508E">
            <w:pPr>
              <w:spacing w:after="0" w:line="240" w:lineRule="auto"/>
              <w:jc w:val="both"/>
              <w:rPr>
                <w:rFonts w:ascii="Times New Roman" w:hAnsi="Times New Roman" w:cs="Times New Roman"/>
                <w:noProof/>
              </w:rPr>
            </w:pPr>
            <w:r w:rsidRPr="00B32392">
              <w:rPr>
                <w:rFonts w:ascii="Times New Roman" w:hAnsi="Times New Roman" w:cs="Times New Roman"/>
                <w:noProof/>
              </w:rPr>
              <w:t>Кількість суб’єктів господарювання, що повинні виконати вимоги регулювання, одиниць</w:t>
            </w:r>
          </w:p>
        </w:tc>
        <w:tc>
          <w:tcPr>
            <w:tcW w:w="2647" w:type="pct"/>
            <w:gridSpan w:val="3"/>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Pr>
                <w:rFonts w:ascii="Times New Roman" w:hAnsi="Times New Roman" w:cs="Times New Roman"/>
                <w:noProof/>
              </w:rPr>
              <w:t>1</w:t>
            </w:r>
            <w:r w:rsidRPr="00B32392">
              <w:rPr>
                <w:rFonts w:ascii="Times New Roman" w:hAnsi="Times New Roman" w:cs="Times New Roman"/>
                <w:noProof/>
              </w:rPr>
              <w:t>0</w:t>
            </w:r>
            <w:r>
              <w:rPr>
                <w:rFonts w:ascii="Times New Roman" w:hAnsi="Times New Roman" w:cs="Times New Roman"/>
                <w:noProof/>
              </w:rPr>
              <w:t>24</w:t>
            </w:r>
          </w:p>
        </w:tc>
      </w:tr>
      <w:tr w:rsidR="002F508E" w:rsidRPr="00B32392" w:rsidTr="002F508E">
        <w:trPr>
          <w:trHeight w:val="289"/>
        </w:trPr>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8</w:t>
            </w:r>
          </w:p>
        </w:tc>
        <w:tc>
          <w:tcPr>
            <w:tcW w:w="1697" w:type="pct"/>
            <w:tcMar>
              <w:top w:w="57" w:type="dxa"/>
              <w:left w:w="57" w:type="dxa"/>
              <w:bottom w:w="57" w:type="dxa"/>
              <w:right w:w="57" w:type="dxa"/>
            </w:tcMar>
            <w:hideMark/>
          </w:tcPr>
          <w:p w:rsidR="002F508E" w:rsidRPr="00B32392" w:rsidRDefault="002F508E" w:rsidP="002F508E">
            <w:pPr>
              <w:spacing w:after="0" w:line="240" w:lineRule="auto"/>
              <w:jc w:val="both"/>
              <w:rPr>
                <w:rFonts w:ascii="Times New Roman" w:hAnsi="Times New Roman" w:cs="Times New Roman"/>
                <w:noProof/>
              </w:rPr>
            </w:pPr>
            <w:r w:rsidRPr="00B32392">
              <w:rPr>
                <w:rFonts w:ascii="Times New Roman" w:hAnsi="Times New Roman" w:cs="Times New Roman"/>
                <w:noProof/>
              </w:rPr>
              <w:t>Сумарно, гривень</w:t>
            </w:r>
          </w:p>
        </w:tc>
        <w:tc>
          <w:tcPr>
            <w:tcW w:w="930"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2F508E" w:rsidRPr="00B32392" w:rsidTr="00127438">
        <w:tc>
          <w:tcPr>
            <w:tcW w:w="5000" w:type="pct"/>
            <w:gridSpan w:val="5"/>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Оцінка вартості адміністративних процедур суб’єктів малого підприємництва щодо виконання регулювання та звітування</w:t>
            </w:r>
          </w:p>
        </w:tc>
      </w:tr>
      <w:tr w:rsidR="002F508E" w:rsidRPr="00B32392" w:rsidTr="002F508E">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9</w:t>
            </w:r>
          </w:p>
        </w:tc>
        <w:tc>
          <w:tcPr>
            <w:tcW w:w="1697" w:type="pct"/>
            <w:tcMar>
              <w:top w:w="57" w:type="dxa"/>
              <w:left w:w="57" w:type="dxa"/>
              <w:bottom w:w="57" w:type="dxa"/>
              <w:right w:w="57" w:type="dxa"/>
            </w:tcMar>
            <w:hideMark/>
          </w:tcPr>
          <w:p w:rsidR="002F508E" w:rsidRDefault="002F508E" w:rsidP="002F508E">
            <w:pPr>
              <w:spacing w:after="0" w:line="240" w:lineRule="auto"/>
              <w:jc w:val="both"/>
              <w:rPr>
                <w:rFonts w:ascii="Times New Roman" w:hAnsi="Times New Roman" w:cs="Times New Roman"/>
                <w:noProof/>
              </w:rPr>
            </w:pPr>
            <w:r w:rsidRPr="00B32392">
              <w:rPr>
                <w:rFonts w:ascii="Times New Roman" w:hAnsi="Times New Roman" w:cs="Times New Roman"/>
                <w:noProof/>
              </w:rPr>
              <w:t>Процедури отримання первинної інф</w:t>
            </w:r>
            <w:r>
              <w:rPr>
                <w:rFonts w:ascii="Times New Roman" w:hAnsi="Times New Roman" w:cs="Times New Roman"/>
                <w:noProof/>
              </w:rPr>
              <w:t xml:space="preserve">ормації про вимоги регулювання </w:t>
            </w:r>
          </w:p>
          <w:p w:rsidR="002F508E" w:rsidRPr="002F508E" w:rsidRDefault="002F508E" w:rsidP="002F508E">
            <w:pPr>
              <w:spacing w:after="0" w:line="240" w:lineRule="auto"/>
              <w:jc w:val="both"/>
              <w:rPr>
                <w:rFonts w:ascii="Times New Roman" w:hAnsi="Times New Roman" w:cs="Times New Roman"/>
                <w:noProof/>
              </w:rPr>
            </w:pPr>
            <w:r w:rsidRPr="002F508E">
              <w:rPr>
                <w:rFonts w:ascii="Times New Roman" w:hAnsi="Times New Roman" w:cs="Times New Roman"/>
                <w:noProof/>
              </w:rPr>
              <w:t>Формула:</w:t>
            </w:r>
          </w:p>
          <w:p w:rsidR="002F508E" w:rsidRPr="00B32392" w:rsidRDefault="002F508E" w:rsidP="00D53202">
            <w:pPr>
              <w:spacing w:after="0" w:line="240" w:lineRule="auto"/>
              <w:jc w:val="both"/>
              <w:rPr>
                <w:rFonts w:ascii="Times New Roman" w:hAnsi="Times New Roman" w:cs="Times New Roman"/>
                <w:noProof/>
              </w:rPr>
            </w:pPr>
            <w:r w:rsidRPr="002F508E">
              <w:rPr>
                <w:rFonts w:ascii="Times New Roman" w:hAnsi="Times New Roman" w:cs="Times New Roman"/>
                <w:noProof/>
              </w:rPr>
              <w:t>витрати часу на ознайомлення з інформацією про регулювання (1–2 години) × середня вартість</w:t>
            </w:r>
            <w:r w:rsidR="00D53202">
              <w:rPr>
                <w:rFonts w:ascii="Times New Roman" w:hAnsi="Times New Roman" w:cs="Times New Roman"/>
                <w:noProof/>
              </w:rPr>
              <w:t xml:space="preserve"> години праці одного працівника</w:t>
            </w:r>
          </w:p>
        </w:tc>
        <w:tc>
          <w:tcPr>
            <w:tcW w:w="930" w:type="pct"/>
            <w:tcMar>
              <w:top w:w="57" w:type="dxa"/>
              <w:left w:w="57" w:type="dxa"/>
              <w:bottom w:w="57" w:type="dxa"/>
              <w:right w:w="57" w:type="dxa"/>
            </w:tcMar>
            <w:hideMark/>
          </w:tcPr>
          <w:p w:rsidR="002F508E" w:rsidRPr="00B32392" w:rsidRDefault="00D53202" w:rsidP="002F508E">
            <w:pPr>
              <w:spacing w:after="0" w:line="240" w:lineRule="auto"/>
              <w:jc w:val="center"/>
              <w:rPr>
                <w:rFonts w:ascii="Times New Roman" w:hAnsi="Times New Roman" w:cs="Times New Roman"/>
                <w:noProof/>
              </w:rPr>
            </w:pPr>
            <w:r>
              <w:rPr>
                <w:rFonts w:ascii="Times New Roman" w:hAnsi="Times New Roman" w:cs="Times New Roman"/>
                <w:noProof/>
              </w:rPr>
              <w:t>254,00</w:t>
            </w:r>
          </w:p>
        </w:tc>
        <w:tc>
          <w:tcPr>
            <w:tcW w:w="857"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2F508E" w:rsidRPr="00B32392" w:rsidRDefault="00D53202" w:rsidP="002F508E">
            <w:pPr>
              <w:spacing w:after="0" w:line="240" w:lineRule="auto"/>
              <w:jc w:val="center"/>
              <w:rPr>
                <w:rFonts w:ascii="Times New Roman" w:hAnsi="Times New Roman" w:cs="Times New Roman"/>
                <w:noProof/>
              </w:rPr>
            </w:pPr>
            <w:r>
              <w:rPr>
                <w:rFonts w:ascii="Times New Roman" w:hAnsi="Times New Roman" w:cs="Times New Roman"/>
                <w:noProof/>
              </w:rPr>
              <w:t>254,00</w:t>
            </w:r>
          </w:p>
        </w:tc>
      </w:tr>
      <w:tr w:rsidR="002F508E" w:rsidRPr="00B32392" w:rsidTr="002F508E">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10</w:t>
            </w:r>
          </w:p>
        </w:tc>
        <w:tc>
          <w:tcPr>
            <w:tcW w:w="1697" w:type="pct"/>
            <w:tcMar>
              <w:top w:w="57" w:type="dxa"/>
              <w:left w:w="57" w:type="dxa"/>
              <w:bottom w:w="57" w:type="dxa"/>
              <w:right w:w="57" w:type="dxa"/>
            </w:tcMar>
            <w:hideMark/>
          </w:tcPr>
          <w:p w:rsidR="002F508E" w:rsidRPr="00B32392" w:rsidRDefault="002F508E" w:rsidP="002F508E">
            <w:pPr>
              <w:spacing w:after="0" w:line="240" w:lineRule="auto"/>
              <w:jc w:val="both"/>
              <w:rPr>
                <w:rFonts w:ascii="Times New Roman" w:hAnsi="Times New Roman" w:cs="Times New Roman"/>
                <w:noProof/>
              </w:rPr>
            </w:pPr>
            <w:r w:rsidRPr="002F508E">
              <w:rPr>
                <w:rFonts w:ascii="Times New Roman" w:hAnsi="Times New Roman" w:cs="Times New Roman"/>
                <w:noProof/>
              </w:rPr>
              <w:t>Процедури організації виконання вимог регулювання</w:t>
            </w:r>
          </w:p>
        </w:tc>
        <w:tc>
          <w:tcPr>
            <w:tcW w:w="930"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2F508E" w:rsidRPr="00B32392" w:rsidTr="002F508E">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11</w:t>
            </w:r>
          </w:p>
        </w:tc>
        <w:tc>
          <w:tcPr>
            <w:tcW w:w="1697" w:type="pct"/>
            <w:tcMar>
              <w:top w:w="57" w:type="dxa"/>
              <w:left w:w="57" w:type="dxa"/>
              <w:bottom w:w="57" w:type="dxa"/>
              <w:right w:w="57" w:type="dxa"/>
            </w:tcMar>
            <w:hideMark/>
          </w:tcPr>
          <w:p w:rsidR="002F508E" w:rsidRPr="00B32392" w:rsidRDefault="002F508E" w:rsidP="002F508E">
            <w:pPr>
              <w:spacing w:after="0" w:line="240" w:lineRule="auto"/>
              <w:jc w:val="both"/>
              <w:rPr>
                <w:rFonts w:ascii="Times New Roman" w:hAnsi="Times New Roman" w:cs="Times New Roman"/>
                <w:noProof/>
              </w:rPr>
            </w:pPr>
            <w:r w:rsidRPr="00B32392">
              <w:rPr>
                <w:rFonts w:ascii="Times New Roman" w:hAnsi="Times New Roman" w:cs="Times New Roman"/>
                <w:noProof/>
              </w:rPr>
              <w:t>Разом, гривень</w:t>
            </w:r>
          </w:p>
        </w:tc>
        <w:tc>
          <w:tcPr>
            <w:tcW w:w="930" w:type="pct"/>
            <w:tcMar>
              <w:top w:w="57" w:type="dxa"/>
              <w:left w:w="57" w:type="dxa"/>
              <w:bottom w:w="57" w:type="dxa"/>
              <w:right w:w="57" w:type="dxa"/>
            </w:tcMar>
          </w:tcPr>
          <w:p w:rsidR="002F508E" w:rsidRPr="00B32392" w:rsidRDefault="00D53202" w:rsidP="002F508E">
            <w:pPr>
              <w:spacing w:after="0" w:line="240" w:lineRule="auto"/>
              <w:jc w:val="center"/>
              <w:rPr>
                <w:rFonts w:ascii="Times New Roman" w:hAnsi="Times New Roman" w:cs="Times New Roman"/>
                <w:noProof/>
              </w:rPr>
            </w:pPr>
            <w:r>
              <w:rPr>
                <w:rFonts w:ascii="Times New Roman" w:hAnsi="Times New Roman" w:cs="Times New Roman"/>
                <w:noProof/>
              </w:rPr>
              <w:t>254,00</w:t>
            </w:r>
          </w:p>
        </w:tc>
        <w:tc>
          <w:tcPr>
            <w:tcW w:w="857"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tcPr>
          <w:p w:rsidR="002F508E" w:rsidRPr="00B32392" w:rsidRDefault="00D53202" w:rsidP="002F508E">
            <w:pPr>
              <w:spacing w:after="0" w:line="240" w:lineRule="auto"/>
              <w:jc w:val="center"/>
              <w:rPr>
                <w:rFonts w:ascii="Times New Roman" w:hAnsi="Times New Roman" w:cs="Times New Roman"/>
                <w:noProof/>
              </w:rPr>
            </w:pPr>
            <w:r>
              <w:rPr>
                <w:rFonts w:ascii="Times New Roman" w:hAnsi="Times New Roman" w:cs="Times New Roman"/>
                <w:noProof/>
              </w:rPr>
              <w:t>254,00</w:t>
            </w:r>
          </w:p>
        </w:tc>
      </w:tr>
      <w:tr w:rsidR="002F508E" w:rsidRPr="00B32392" w:rsidTr="002F508E">
        <w:tc>
          <w:tcPr>
            <w:tcW w:w="656" w:type="pct"/>
            <w:tcMar>
              <w:top w:w="57" w:type="dxa"/>
              <w:left w:w="57" w:type="dxa"/>
              <w:bottom w:w="57" w:type="dxa"/>
              <w:right w:w="57" w:type="dxa"/>
            </w:tcMar>
            <w:hideMark/>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12</w:t>
            </w:r>
          </w:p>
        </w:tc>
        <w:tc>
          <w:tcPr>
            <w:tcW w:w="1697" w:type="pct"/>
            <w:tcMar>
              <w:top w:w="57" w:type="dxa"/>
              <w:left w:w="57" w:type="dxa"/>
              <w:bottom w:w="57" w:type="dxa"/>
              <w:right w:w="57" w:type="dxa"/>
            </w:tcMar>
            <w:hideMark/>
          </w:tcPr>
          <w:p w:rsidR="002F508E" w:rsidRPr="00B32392" w:rsidRDefault="002F508E" w:rsidP="002F508E">
            <w:pPr>
              <w:spacing w:after="0" w:line="240" w:lineRule="auto"/>
              <w:jc w:val="both"/>
              <w:rPr>
                <w:rFonts w:ascii="Times New Roman" w:hAnsi="Times New Roman" w:cs="Times New Roman"/>
                <w:noProof/>
              </w:rPr>
            </w:pPr>
            <w:r w:rsidRPr="00B32392">
              <w:rPr>
                <w:rFonts w:ascii="Times New Roman" w:hAnsi="Times New Roman" w:cs="Times New Roman"/>
                <w:noProof/>
              </w:rPr>
              <w:t xml:space="preserve">Процедури організації виконання вимог регулювання, а саме: </w:t>
            </w:r>
          </w:p>
        </w:tc>
        <w:tc>
          <w:tcPr>
            <w:tcW w:w="930"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tcPr>
          <w:p w:rsidR="002F508E" w:rsidRPr="00B32392" w:rsidRDefault="002F508E" w:rsidP="002F508E">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D53202" w:rsidRPr="00B32392" w:rsidTr="002F508E">
        <w:tc>
          <w:tcPr>
            <w:tcW w:w="656" w:type="pct"/>
            <w:tcMar>
              <w:top w:w="57" w:type="dxa"/>
              <w:left w:w="57" w:type="dxa"/>
              <w:bottom w:w="57" w:type="dxa"/>
              <w:right w:w="57" w:type="dxa"/>
            </w:tcMar>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12.1</w:t>
            </w:r>
          </w:p>
        </w:tc>
        <w:tc>
          <w:tcPr>
            <w:tcW w:w="1697" w:type="pct"/>
            <w:tcMar>
              <w:top w:w="57" w:type="dxa"/>
              <w:left w:w="57" w:type="dxa"/>
              <w:bottom w:w="57" w:type="dxa"/>
              <w:right w:w="57" w:type="dxa"/>
            </w:tcMar>
          </w:tcPr>
          <w:p w:rsidR="00D53202" w:rsidRPr="00B32392" w:rsidRDefault="00D53202" w:rsidP="00D53202">
            <w:pPr>
              <w:spacing w:after="0" w:line="240" w:lineRule="auto"/>
              <w:jc w:val="both"/>
              <w:rPr>
                <w:rFonts w:ascii="Times New Roman" w:hAnsi="Times New Roman" w:cs="Times New Roman"/>
                <w:noProof/>
              </w:rPr>
            </w:pPr>
            <w:r w:rsidRPr="00B32392">
              <w:rPr>
                <w:rFonts w:ascii="Times New Roman" w:hAnsi="Times New Roman" w:cs="Times New Roman"/>
                <w:noProof/>
              </w:rPr>
              <w:t>витрати на отримання адміністративних послуг:</w:t>
            </w:r>
          </w:p>
          <w:p w:rsidR="00D53202" w:rsidRPr="00B32392" w:rsidRDefault="00D53202" w:rsidP="00D53202">
            <w:pPr>
              <w:spacing w:after="0" w:line="240" w:lineRule="auto"/>
              <w:jc w:val="both"/>
              <w:rPr>
                <w:rFonts w:ascii="Times New Roman" w:hAnsi="Times New Roman" w:cs="Times New Roman"/>
                <w:noProof/>
              </w:rPr>
            </w:pPr>
            <w:r w:rsidRPr="00B32392">
              <w:rPr>
                <w:rFonts w:ascii="Times New Roman" w:hAnsi="Times New Roman" w:cs="Times New Roman"/>
                <w:noProof/>
              </w:rPr>
              <w:t>отримання грифа</w:t>
            </w:r>
          </w:p>
          <w:p w:rsidR="00D53202" w:rsidRPr="00B32392" w:rsidRDefault="00D53202" w:rsidP="00D53202">
            <w:pPr>
              <w:spacing w:after="0" w:line="240" w:lineRule="auto"/>
              <w:jc w:val="both"/>
              <w:rPr>
                <w:rFonts w:ascii="Times New Roman" w:hAnsi="Times New Roman" w:cs="Times New Roman"/>
                <w:noProof/>
              </w:rPr>
            </w:pPr>
            <w:r w:rsidRPr="00B32392">
              <w:rPr>
                <w:rFonts w:ascii="Times New Roman" w:hAnsi="Times New Roman" w:cs="Times New Roman"/>
                <w:noProof/>
              </w:rPr>
              <w:t xml:space="preserve">Формула: середня кількість навчальних програм, що </w:t>
            </w:r>
            <w:r w:rsidRPr="00B32392">
              <w:rPr>
                <w:rFonts w:ascii="Times New Roman" w:hAnsi="Times New Roman" w:cs="Times New Roman"/>
                <w:noProof/>
              </w:rPr>
              <w:lastRenderedPageBreak/>
              <w:t>потребують надання грифа (2) Х вартість платних послуг з проведення експертизи для надання грифа (2000 грн Х 2 експерта)</w:t>
            </w:r>
          </w:p>
        </w:tc>
        <w:tc>
          <w:tcPr>
            <w:tcW w:w="930" w:type="pct"/>
            <w:tcMar>
              <w:top w:w="57" w:type="dxa"/>
              <w:left w:w="57" w:type="dxa"/>
              <w:bottom w:w="57" w:type="dxa"/>
              <w:right w:w="57" w:type="dxa"/>
            </w:tcMar>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lastRenderedPageBreak/>
              <w:t>не передбачені</w:t>
            </w:r>
          </w:p>
        </w:tc>
        <w:tc>
          <w:tcPr>
            <w:tcW w:w="857" w:type="pct"/>
            <w:tcMar>
              <w:top w:w="57" w:type="dxa"/>
              <w:left w:w="57" w:type="dxa"/>
              <w:bottom w:w="57" w:type="dxa"/>
              <w:right w:w="57" w:type="dxa"/>
            </w:tcMar>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D53202" w:rsidRPr="00B32392" w:rsidTr="002F508E">
        <w:tc>
          <w:tcPr>
            <w:tcW w:w="656"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lastRenderedPageBreak/>
              <w:t>13</w:t>
            </w:r>
          </w:p>
        </w:tc>
        <w:tc>
          <w:tcPr>
            <w:tcW w:w="1697" w:type="pct"/>
            <w:tcMar>
              <w:top w:w="57" w:type="dxa"/>
              <w:left w:w="57" w:type="dxa"/>
              <w:bottom w:w="57" w:type="dxa"/>
              <w:right w:w="57" w:type="dxa"/>
            </w:tcMar>
            <w:hideMark/>
          </w:tcPr>
          <w:p w:rsidR="00D53202" w:rsidRPr="00B32392" w:rsidRDefault="00D53202" w:rsidP="00D53202">
            <w:pPr>
              <w:spacing w:after="0" w:line="240" w:lineRule="auto"/>
              <w:jc w:val="both"/>
              <w:rPr>
                <w:rFonts w:ascii="Times New Roman" w:hAnsi="Times New Roman" w:cs="Times New Roman"/>
                <w:noProof/>
              </w:rPr>
            </w:pPr>
            <w:r w:rsidRPr="00B32392">
              <w:rPr>
                <w:rFonts w:ascii="Times New Roman" w:hAnsi="Times New Roman" w:cs="Times New Roman"/>
                <w:noProof/>
              </w:rPr>
              <w:t>Процедури офіційного звітування</w:t>
            </w:r>
          </w:p>
        </w:tc>
        <w:tc>
          <w:tcPr>
            <w:tcW w:w="930"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D53202" w:rsidRPr="00B32392" w:rsidTr="002F508E">
        <w:tc>
          <w:tcPr>
            <w:tcW w:w="656"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14</w:t>
            </w:r>
          </w:p>
        </w:tc>
        <w:tc>
          <w:tcPr>
            <w:tcW w:w="1697" w:type="pct"/>
            <w:tcMar>
              <w:top w:w="57" w:type="dxa"/>
              <w:left w:w="57" w:type="dxa"/>
              <w:bottom w:w="57" w:type="dxa"/>
              <w:right w:w="57" w:type="dxa"/>
            </w:tcMar>
            <w:hideMark/>
          </w:tcPr>
          <w:p w:rsidR="00D53202" w:rsidRPr="00B32392" w:rsidRDefault="00D53202" w:rsidP="00D53202">
            <w:pPr>
              <w:spacing w:after="0" w:line="240" w:lineRule="auto"/>
              <w:jc w:val="both"/>
              <w:rPr>
                <w:rFonts w:ascii="Times New Roman" w:hAnsi="Times New Roman" w:cs="Times New Roman"/>
                <w:noProof/>
              </w:rPr>
            </w:pPr>
            <w:r w:rsidRPr="00B32392">
              <w:rPr>
                <w:rFonts w:ascii="Times New Roman" w:hAnsi="Times New Roman" w:cs="Times New Roman"/>
                <w:noProof/>
              </w:rPr>
              <w:t>Процедури щодо забезпечення процесу перевірок</w:t>
            </w:r>
          </w:p>
        </w:tc>
        <w:tc>
          <w:tcPr>
            <w:tcW w:w="930"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57"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c>
          <w:tcPr>
            <w:tcW w:w="860"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не передбачені</w:t>
            </w:r>
          </w:p>
        </w:tc>
      </w:tr>
      <w:tr w:rsidR="00D53202" w:rsidRPr="00B32392" w:rsidTr="002F508E">
        <w:tc>
          <w:tcPr>
            <w:tcW w:w="656"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15</w:t>
            </w:r>
          </w:p>
        </w:tc>
        <w:tc>
          <w:tcPr>
            <w:tcW w:w="1697" w:type="pct"/>
            <w:tcMar>
              <w:top w:w="57" w:type="dxa"/>
              <w:left w:w="57" w:type="dxa"/>
              <w:bottom w:w="57" w:type="dxa"/>
              <w:right w:w="57" w:type="dxa"/>
            </w:tcMar>
            <w:hideMark/>
          </w:tcPr>
          <w:p w:rsidR="00D53202" w:rsidRPr="00B32392" w:rsidRDefault="00D53202" w:rsidP="00D53202">
            <w:pPr>
              <w:spacing w:after="0" w:line="240" w:lineRule="auto"/>
              <w:jc w:val="both"/>
              <w:rPr>
                <w:rFonts w:ascii="Times New Roman" w:hAnsi="Times New Roman" w:cs="Times New Roman"/>
                <w:noProof/>
              </w:rPr>
            </w:pPr>
            <w:r w:rsidRPr="00B32392">
              <w:rPr>
                <w:rFonts w:ascii="Times New Roman" w:hAnsi="Times New Roman" w:cs="Times New Roman"/>
                <w:noProof/>
              </w:rPr>
              <w:t>Кількість суб’єктів малого підприємництва, що повинні виконати вимоги регулювання, одиниць</w:t>
            </w:r>
          </w:p>
        </w:tc>
        <w:tc>
          <w:tcPr>
            <w:tcW w:w="2647" w:type="pct"/>
            <w:gridSpan w:val="3"/>
            <w:tcMar>
              <w:top w:w="57" w:type="dxa"/>
              <w:left w:w="57" w:type="dxa"/>
              <w:bottom w:w="57" w:type="dxa"/>
              <w:right w:w="57" w:type="dxa"/>
            </w:tcMar>
            <w:hideMark/>
          </w:tcPr>
          <w:p w:rsidR="00561511" w:rsidRPr="00125DF2" w:rsidRDefault="00D53202" w:rsidP="00125DF2">
            <w:pPr>
              <w:spacing w:after="0" w:line="240" w:lineRule="auto"/>
              <w:jc w:val="center"/>
              <w:rPr>
                <w:rFonts w:ascii="Times New Roman" w:hAnsi="Times New Roman" w:cs="Times New Roman"/>
                <w:noProof/>
              </w:rPr>
            </w:pPr>
            <w:r w:rsidRPr="00125DF2">
              <w:rPr>
                <w:rFonts w:ascii="Times New Roman" w:hAnsi="Times New Roman" w:cs="Times New Roman"/>
                <w:noProof/>
              </w:rPr>
              <w:t>1024</w:t>
            </w:r>
          </w:p>
        </w:tc>
      </w:tr>
      <w:tr w:rsidR="00D53202" w:rsidRPr="00B32392" w:rsidTr="002F508E">
        <w:tc>
          <w:tcPr>
            <w:tcW w:w="656" w:type="pct"/>
            <w:tcMar>
              <w:top w:w="57" w:type="dxa"/>
              <w:left w:w="57" w:type="dxa"/>
              <w:bottom w:w="57" w:type="dxa"/>
              <w:right w:w="57" w:type="dxa"/>
            </w:tcMar>
            <w:hideMark/>
          </w:tcPr>
          <w:p w:rsidR="00D53202" w:rsidRPr="00B32392" w:rsidRDefault="00D53202" w:rsidP="00D53202">
            <w:pPr>
              <w:spacing w:after="0" w:line="240" w:lineRule="auto"/>
              <w:jc w:val="center"/>
              <w:rPr>
                <w:rFonts w:ascii="Times New Roman" w:hAnsi="Times New Roman" w:cs="Times New Roman"/>
                <w:noProof/>
              </w:rPr>
            </w:pPr>
            <w:r w:rsidRPr="00B32392">
              <w:rPr>
                <w:rFonts w:ascii="Times New Roman" w:hAnsi="Times New Roman" w:cs="Times New Roman"/>
                <w:noProof/>
              </w:rPr>
              <w:t>16</w:t>
            </w:r>
          </w:p>
        </w:tc>
        <w:tc>
          <w:tcPr>
            <w:tcW w:w="1697" w:type="pct"/>
            <w:tcMar>
              <w:top w:w="57" w:type="dxa"/>
              <w:left w:w="57" w:type="dxa"/>
              <w:bottom w:w="57" w:type="dxa"/>
              <w:right w:w="57" w:type="dxa"/>
            </w:tcMar>
            <w:hideMark/>
          </w:tcPr>
          <w:p w:rsidR="00D53202" w:rsidRPr="00B32392" w:rsidRDefault="00D53202" w:rsidP="00D53202">
            <w:pPr>
              <w:spacing w:after="0" w:line="240" w:lineRule="auto"/>
              <w:jc w:val="both"/>
              <w:rPr>
                <w:rFonts w:ascii="Times New Roman" w:hAnsi="Times New Roman" w:cs="Times New Roman"/>
                <w:noProof/>
              </w:rPr>
            </w:pPr>
            <w:r w:rsidRPr="00D53202">
              <w:rPr>
                <w:rFonts w:ascii="Times New Roman" w:hAnsi="Times New Roman" w:cs="Times New Roman"/>
                <w:noProof/>
              </w:rPr>
              <w:t>Сумарно, гривень</w:t>
            </w:r>
          </w:p>
        </w:tc>
        <w:tc>
          <w:tcPr>
            <w:tcW w:w="930" w:type="pct"/>
            <w:shd w:val="clear" w:color="000000" w:fill="FFFFFF"/>
            <w:tcMar>
              <w:top w:w="57" w:type="dxa"/>
              <w:left w:w="57" w:type="dxa"/>
              <w:bottom w:w="57" w:type="dxa"/>
              <w:right w:w="57" w:type="dxa"/>
            </w:tcMar>
            <w:vAlign w:val="center"/>
          </w:tcPr>
          <w:p w:rsidR="00D53202" w:rsidRPr="00125DF2" w:rsidRDefault="00D53202" w:rsidP="00D53202">
            <w:pPr>
              <w:spacing w:after="0" w:line="240" w:lineRule="auto"/>
              <w:jc w:val="center"/>
              <w:rPr>
                <w:rFonts w:ascii="Times New Roman" w:hAnsi="Times New Roman" w:cs="Times New Roman"/>
                <w:noProof/>
              </w:rPr>
            </w:pPr>
            <w:r w:rsidRPr="00125DF2">
              <w:rPr>
                <w:rFonts w:ascii="Times New Roman" w:hAnsi="Times New Roman" w:cs="Times New Roman"/>
                <w:noProof/>
              </w:rPr>
              <w:t>254,00</w:t>
            </w:r>
            <w:r w:rsidR="00561511" w:rsidRPr="00125DF2">
              <w:rPr>
                <w:rFonts w:ascii="Times New Roman" w:hAnsi="Times New Roman" w:cs="Times New Roman"/>
                <w:noProof/>
              </w:rPr>
              <w:t xml:space="preserve"> х </w:t>
            </w:r>
            <w:r w:rsidR="00125DF2" w:rsidRPr="00125DF2">
              <w:rPr>
                <w:rFonts w:ascii="Times New Roman" w:hAnsi="Times New Roman" w:cs="Times New Roman"/>
                <w:noProof/>
              </w:rPr>
              <w:t>1024 = 260 096,00</w:t>
            </w:r>
          </w:p>
        </w:tc>
        <w:tc>
          <w:tcPr>
            <w:tcW w:w="857" w:type="pct"/>
            <w:shd w:val="clear" w:color="000000" w:fill="FFFFFF"/>
            <w:tcMar>
              <w:top w:w="57" w:type="dxa"/>
              <w:left w:w="57" w:type="dxa"/>
              <w:bottom w:w="57" w:type="dxa"/>
              <w:right w:w="57" w:type="dxa"/>
            </w:tcMar>
            <w:vAlign w:val="center"/>
          </w:tcPr>
          <w:p w:rsidR="00D53202" w:rsidRPr="00125DF2" w:rsidRDefault="00D53202" w:rsidP="00D53202">
            <w:pPr>
              <w:spacing w:after="0" w:line="240" w:lineRule="auto"/>
              <w:jc w:val="center"/>
              <w:rPr>
                <w:rFonts w:ascii="Times New Roman" w:hAnsi="Times New Roman" w:cs="Times New Roman"/>
                <w:noProof/>
              </w:rPr>
            </w:pPr>
            <w:r w:rsidRPr="00125DF2">
              <w:rPr>
                <w:rFonts w:ascii="Times New Roman" w:hAnsi="Times New Roman" w:cs="Times New Roman"/>
                <w:noProof/>
              </w:rPr>
              <w:t>не передбачені</w:t>
            </w:r>
          </w:p>
        </w:tc>
        <w:tc>
          <w:tcPr>
            <w:tcW w:w="860" w:type="pct"/>
            <w:shd w:val="clear" w:color="000000" w:fill="FFFFFF"/>
            <w:tcMar>
              <w:top w:w="57" w:type="dxa"/>
              <w:left w:w="57" w:type="dxa"/>
              <w:bottom w:w="57" w:type="dxa"/>
              <w:right w:w="57" w:type="dxa"/>
            </w:tcMar>
            <w:vAlign w:val="center"/>
          </w:tcPr>
          <w:p w:rsidR="00D53202" w:rsidRPr="00B32392" w:rsidRDefault="00D53202" w:rsidP="00D53202">
            <w:pPr>
              <w:spacing w:after="0" w:line="240" w:lineRule="auto"/>
              <w:jc w:val="center"/>
              <w:rPr>
                <w:rFonts w:ascii="Times New Roman" w:hAnsi="Times New Roman" w:cs="Times New Roman"/>
                <w:noProof/>
              </w:rPr>
            </w:pPr>
            <w:r>
              <w:rPr>
                <w:rFonts w:ascii="Times New Roman" w:hAnsi="Times New Roman" w:cs="Times New Roman"/>
                <w:noProof/>
              </w:rPr>
              <w:t>254,00</w:t>
            </w:r>
          </w:p>
        </w:tc>
      </w:tr>
    </w:tbl>
    <w:p w:rsidR="00D53202" w:rsidRDefault="00D53202" w:rsidP="004F3E07">
      <w:pPr>
        <w:spacing w:after="0" w:line="240" w:lineRule="auto"/>
        <w:jc w:val="center"/>
        <w:rPr>
          <w:rFonts w:ascii="Times New Roman" w:hAnsi="Times New Roman" w:cs="Times New Roman"/>
          <w:noProof/>
          <w:sz w:val="28"/>
          <w:szCs w:val="28"/>
        </w:rPr>
      </w:pPr>
    </w:p>
    <w:p w:rsidR="00B32392" w:rsidRPr="00B32392" w:rsidRDefault="00B32392" w:rsidP="004F3E07">
      <w:pPr>
        <w:spacing w:after="0" w:line="240" w:lineRule="auto"/>
        <w:jc w:val="center"/>
        <w:rPr>
          <w:rFonts w:ascii="Times New Roman" w:hAnsi="Times New Roman" w:cs="Times New Roman"/>
          <w:noProof/>
          <w:sz w:val="28"/>
          <w:szCs w:val="28"/>
        </w:rPr>
      </w:pPr>
      <w:r w:rsidRPr="00B32392">
        <w:rPr>
          <w:rFonts w:ascii="Times New Roman" w:hAnsi="Times New Roman" w:cs="Times New Roman"/>
          <w:noProof/>
          <w:sz w:val="28"/>
          <w:szCs w:val="28"/>
        </w:rPr>
        <w:t>Бюджетні витрати на адміністрування регулювання суб'єктів малого підприємництва</w:t>
      </w:r>
    </w:p>
    <w:p w:rsidR="00B32392" w:rsidRPr="00B32392" w:rsidRDefault="00B32392" w:rsidP="004F3E07">
      <w:pPr>
        <w:spacing w:after="0" w:line="240" w:lineRule="auto"/>
        <w:ind w:firstLine="567"/>
        <w:jc w:val="both"/>
        <w:rPr>
          <w:rFonts w:ascii="Times New Roman" w:hAnsi="Times New Roman" w:cs="Times New Roman"/>
          <w:noProof/>
          <w:sz w:val="28"/>
          <w:szCs w:val="28"/>
        </w:rPr>
      </w:pPr>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rsidR="00B32392" w:rsidRPr="00B32392" w:rsidRDefault="00B32392" w:rsidP="00D53202">
      <w:pPr>
        <w:spacing w:after="0" w:line="240" w:lineRule="auto"/>
        <w:ind w:firstLine="709"/>
        <w:jc w:val="both"/>
        <w:rPr>
          <w:rFonts w:ascii="Times New Roman" w:hAnsi="Times New Roman" w:cs="Times New Roman"/>
          <w:noProof/>
          <w:sz w:val="28"/>
          <w:szCs w:val="28"/>
        </w:rPr>
      </w:pPr>
      <w:r w:rsidRPr="00B32392">
        <w:rPr>
          <w:rFonts w:ascii="Times New Roman" w:hAnsi="Times New Roman" w:cs="Times New Roman"/>
          <w:noProof/>
          <w:sz w:val="28"/>
          <w:szCs w:val="28"/>
        </w:rPr>
        <w:t>Державний орган, для якого здійснюється розрахунок вартості адміністрування регулювання:</w:t>
      </w:r>
    </w:p>
    <w:p w:rsidR="00B32392" w:rsidRPr="00B32392" w:rsidRDefault="00B32392" w:rsidP="004F3E07">
      <w:pPr>
        <w:spacing w:after="0" w:line="240" w:lineRule="auto"/>
        <w:jc w:val="both"/>
        <w:rPr>
          <w:rFonts w:ascii="Times New Roman" w:hAnsi="Times New Roman" w:cs="Times New Roman"/>
          <w:noProof/>
          <w:sz w:val="28"/>
          <w:szCs w:val="28"/>
        </w:rPr>
      </w:pPr>
    </w:p>
    <w:p w:rsidR="00B32392" w:rsidRPr="00B32392" w:rsidRDefault="00D53202" w:rsidP="004F3E07">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Міністерство освіти і науки України</w:t>
      </w:r>
    </w:p>
    <w:p w:rsidR="00B32392" w:rsidRPr="00B32392" w:rsidRDefault="00B32392" w:rsidP="004F3E07">
      <w:pPr>
        <w:spacing w:after="0" w:line="240" w:lineRule="auto"/>
        <w:jc w:val="both"/>
        <w:rPr>
          <w:rFonts w:ascii="Times New Roman" w:hAnsi="Times New Roman" w:cs="Times New Roman"/>
          <w:noProo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0"/>
        <w:gridCol w:w="1415"/>
        <w:gridCol w:w="1502"/>
        <w:gridCol w:w="1388"/>
        <w:gridCol w:w="1388"/>
        <w:gridCol w:w="1384"/>
      </w:tblGrid>
      <w:tr w:rsidR="00B32392" w:rsidRPr="00B32392" w:rsidTr="00DF3D94">
        <w:trPr>
          <w:trHeight w:val="300"/>
        </w:trPr>
        <w:tc>
          <w:tcPr>
            <w:tcW w:w="1324" w:type="pct"/>
            <w:shd w:val="clear" w:color="auto" w:fill="auto"/>
            <w:noWrap/>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 підприємництв)</w:t>
            </w:r>
          </w:p>
        </w:tc>
        <w:tc>
          <w:tcPr>
            <w:tcW w:w="735" w:type="pct"/>
            <w:shd w:val="clear" w:color="auto" w:fill="auto"/>
            <w:noWrap/>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Планові витрати часу на процедуру</w:t>
            </w:r>
          </w:p>
        </w:tc>
        <w:tc>
          <w:tcPr>
            <w:tcW w:w="780" w:type="pct"/>
            <w:shd w:val="clear" w:color="auto" w:fill="auto"/>
            <w:noWrap/>
            <w:vAlign w:val="center"/>
            <w:hideMark/>
          </w:tcPr>
          <w:p w:rsidR="00B32392" w:rsidRPr="00B32392" w:rsidRDefault="00B32392" w:rsidP="00D53202">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Вартість часу співробітника (заробітна плата)</w:t>
            </w:r>
          </w:p>
        </w:tc>
        <w:tc>
          <w:tcPr>
            <w:tcW w:w="721" w:type="pct"/>
            <w:shd w:val="clear" w:color="auto" w:fill="auto"/>
            <w:noWrap/>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Оцінка кількості процедур за рік, що припадають на одного суб'єкта</w:t>
            </w:r>
          </w:p>
        </w:tc>
        <w:tc>
          <w:tcPr>
            <w:tcW w:w="721" w:type="pct"/>
            <w:shd w:val="clear" w:color="auto" w:fill="auto"/>
            <w:noWrap/>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Оцінка кількості суб'єктів, що підпадають під дію процедури регулювання</w:t>
            </w:r>
          </w:p>
        </w:tc>
        <w:tc>
          <w:tcPr>
            <w:tcW w:w="719" w:type="pct"/>
            <w:shd w:val="clear" w:color="auto" w:fill="auto"/>
            <w:noWrap/>
            <w:vAlign w:val="center"/>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Витрати на адміністрування регулювання* (за рік), гривень</w:t>
            </w:r>
          </w:p>
        </w:tc>
      </w:tr>
      <w:tr w:rsidR="00B32392" w:rsidRPr="00B32392" w:rsidTr="00DF3D94">
        <w:trPr>
          <w:trHeight w:val="300"/>
        </w:trPr>
        <w:tc>
          <w:tcPr>
            <w:tcW w:w="1324" w:type="pct"/>
            <w:shd w:val="clear" w:color="auto" w:fill="auto"/>
            <w:noWrap/>
            <w:vAlign w:val="bottom"/>
            <w:hideMark/>
          </w:tcPr>
          <w:p w:rsidR="00B32392" w:rsidRPr="00B32392" w:rsidRDefault="00B32392" w:rsidP="00D53202">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 xml:space="preserve">1. </w:t>
            </w:r>
            <w:r w:rsidR="00D53202" w:rsidRPr="00D53202">
              <w:rPr>
                <w:rFonts w:ascii="Times New Roman" w:eastAsia="Times New Roman" w:hAnsi="Times New Roman" w:cs="Times New Roman"/>
                <w:noProof/>
                <w:color w:val="000000"/>
              </w:rPr>
              <w:t>Розміщення інформації на сайті, ознайомлення громадськості</w:t>
            </w:r>
          </w:p>
        </w:tc>
        <w:tc>
          <w:tcPr>
            <w:tcW w:w="735"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sidRPr="00D53202">
              <w:rPr>
                <w:rFonts w:ascii="Times New Roman" w:eastAsia="Times New Roman" w:hAnsi="Times New Roman" w:cs="Times New Roman"/>
                <w:noProof/>
                <w:color w:val="000000"/>
              </w:rPr>
              <w:t>2 год × 1 працівник</w:t>
            </w:r>
          </w:p>
        </w:tc>
        <w:tc>
          <w:tcPr>
            <w:tcW w:w="780"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254,00 грн</w:t>
            </w:r>
          </w:p>
        </w:tc>
        <w:tc>
          <w:tcPr>
            <w:tcW w:w="721" w:type="pct"/>
            <w:shd w:val="clear" w:color="auto" w:fill="auto"/>
            <w:noWrap/>
            <w:hideMark/>
          </w:tcPr>
          <w:p w:rsidR="00B32392" w:rsidRPr="00B32392" w:rsidRDefault="00B32392" w:rsidP="005754A2">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1</w:t>
            </w:r>
          </w:p>
        </w:tc>
        <w:tc>
          <w:tcPr>
            <w:tcW w:w="721"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254,00 грн</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2. Поточний контроль за суб'єктом господарювання, що перебуває у сфері регулювання, у тому числі:</w:t>
            </w:r>
          </w:p>
        </w:tc>
        <w:tc>
          <w:tcPr>
            <w:tcW w:w="735"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80"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19" w:type="pct"/>
            <w:shd w:val="clear" w:color="auto" w:fill="auto"/>
            <w:noWrap/>
            <w:hideMark/>
          </w:tcPr>
          <w:p w:rsidR="00B32392" w:rsidRPr="00B32392" w:rsidRDefault="00D53202"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lastRenderedPageBreak/>
              <w:t>камеральні</w:t>
            </w:r>
          </w:p>
        </w:tc>
        <w:tc>
          <w:tcPr>
            <w:tcW w:w="735"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виїзні</w:t>
            </w:r>
          </w:p>
        </w:tc>
        <w:tc>
          <w:tcPr>
            <w:tcW w:w="735"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3. Підготовка, затвердження та опрацювання одного окремого акта про порушення вимог регулювання</w:t>
            </w:r>
          </w:p>
        </w:tc>
        <w:tc>
          <w:tcPr>
            <w:tcW w:w="735"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4. Реалізація одного окремого рішення щодо порушення вимог регулювання</w:t>
            </w:r>
          </w:p>
        </w:tc>
        <w:tc>
          <w:tcPr>
            <w:tcW w:w="735"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5. Оскарження одного окремого рішення суб'єктами господарювання</w:t>
            </w:r>
          </w:p>
        </w:tc>
        <w:tc>
          <w:tcPr>
            <w:tcW w:w="735"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6. Підготовка звітності за результатами регулювання</w:t>
            </w:r>
          </w:p>
        </w:tc>
        <w:tc>
          <w:tcPr>
            <w:tcW w:w="735"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80"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7.</w:t>
            </w:r>
            <w:r w:rsidR="00DF3D94">
              <w:rPr>
                <w:rFonts w:ascii="Times New Roman" w:eastAsia="Times New Roman" w:hAnsi="Times New Roman" w:cs="Times New Roman"/>
                <w:noProof/>
                <w:color w:val="000000"/>
              </w:rPr>
              <w:t xml:space="preserve"> Інші адміністративні процедури</w:t>
            </w:r>
          </w:p>
        </w:tc>
        <w:tc>
          <w:tcPr>
            <w:tcW w:w="735"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80"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21"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719"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Разом за рік</w:t>
            </w:r>
          </w:p>
        </w:tc>
        <w:tc>
          <w:tcPr>
            <w:tcW w:w="735" w:type="pct"/>
            <w:shd w:val="clear" w:color="auto" w:fill="auto"/>
            <w:noWrap/>
            <w:hideMark/>
          </w:tcPr>
          <w:p w:rsidR="00B32392" w:rsidRPr="00B32392" w:rsidRDefault="00DF3D94" w:rsidP="00DF3D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 год</w:t>
            </w:r>
          </w:p>
        </w:tc>
        <w:tc>
          <w:tcPr>
            <w:tcW w:w="780" w:type="pct"/>
            <w:shd w:val="clear" w:color="auto" w:fill="auto"/>
            <w:noWrap/>
            <w:hideMark/>
          </w:tcPr>
          <w:p w:rsidR="00B32392" w:rsidRPr="00B32392" w:rsidRDefault="00DF3D94" w:rsidP="00DF3D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254</w:t>
            </w:r>
            <w:r w:rsidR="00B32392" w:rsidRPr="00B32392">
              <w:rPr>
                <w:rFonts w:ascii="Times New Roman" w:eastAsia="Times New Roman" w:hAnsi="Times New Roman" w:cs="Times New Roman"/>
                <w:noProof/>
                <w:color w:val="000000"/>
              </w:rPr>
              <w:t>,</w:t>
            </w:r>
            <w:r>
              <w:rPr>
                <w:rFonts w:ascii="Times New Roman" w:eastAsia="Times New Roman" w:hAnsi="Times New Roman" w:cs="Times New Roman"/>
                <w:noProof/>
                <w:color w:val="000000"/>
              </w:rPr>
              <w:t>00</w:t>
            </w:r>
            <w:r w:rsidR="00B32392" w:rsidRPr="00B32392">
              <w:rPr>
                <w:rFonts w:ascii="Times New Roman" w:eastAsia="Times New Roman" w:hAnsi="Times New Roman" w:cs="Times New Roman"/>
                <w:noProof/>
                <w:color w:val="000000"/>
              </w:rPr>
              <w:t xml:space="preserve"> грн</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1</w:t>
            </w:r>
          </w:p>
        </w:tc>
        <w:tc>
          <w:tcPr>
            <w:tcW w:w="721"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254,00 грн</w:t>
            </w:r>
          </w:p>
        </w:tc>
      </w:tr>
      <w:tr w:rsidR="00B32392" w:rsidRPr="00B32392" w:rsidTr="00DF3D94">
        <w:trPr>
          <w:trHeight w:val="300"/>
        </w:trPr>
        <w:tc>
          <w:tcPr>
            <w:tcW w:w="1324" w:type="pct"/>
            <w:shd w:val="clear" w:color="auto" w:fill="auto"/>
            <w:noWrap/>
            <w:vAlign w:val="bottom"/>
            <w:hideMark/>
          </w:tcPr>
          <w:p w:rsidR="00B32392" w:rsidRPr="00B32392" w:rsidRDefault="00B32392" w:rsidP="004F3E07">
            <w:pPr>
              <w:spacing w:after="0" w:line="240" w:lineRule="auto"/>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Сумарно за п’ять років</w:t>
            </w:r>
          </w:p>
        </w:tc>
        <w:tc>
          <w:tcPr>
            <w:tcW w:w="735" w:type="pct"/>
            <w:shd w:val="clear" w:color="auto" w:fill="auto"/>
            <w:noWrap/>
            <w:hideMark/>
          </w:tcPr>
          <w:p w:rsidR="00B32392" w:rsidRPr="00B32392" w:rsidRDefault="00DF3D94" w:rsidP="00DF3D9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w:t>
            </w:r>
            <w:r w:rsidR="00B32392" w:rsidRPr="00B32392">
              <w:rPr>
                <w:rFonts w:ascii="Times New Roman" w:eastAsia="Times New Roman" w:hAnsi="Times New Roman" w:cs="Times New Roman"/>
                <w:noProof/>
                <w:color w:val="000000"/>
              </w:rPr>
              <w:t xml:space="preserve"> год</w:t>
            </w:r>
          </w:p>
        </w:tc>
        <w:tc>
          <w:tcPr>
            <w:tcW w:w="780"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254,00</w:t>
            </w:r>
            <w:r w:rsidR="00B32392" w:rsidRPr="00B32392">
              <w:rPr>
                <w:rFonts w:ascii="Times New Roman" w:eastAsia="Times New Roman" w:hAnsi="Times New Roman" w:cs="Times New Roman"/>
                <w:noProof/>
                <w:color w:val="000000"/>
              </w:rPr>
              <w:t>грн</w:t>
            </w:r>
          </w:p>
        </w:tc>
        <w:tc>
          <w:tcPr>
            <w:tcW w:w="721" w:type="pct"/>
            <w:shd w:val="clear" w:color="auto" w:fill="auto"/>
            <w:noWrap/>
            <w:hideMark/>
          </w:tcPr>
          <w:p w:rsidR="00B32392" w:rsidRPr="00B32392" w:rsidRDefault="00B32392" w:rsidP="004F3E07">
            <w:pPr>
              <w:spacing w:after="0" w:line="240" w:lineRule="auto"/>
              <w:jc w:val="center"/>
              <w:rPr>
                <w:rFonts w:ascii="Times New Roman" w:eastAsia="Times New Roman" w:hAnsi="Times New Roman" w:cs="Times New Roman"/>
                <w:color w:val="000000"/>
              </w:rPr>
            </w:pPr>
            <w:r w:rsidRPr="00B32392">
              <w:rPr>
                <w:rFonts w:ascii="Times New Roman" w:eastAsia="Times New Roman" w:hAnsi="Times New Roman" w:cs="Times New Roman"/>
                <w:noProof/>
                <w:color w:val="000000"/>
              </w:rPr>
              <w:t>1</w:t>
            </w:r>
          </w:p>
        </w:tc>
        <w:tc>
          <w:tcPr>
            <w:tcW w:w="721"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w:t>
            </w:r>
          </w:p>
        </w:tc>
        <w:tc>
          <w:tcPr>
            <w:tcW w:w="719" w:type="pct"/>
            <w:shd w:val="clear" w:color="auto" w:fill="auto"/>
            <w:noWrap/>
            <w:hideMark/>
          </w:tcPr>
          <w:p w:rsidR="00B32392" w:rsidRPr="00B32392" w:rsidRDefault="00DF3D94" w:rsidP="004F3E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t>254,00 грн</w:t>
            </w:r>
          </w:p>
        </w:tc>
      </w:tr>
    </w:tbl>
    <w:p w:rsidR="00B32392" w:rsidRPr="00B32392" w:rsidRDefault="00B32392" w:rsidP="004F3E07">
      <w:pPr>
        <w:spacing w:after="0" w:line="240" w:lineRule="auto"/>
        <w:jc w:val="both"/>
        <w:rPr>
          <w:rFonts w:ascii="Times New Roman" w:hAnsi="Times New Roman" w:cs="Times New Roman"/>
          <w:noProof/>
          <w:sz w:val="28"/>
          <w:szCs w:val="28"/>
        </w:rPr>
      </w:pPr>
    </w:p>
    <w:p w:rsidR="00B32392" w:rsidRPr="00B32392" w:rsidRDefault="00B32392" w:rsidP="004F3E07">
      <w:pPr>
        <w:spacing w:after="0" w:line="240" w:lineRule="auto"/>
        <w:jc w:val="both"/>
        <w:rPr>
          <w:rFonts w:ascii="Times New Roman" w:hAnsi="Times New Roman" w:cs="Times New Roman"/>
          <w:noProof/>
          <w:sz w:val="28"/>
          <w:szCs w:val="28"/>
        </w:rPr>
      </w:pPr>
      <w:bookmarkStart w:id="2" w:name="n213"/>
      <w:bookmarkEnd w:id="2"/>
    </w:p>
    <w:p w:rsidR="00B32392" w:rsidRP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t>4. Розрахунок сумарних витрат суб’єктів малого підприємництва, що виникають на виконання вимог регулювання</w:t>
      </w:r>
    </w:p>
    <w:p w:rsidR="00B32392" w:rsidRPr="00B32392" w:rsidRDefault="00B32392" w:rsidP="004F3E07">
      <w:pPr>
        <w:spacing w:after="0" w:line="240" w:lineRule="auto"/>
        <w:jc w:val="both"/>
        <w:rPr>
          <w:rFonts w:ascii="Times New Roman" w:hAnsi="Times New Roman" w:cs="Times New Roman"/>
          <w:noProof/>
          <w:sz w:val="28"/>
          <w:szCs w:val="28"/>
        </w:rPr>
      </w:pPr>
    </w:p>
    <w:tbl>
      <w:tblPr>
        <w:tblStyle w:val="10"/>
        <w:tblW w:w="5000" w:type="pct"/>
        <w:tblLook w:val="04A0" w:firstRow="1" w:lastRow="0" w:firstColumn="1" w:lastColumn="0" w:noHBand="0" w:noVBand="1"/>
      </w:tblPr>
      <w:tblGrid>
        <w:gridCol w:w="1615"/>
        <w:gridCol w:w="5171"/>
        <w:gridCol w:w="1548"/>
        <w:gridCol w:w="1293"/>
      </w:tblGrid>
      <w:tr w:rsidR="00DF3D94" w:rsidRPr="00B32392" w:rsidTr="00DF3D94">
        <w:tc>
          <w:tcPr>
            <w:tcW w:w="872"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Порядковий номер</w:t>
            </w:r>
          </w:p>
        </w:tc>
        <w:tc>
          <w:tcPr>
            <w:tcW w:w="2719"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Показник</w:t>
            </w:r>
          </w:p>
        </w:tc>
        <w:tc>
          <w:tcPr>
            <w:tcW w:w="704"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Перший рік регулювання (стартовий), грн</w:t>
            </w:r>
          </w:p>
        </w:tc>
        <w:tc>
          <w:tcPr>
            <w:tcW w:w="705"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За п’ять років, грн</w:t>
            </w:r>
          </w:p>
        </w:tc>
      </w:tr>
      <w:tr w:rsidR="00DF3D94" w:rsidRPr="00B32392" w:rsidTr="00DF3D94">
        <w:tc>
          <w:tcPr>
            <w:tcW w:w="872"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1</w:t>
            </w:r>
          </w:p>
        </w:tc>
        <w:tc>
          <w:tcPr>
            <w:tcW w:w="2719" w:type="pct"/>
          </w:tcPr>
          <w:p w:rsidR="00DF3D94" w:rsidRPr="00DF3D94" w:rsidRDefault="00DF3D94" w:rsidP="004F3E07">
            <w:pPr>
              <w:jc w:val="both"/>
              <w:rPr>
                <w:rFonts w:ascii="Times New Roman" w:hAnsi="Times New Roman"/>
                <w:noProof/>
                <w:sz w:val="24"/>
                <w:szCs w:val="28"/>
              </w:rPr>
            </w:pPr>
            <w:r w:rsidRPr="00DF3D94">
              <w:rPr>
                <w:rFonts w:ascii="Times New Roman" w:hAnsi="Times New Roman"/>
                <w:noProof/>
                <w:sz w:val="24"/>
                <w:szCs w:val="28"/>
              </w:rPr>
              <w:t>Оцінка «прямих» витрат суб’єктів малого підприємництва на виконання регулювання</w:t>
            </w:r>
          </w:p>
        </w:tc>
        <w:tc>
          <w:tcPr>
            <w:tcW w:w="704"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0</w:t>
            </w:r>
          </w:p>
        </w:tc>
        <w:tc>
          <w:tcPr>
            <w:tcW w:w="705"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0</w:t>
            </w:r>
          </w:p>
        </w:tc>
      </w:tr>
      <w:tr w:rsidR="00DF3D94" w:rsidRPr="00B32392" w:rsidTr="00DF3D94">
        <w:tc>
          <w:tcPr>
            <w:tcW w:w="872"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2</w:t>
            </w:r>
          </w:p>
        </w:tc>
        <w:tc>
          <w:tcPr>
            <w:tcW w:w="2719" w:type="pct"/>
          </w:tcPr>
          <w:p w:rsidR="00DF3D94" w:rsidRPr="00DF3D94" w:rsidRDefault="00DF3D94" w:rsidP="004F3E07">
            <w:pPr>
              <w:jc w:val="both"/>
              <w:rPr>
                <w:rFonts w:ascii="Times New Roman" w:hAnsi="Times New Roman"/>
                <w:noProof/>
                <w:sz w:val="24"/>
                <w:szCs w:val="28"/>
              </w:rPr>
            </w:pPr>
            <w:r w:rsidRPr="00DF3D94">
              <w:rPr>
                <w:rFonts w:ascii="Times New Roman" w:hAnsi="Times New Roman"/>
                <w:noProof/>
                <w:sz w:val="24"/>
                <w:szCs w:val="28"/>
              </w:rPr>
              <w:t>Оцінка вартості адміністративних процедур для суб'єктів малого підприємництва щодо виконання регулювання та звітування</w:t>
            </w:r>
          </w:p>
        </w:tc>
        <w:tc>
          <w:tcPr>
            <w:tcW w:w="704"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0</w:t>
            </w:r>
          </w:p>
        </w:tc>
        <w:tc>
          <w:tcPr>
            <w:tcW w:w="705"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0</w:t>
            </w:r>
          </w:p>
        </w:tc>
      </w:tr>
      <w:tr w:rsidR="00DF3D94" w:rsidRPr="00B32392" w:rsidTr="00DF3D94">
        <w:tc>
          <w:tcPr>
            <w:tcW w:w="872"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3</w:t>
            </w:r>
          </w:p>
        </w:tc>
        <w:tc>
          <w:tcPr>
            <w:tcW w:w="2719" w:type="pct"/>
          </w:tcPr>
          <w:p w:rsidR="00DF3D94" w:rsidRPr="00DF3D94" w:rsidRDefault="00DF3D94" w:rsidP="004F3E07">
            <w:pPr>
              <w:jc w:val="both"/>
              <w:rPr>
                <w:rFonts w:ascii="Times New Roman" w:hAnsi="Times New Roman"/>
                <w:noProof/>
                <w:sz w:val="24"/>
                <w:szCs w:val="28"/>
              </w:rPr>
            </w:pPr>
            <w:r w:rsidRPr="00DF3D94">
              <w:rPr>
                <w:rFonts w:ascii="Times New Roman" w:hAnsi="Times New Roman"/>
                <w:noProof/>
                <w:sz w:val="24"/>
                <w:szCs w:val="28"/>
              </w:rPr>
              <w:t>Сумарні витрати малого підприємництва на виконання запланованого регулювання</w:t>
            </w:r>
          </w:p>
        </w:tc>
        <w:tc>
          <w:tcPr>
            <w:tcW w:w="704"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0</w:t>
            </w:r>
          </w:p>
        </w:tc>
        <w:tc>
          <w:tcPr>
            <w:tcW w:w="705"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0</w:t>
            </w:r>
          </w:p>
        </w:tc>
      </w:tr>
      <w:tr w:rsidR="00DF3D94" w:rsidRPr="00B32392" w:rsidTr="00DF3D94">
        <w:tc>
          <w:tcPr>
            <w:tcW w:w="872"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4</w:t>
            </w:r>
          </w:p>
        </w:tc>
        <w:tc>
          <w:tcPr>
            <w:tcW w:w="2719" w:type="pct"/>
          </w:tcPr>
          <w:p w:rsidR="00DF3D94" w:rsidRPr="00DF3D94" w:rsidRDefault="00DF3D94" w:rsidP="004F3E07">
            <w:pPr>
              <w:jc w:val="both"/>
              <w:rPr>
                <w:rFonts w:ascii="Times New Roman" w:hAnsi="Times New Roman"/>
                <w:noProof/>
                <w:sz w:val="24"/>
                <w:szCs w:val="28"/>
              </w:rPr>
            </w:pPr>
            <w:r w:rsidRPr="00DF3D94">
              <w:rPr>
                <w:rFonts w:ascii="Times New Roman" w:hAnsi="Times New Roman"/>
                <w:noProof/>
                <w:sz w:val="24"/>
                <w:szCs w:val="28"/>
              </w:rPr>
              <w:t>Бюджетні витрати на адміністрування регулювання суб'єктів малого підприємництва</w:t>
            </w:r>
          </w:p>
        </w:tc>
        <w:tc>
          <w:tcPr>
            <w:tcW w:w="704"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254</w:t>
            </w:r>
          </w:p>
        </w:tc>
        <w:tc>
          <w:tcPr>
            <w:tcW w:w="705"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254</w:t>
            </w:r>
          </w:p>
        </w:tc>
      </w:tr>
      <w:tr w:rsidR="00DF3D94" w:rsidRPr="00DF3D94" w:rsidTr="00DF3D94">
        <w:tc>
          <w:tcPr>
            <w:tcW w:w="872"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5</w:t>
            </w:r>
          </w:p>
        </w:tc>
        <w:tc>
          <w:tcPr>
            <w:tcW w:w="2719" w:type="pct"/>
          </w:tcPr>
          <w:p w:rsidR="00DF3D94" w:rsidRPr="00DF3D94" w:rsidRDefault="00DF3D94" w:rsidP="004F3E07">
            <w:pPr>
              <w:jc w:val="both"/>
              <w:rPr>
                <w:rFonts w:ascii="Times New Roman" w:hAnsi="Times New Roman"/>
                <w:noProof/>
                <w:sz w:val="24"/>
                <w:szCs w:val="28"/>
              </w:rPr>
            </w:pPr>
            <w:r w:rsidRPr="00DF3D94">
              <w:rPr>
                <w:rFonts w:ascii="Times New Roman" w:hAnsi="Times New Roman"/>
                <w:noProof/>
                <w:sz w:val="24"/>
                <w:szCs w:val="28"/>
              </w:rPr>
              <w:t>Сумарні витрати на виконання запланованого регулювання</w:t>
            </w:r>
          </w:p>
        </w:tc>
        <w:tc>
          <w:tcPr>
            <w:tcW w:w="704"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254</w:t>
            </w:r>
          </w:p>
        </w:tc>
        <w:tc>
          <w:tcPr>
            <w:tcW w:w="705" w:type="pct"/>
          </w:tcPr>
          <w:p w:rsidR="00DF3D94" w:rsidRPr="00DF3D94" w:rsidRDefault="00DF3D94" w:rsidP="004F3E07">
            <w:pPr>
              <w:jc w:val="center"/>
              <w:rPr>
                <w:rFonts w:ascii="Times New Roman" w:hAnsi="Times New Roman"/>
                <w:noProof/>
                <w:sz w:val="24"/>
                <w:szCs w:val="28"/>
              </w:rPr>
            </w:pPr>
            <w:r w:rsidRPr="00DF3D94">
              <w:rPr>
                <w:rFonts w:ascii="Times New Roman" w:hAnsi="Times New Roman"/>
                <w:noProof/>
                <w:sz w:val="24"/>
                <w:szCs w:val="28"/>
              </w:rPr>
              <w:t>254</w:t>
            </w:r>
          </w:p>
        </w:tc>
      </w:tr>
    </w:tbl>
    <w:p w:rsidR="00B32392" w:rsidRPr="00DF3D94" w:rsidRDefault="00B32392" w:rsidP="004F3E07">
      <w:pPr>
        <w:spacing w:after="0" w:line="240" w:lineRule="auto"/>
        <w:jc w:val="both"/>
        <w:rPr>
          <w:rFonts w:ascii="Times New Roman" w:hAnsi="Times New Roman" w:cs="Times New Roman"/>
          <w:noProof/>
          <w:sz w:val="28"/>
          <w:szCs w:val="28"/>
        </w:rPr>
      </w:pPr>
    </w:p>
    <w:p w:rsidR="00B32392" w:rsidRDefault="00B32392" w:rsidP="004F3E07">
      <w:pPr>
        <w:spacing w:after="0" w:line="240" w:lineRule="auto"/>
        <w:ind w:firstLine="567"/>
        <w:jc w:val="both"/>
        <w:rPr>
          <w:rFonts w:ascii="Times New Roman" w:hAnsi="Times New Roman" w:cs="Times New Roman"/>
          <w:noProof/>
          <w:sz w:val="28"/>
          <w:szCs w:val="28"/>
        </w:rPr>
      </w:pPr>
      <w:r w:rsidRPr="00B32392">
        <w:rPr>
          <w:rFonts w:ascii="Times New Roman" w:hAnsi="Times New Roman" w:cs="Times New Roman"/>
          <w:noProof/>
          <w:sz w:val="28"/>
          <w:szCs w:val="28"/>
        </w:rPr>
        <w:lastRenderedPageBreak/>
        <w:t>5. Розроблення корегуючих (пом’якшувальних) заходів для малого підприємництва щодо запропонованого регулювання.</w:t>
      </w:r>
    </w:p>
    <w:p w:rsidR="00DF3D94" w:rsidRPr="00B32392" w:rsidRDefault="00DF3D94" w:rsidP="004F3E07">
      <w:pPr>
        <w:spacing w:after="0" w:line="240" w:lineRule="auto"/>
        <w:ind w:firstLine="567"/>
        <w:jc w:val="both"/>
        <w:rPr>
          <w:rFonts w:ascii="Times New Roman" w:hAnsi="Times New Roman" w:cs="Times New Roman"/>
          <w:noProof/>
          <w:sz w:val="28"/>
          <w:szCs w:val="28"/>
        </w:rPr>
      </w:pP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r w:rsidRPr="00576E4F">
        <w:rPr>
          <w:rFonts w:ascii="Times New Roman" w:hAnsi="Times New Roman" w:cs="Times New Roman"/>
          <w:noProof/>
          <w:sz w:val="28"/>
          <w:szCs w:val="28"/>
        </w:rPr>
        <w:t>Зважаючи на те, що проєкт регуляторного акта:</w:t>
      </w: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Pr="00576E4F">
        <w:rPr>
          <w:rFonts w:ascii="Times New Roman" w:hAnsi="Times New Roman" w:cs="Times New Roman"/>
          <w:noProof/>
          <w:sz w:val="28"/>
          <w:szCs w:val="28"/>
        </w:rPr>
        <w:t>не передбачає запровадження нових адміністративних або фінансових обов’язків для суб’єктів малого підприємництва;</w:t>
      </w: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Pr="00576E4F">
        <w:rPr>
          <w:rFonts w:ascii="Times New Roman" w:hAnsi="Times New Roman" w:cs="Times New Roman"/>
          <w:noProof/>
          <w:sz w:val="28"/>
          <w:szCs w:val="28"/>
        </w:rPr>
        <w:t>не містить вимог щодо звітування, реєстрації чи інших процедур;</w:t>
      </w: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Pr="00576E4F">
        <w:rPr>
          <w:rFonts w:ascii="Times New Roman" w:hAnsi="Times New Roman" w:cs="Times New Roman"/>
          <w:noProof/>
          <w:sz w:val="28"/>
          <w:szCs w:val="28"/>
        </w:rPr>
        <w:t>не встановлює спеціальних санкцій або режимів контролю;</w:t>
      </w: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Pr="00576E4F">
        <w:rPr>
          <w:rFonts w:ascii="Times New Roman" w:hAnsi="Times New Roman" w:cs="Times New Roman"/>
          <w:noProof/>
          <w:sz w:val="28"/>
          <w:szCs w:val="28"/>
        </w:rPr>
        <w:t>має лише техніко-юридичний характер,</w:t>
      </w: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r w:rsidRPr="00576E4F">
        <w:rPr>
          <w:rFonts w:ascii="Times New Roman" w:hAnsi="Times New Roman" w:cs="Times New Roman"/>
          <w:noProof/>
          <w:sz w:val="28"/>
          <w:szCs w:val="28"/>
        </w:rPr>
        <w:t>запровадження компенсаторних механізмів не вимагається.</w:t>
      </w: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p>
    <w:p w:rsidR="00576E4F" w:rsidRPr="00576E4F" w:rsidRDefault="00576E4F" w:rsidP="00576E4F">
      <w:pPr>
        <w:tabs>
          <w:tab w:val="left" w:pos="7371"/>
        </w:tabs>
        <w:spacing w:after="0" w:line="240" w:lineRule="auto"/>
        <w:ind w:firstLine="709"/>
        <w:jc w:val="both"/>
        <w:rPr>
          <w:rFonts w:ascii="Times New Roman" w:hAnsi="Times New Roman" w:cs="Times New Roman"/>
          <w:noProof/>
          <w:sz w:val="28"/>
          <w:szCs w:val="28"/>
        </w:rPr>
      </w:pPr>
      <w:r w:rsidRPr="00576E4F">
        <w:rPr>
          <w:rFonts w:ascii="Times New Roman" w:hAnsi="Times New Roman" w:cs="Times New Roman"/>
          <w:noProof/>
          <w:sz w:val="28"/>
          <w:szCs w:val="28"/>
        </w:rPr>
        <w:t>Оцінені витрати на ознайомлення з регуляторним актом є разовими, незначними та не порушують принципу недискримінаційного регулювання щодо суб’єктів малого підприємництва.</w:t>
      </w:r>
    </w:p>
    <w:p w:rsidR="00B32392" w:rsidRDefault="00B32392" w:rsidP="00576E4F">
      <w:pPr>
        <w:tabs>
          <w:tab w:val="left" w:pos="7371"/>
        </w:tabs>
        <w:spacing w:after="0" w:line="240" w:lineRule="auto"/>
        <w:ind w:firstLine="709"/>
        <w:jc w:val="both"/>
        <w:rPr>
          <w:rFonts w:ascii="Times New Roman" w:eastAsia="Times New Roman" w:hAnsi="Times New Roman" w:cs="Times New Roman"/>
          <w:b/>
          <w:sz w:val="28"/>
          <w:szCs w:val="28"/>
        </w:rPr>
      </w:pPr>
    </w:p>
    <w:tbl>
      <w:tblPr>
        <w:tblStyle w:val="10"/>
        <w:tblW w:w="0" w:type="auto"/>
        <w:tblLook w:val="04A0" w:firstRow="1" w:lastRow="0" w:firstColumn="1" w:lastColumn="0" w:noHBand="0" w:noVBand="1"/>
      </w:tblPr>
      <w:tblGrid>
        <w:gridCol w:w="4447"/>
        <w:gridCol w:w="2598"/>
        <w:gridCol w:w="2582"/>
      </w:tblGrid>
      <w:tr w:rsidR="00576E4F" w:rsidRPr="00576E4F" w:rsidTr="00576E4F">
        <w:tc>
          <w:tcPr>
            <w:tcW w:w="0" w:type="auto"/>
            <w:hideMark/>
          </w:tcPr>
          <w:p w:rsidR="00576E4F" w:rsidRPr="00576E4F" w:rsidRDefault="00576E4F" w:rsidP="00576E4F">
            <w:pPr>
              <w:tabs>
                <w:tab w:val="left" w:pos="7371"/>
              </w:tabs>
              <w:jc w:val="center"/>
              <w:rPr>
                <w:rFonts w:ascii="Times New Roman" w:eastAsia="Times New Roman" w:hAnsi="Times New Roman"/>
                <w:bCs/>
                <w:sz w:val="24"/>
                <w:szCs w:val="28"/>
              </w:rPr>
            </w:pPr>
            <w:r w:rsidRPr="00576E4F">
              <w:rPr>
                <w:rFonts w:ascii="Times New Roman" w:eastAsia="Times New Roman" w:hAnsi="Times New Roman"/>
                <w:bCs/>
                <w:sz w:val="24"/>
                <w:szCs w:val="28"/>
              </w:rPr>
              <w:t>Показник</w:t>
            </w:r>
          </w:p>
        </w:tc>
        <w:tc>
          <w:tcPr>
            <w:tcW w:w="0" w:type="auto"/>
            <w:hideMark/>
          </w:tcPr>
          <w:p w:rsidR="00576E4F" w:rsidRPr="00576E4F" w:rsidRDefault="00576E4F" w:rsidP="00576E4F">
            <w:pPr>
              <w:tabs>
                <w:tab w:val="left" w:pos="7371"/>
              </w:tabs>
              <w:jc w:val="center"/>
              <w:rPr>
                <w:rFonts w:ascii="Times New Roman" w:eastAsia="Times New Roman" w:hAnsi="Times New Roman"/>
                <w:bCs/>
                <w:sz w:val="24"/>
                <w:szCs w:val="28"/>
              </w:rPr>
            </w:pPr>
            <w:r w:rsidRPr="00576E4F">
              <w:rPr>
                <w:rFonts w:ascii="Times New Roman" w:eastAsia="Times New Roman" w:hAnsi="Times New Roman"/>
                <w:bCs/>
                <w:sz w:val="24"/>
                <w:szCs w:val="28"/>
              </w:rPr>
              <w:t>Сумарні витрати за перший рік, грн</w:t>
            </w:r>
          </w:p>
        </w:tc>
        <w:tc>
          <w:tcPr>
            <w:tcW w:w="0" w:type="auto"/>
            <w:hideMark/>
          </w:tcPr>
          <w:p w:rsidR="00576E4F" w:rsidRPr="00576E4F" w:rsidRDefault="00576E4F" w:rsidP="00576E4F">
            <w:pPr>
              <w:tabs>
                <w:tab w:val="left" w:pos="7371"/>
              </w:tabs>
              <w:jc w:val="center"/>
              <w:rPr>
                <w:rFonts w:ascii="Times New Roman" w:eastAsia="Times New Roman" w:hAnsi="Times New Roman"/>
                <w:bCs/>
                <w:sz w:val="24"/>
                <w:szCs w:val="28"/>
              </w:rPr>
            </w:pPr>
            <w:r w:rsidRPr="00576E4F">
              <w:rPr>
                <w:rFonts w:ascii="Times New Roman" w:eastAsia="Times New Roman" w:hAnsi="Times New Roman"/>
                <w:bCs/>
                <w:sz w:val="24"/>
                <w:szCs w:val="28"/>
              </w:rPr>
              <w:t>Сумарні витрати за п’ять років, грн</w:t>
            </w:r>
          </w:p>
        </w:tc>
      </w:tr>
      <w:tr w:rsidR="00576E4F" w:rsidRPr="00576E4F" w:rsidTr="00576E4F">
        <w:tc>
          <w:tcPr>
            <w:tcW w:w="0" w:type="auto"/>
            <w:hideMark/>
          </w:tcPr>
          <w:p w:rsidR="00576E4F" w:rsidRPr="00576E4F" w:rsidRDefault="00576E4F" w:rsidP="00576E4F">
            <w:pPr>
              <w:tabs>
                <w:tab w:val="left" w:pos="7371"/>
              </w:tabs>
              <w:rPr>
                <w:rFonts w:ascii="Times New Roman" w:eastAsia="Times New Roman" w:hAnsi="Times New Roman"/>
                <w:sz w:val="24"/>
                <w:szCs w:val="28"/>
              </w:rPr>
            </w:pPr>
            <w:r w:rsidRPr="00576E4F">
              <w:rPr>
                <w:rFonts w:ascii="Times New Roman" w:eastAsia="Times New Roman" w:hAnsi="Times New Roman"/>
                <w:sz w:val="24"/>
                <w:szCs w:val="28"/>
              </w:rPr>
              <w:t>Заплановане регулювання</w:t>
            </w:r>
          </w:p>
        </w:tc>
        <w:tc>
          <w:tcPr>
            <w:tcW w:w="0" w:type="auto"/>
            <w:hideMark/>
          </w:tcPr>
          <w:p w:rsidR="00576E4F" w:rsidRPr="00576E4F" w:rsidRDefault="00576E4F" w:rsidP="00576E4F">
            <w:pPr>
              <w:tabs>
                <w:tab w:val="left" w:pos="7371"/>
              </w:tabs>
              <w:jc w:val="center"/>
              <w:rPr>
                <w:rFonts w:ascii="Times New Roman" w:eastAsia="Times New Roman" w:hAnsi="Times New Roman"/>
                <w:sz w:val="24"/>
                <w:szCs w:val="28"/>
              </w:rPr>
            </w:pPr>
            <w:r>
              <w:rPr>
                <w:rFonts w:ascii="Times New Roman" w:eastAsia="Times New Roman" w:hAnsi="Times New Roman"/>
                <w:sz w:val="24"/>
                <w:szCs w:val="28"/>
              </w:rPr>
              <w:t>0</w:t>
            </w:r>
          </w:p>
        </w:tc>
        <w:tc>
          <w:tcPr>
            <w:tcW w:w="0" w:type="auto"/>
            <w:hideMark/>
          </w:tcPr>
          <w:p w:rsidR="00576E4F" w:rsidRPr="00576E4F" w:rsidRDefault="00576E4F" w:rsidP="00576E4F">
            <w:pPr>
              <w:tabs>
                <w:tab w:val="left" w:pos="7371"/>
              </w:tabs>
              <w:jc w:val="center"/>
              <w:rPr>
                <w:rFonts w:ascii="Times New Roman" w:eastAsia="Times New Roman" w:hAnsi="Times New Roman"/>
                <w:sz w:val="24"/>
                <w:szCs w:val="28"/>
              </w:rPr>
            </w:pPr>
            <w:r>
              <w:rPr>
                <w:rFonts w:ascii="Times New Roman" w:eastAsia="Times New Roman" w:hAnsi="Times New Roman"/>
                <w:sz w:val="24"/>
                <w:szCs w:val="28"/>
              </w:rPr>
              <w:t>0</w:t>
            </w:r>
          </w:p>
        </w:tc>
      </w:tr>
      <w:tr w:rsidR="00576E4F" w:rsidRPr="00576E4F" w:rsidTr="00576E4F">
        <w:tc>
          <w:tcPr>
            <w:tcW w:w="0" w:type="auto"/>
            <w:hideMark/>
          </w:tcPr>
          <w:p w:rsidR="00576E4F" w:rsidRPr="00576E4F" w:rsidRDefault="00576E4F" w:rsidP="00576E4F">
            <w:pPr>
              <w:tabs>
                <w:tab w:val="left" w:pos="7371"/>
              </w:tabs>
              <w:rPr>
                <w:rFonts w:ascii="Times New Roman" w:eastAsia="Times New Roman" w:hAnsi="Times New Roman"/>
                <w:sz w:val="24"/>
                <w:szCs w:val="28"/>
              </w:rPr>
            </w:pPr>
            <w:r w:rsidRPr="00576E4F">
              <w:rPr>
                <w:rFonts w:ascii="Times New Roman" w:eastAsia="Times New Roman" w:hAnsi="Times New Roman"/>
                <w:sz w:val="24"/>
                <w:szCs w:val="28"/>
              </w:rPr>
              <w:t>За умов застосування компенсаторних механізмів</w:t>
            </w:r>
          </w:p>
        </w:tc>
        <w:tc>
          <w:tcPr>
            <w:tcW w:w="0" w:type="auto"/>
            <w:hideMark/>
          </w:tcPr>
          <w:p w:rsidR="00576E4F" w:rsidRPr="00576E4F" w:rsidRDefault="00576E4F" w:rsidP="00576E4F">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c>
          <w:tcPr>
            <w:tcW w:w="0" w:type="auto"/>
            <w:hideMark/>
          </w:tcPr>
          <w:p w:rsidR="00576E4F" w:rsidRPr="00576E4F" w:rsidRDefault="00576E4F" w:rsidP="00576E4F">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w:t>
            </w:r>
          </w:p>
        </w:tc>
      </w:tr>
      <w:tr w:rsidR="00576E4F" w:rsidRPr="00576E4F" w:rsidTr="00576E4F">
        <w:tc>
          <w:tcPr>
            <w:tcW w:w="0" w:type="auto"/>
            <w:hideMark/>
          </w:tcPr>
          <w:p w:rsidR="00576E4F" w:rsidRPr="00576E4F" w:rsidRDefault="00576E4F" w:rsidP="00576E4F">
            <w:pPr>
              <w:tabs>
                <w:tab w:val="left" w:pos="7371"/>
              </w:tabs>
              <w:rPr>
                <w:rFonts w:ascii="Times New Roman" w:eastAsia="Times New Roman" w:hAnsi="Times New Roman"/>
                <w:sz w:val="24"/>
                <w:szCs w:val="28"/>
              </w:rPr>
            </w:pPr>
            <w:r w:rsidRPr="00576E4F">
              <w:rPr>
                <w:rFonts w:ascii="Times New Roman" w:eastAsia="Times New Roman" w:hAnsi="Times New Roman"/>
                <w:bCs/>
                <w:sz w:val="24"/>
                <w:szCs w:val="28"/>
              </w:rPr>
              <w:t>Сумарно: зміна вартості регулювання малого підприємництва</w:t>
            </w:r>
          </w:p>
        </w:tc>
        <w:tc>
          <w:tcPr>
            <w:tcW w:w="0" w:type="auto"/>
            <w:hideMark/>
          </w:tcPr>
          <w:p w:rsidR="00576E4F" w:rsidRPr="00576E4F" w:rsidRDefault="00576E4F" w:rsidP="00576E4F">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0</w:t>
            </w:r>
          </w:p>
        </w:tc>
        <w:tc>
          <w:tcPr>
            <w:tcW w:w="0" w:type="auto"/>
            <w:hideMark/>
          </w:tcPr>
          <w:p w:rsidR="00576E4F" w:rsidRPr="00576E4F" w:rsidRDefault="00576E4F" w:rsidP="00576E4F">
            <w:pPr>
              <w:tabs>
                <w:tab w:val="left" w:pos="7371"/>
              </w:tabs>
              <w:jc w:val="center"/>
              <w:rPr>
                <w:rFonts w:ascii="Times New Roman" w:eastAsia="Times New Roman" w:hAnsi="Times New Roman"/>
                <w:sz w:val="24"/>
                <w:szCs w:val="28"/>
              </w:rPr>
            </w:pPr>
            <w:r w:rsidRPr="00576E4F">
              <w:rPr>
                <w:rFonts w:ascii="Times New Roman" w:eastAsia="Times New Roman" w:hAnsi="Times New Roman"/>
                <w:sz w:val="24"/>
                <w:szCs w:val="28"/>
              </w:rPr>
              <w:t>0</w:t>
            </w:r>
          </w:p>
        </w:tc>
      </w:tr>
    </w:tbl>
    <w:p w:rsidR="00576E4F" w:rsidRDefault="00576E4F" w:rsidP="00DF3D94">
      <w:pPr>
        <w:tabs>
          <w:tab w:val="left" w:pos="7371"/>
        </w:tabs>
        <w:spacing w:after="0" w:line="240" w:lineRule="auto"/>
        <w:jc w:val="center"/>
        <w:rPr>
          <w:rFonts w:ascii="Times New Roman" w:eastAsia="Times New Roman" w:hAnsi="Times New Roman" w:cs="Times New Roman"/>
          <w:b/>
          <w:sz w:val="28"/>
          <w:szCs w:val="28"/>
        </w:rPr>
      </w:pPr>
      <w:r w:rsidRPr="00576E4F">
        <w:rPr>
          <w:rFonts w:ascii="Times New Roman" w:eastAsia="Times New Roman" w:hAnsi="Times New Roman" w:cs="Times New Roman"/>
          <w:b/>
          <w:sz w:val="28"/>
          <w:szCs w:val="28"/>
        </w:rPr>
        <w:t xml:space="preserve"> </w:t>
      </w:r>
    </w:p>
    <w:p w:rsidR="00125DF2" w:rsidRDefault="00125DF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90AA2" w:rsidRPr="00B90AA2" w:rsidRDefault="00B90AA2" w:rsidP="00B90AA2">
      <w:pPr>
        <w:spacing w:after="0" w:line="240" w:lineRule="auto"/>
        <w:ind w:left="5670"/>
        <w:rPr>
          <w:rFonts w:ascii="Times New Roman" w:hAnsi="Times New Roman" w:cs="Times New Roman"/>
          <w:b/>
        </w:rPr>
      </w:pPr>
      <w:bookmarkStart w:id="3" w:name="n177"/>
      <w:bookmarkEnd w:id="3"/>
      <w:r w:rsidRPr="00B90AA2">
        <w:rPr>
          <w:rFonts w:ascii="Times New Roman" w:hAnsi="Times New Roman" w:cs="Times New Roman"/>
          <w:b/>
        </w:rPr>
        <w:lastRenderedPageBreak/>
        <w:t>Додаток</w:t>
      </w:r>
      <w:r w:rsidR="00FD6BD5">
        <w:rPr>
          <w:rFonts w:ascii="Times New Roman" w:hAnsi="Times New Roman" w:cs="Times New Roman"/>
          <w:b/>
        </w:rPr>
        <w:t xml:space="preserve"> 2</w:t>
      </w:r>
    </w:p>
    <w:p w:rsidR="00B90AA2" w:rsidRPr="00B90AA2" w:rsidRDefault="00B90AA2" w:rsidP="005754A2">
      <w:pPr>
        <w:spacing w:after="0" w:line="240" w:lineRule="auto"/>
        <w:ind w:left="5670"/>
        <w:jc w:val="both"/>
        <w:rPr>
          <w:rFonts w:ascii="Times New Roman" w:hAnsi="Times New Roman" w:cs="Times New Roman"/>
          <w:b/>
        </w:rPr>
      </w:pPr>
      <w:r w:rsidRPr="00B90AA2">
        <w:rPr>
          <w:rFonts w:ascii="Times New Roman" w:hAnsi="Times New Roman" w:cs="Times New Roman"/>
          <w:b/>
        </w:rPr>
        <w:t>до Аналізу регуляторного впливу до проєкту Закону України «Про внесення змін до Закону України «Про пріоритетність соціального розвитку села та агропромислового комплексу в народному господарстві»</w:t>
      </w:r>
    </w:p>
    <w:p w:rsidR="00B90AA2" w:rsidRPr="00B90AA2" w:rsidRDefault="00B90AA2" w:rsidP="00B90AA2">
      <w:pPr>
        <w:spacing w:before="150" w:after="150" w:line="240" w:lineRule="auto"/>
        <w:jc w:val="center"/>
        <w:rPr>
          <w:rFonts w:ascii="Times New Roman" w:eastAsia="Times New Roman" w:hAnsi="Times New Roman" w:cs="Times New Roman"/>
          <w:b/>
          <w:bCs/>
          <w:sz w:val="28"/>
          <w:szCs w:val="28"/>
        </w:rPr>
      </w:pPr>
    </w:p>
    <w:p w:rsidR="00B90AA2" w:rsidRPr="00B90AA2" w:rsidRDefault="00B90AA2" w:rsidP="00B90AA2">
      <w:pPr>
        <w:spacing w:after="0" w:line="240" w:lineRule="auto"/>
        <w:jc w:val="center"/>
        <w:rPr>
          <w:rFonts w:ascii="Times New Roman" w:eastAsia="Times New Roman" w:hAnsi="Times New Roman" w:cs="Times New Roman"/>
          <w:b/>
          <w:bCs/>
          <w:sz w:val="28"/>
          <w:szCs w:val="28"/>
        </w:rPr>
      </w:pPr>
      <w:r w:rsidRPr="00B90AA2">
        <w:rPr>
          <w:rFonts w:ascii="Times New Roman" w:eastAsia="Times New Roman" w:hAnsi="Times New Roman" w:cs="Times New Roman"/>
          <w:b/>
          <w:bCs/>
          <w:sz w:val="28"/>
          <w:szCs w:val="28"/>
        </w:rPr>
        <w:t>ВИТРАТИ</w:t>
      </w:r>
    </w:p>
    <w:p w:rsidR="00B90AA2" w:rsidRPr="00B90AA2" w:rsidRDefault="00B90AA2" w:rsidP="00B90AA2">
      <w:pPr>
        <w:spacing w:after="0" w:line="240" w:lineRule="auto"/>
        <w:jc w:val="center"/>
        <w:rPr>
          <w:rFonts w:ascii="Times New Roman" w:eastAsia="Times New Roman" w:hAnsi="Times New Roman" w:cs="Times New Roman"/>
          <w:b/>
          <w:bCs/>
          <w:sz w:val="28"/>
          <w:szCs w:val="28"/>
        </w:rPr>
      </w:pPr>
      <w:r w:rsidRPr="00B90AA2">
        <w:rPr>
          <w:rFonts w:ascii="Times New Roman" w:eastAsia="Times New Roman" w:hAnsi="Times New Roman" w:cs="Times New Roman"/>
          <w:b/>
          <w:bCs/>
          <w:sz w:val="28"/>
          <w:szCs w:val="28"/>
        </w:rPr>
        <w:t>на одного суб’єкта господарювання великого і середнього підприємництва, які виникають внаслідок дії регуляторного акта</w:t>
      </w:r>
    </w:p>
    <w:p w:rsidR="00B90AA2" w:rsidRPr="00B90AA2" w:rsidRDefault="00B90AA2" w:rsidP="00B90AA2">
      <w:pPr>
        <w:spacing w:after="0" w:line="240" w:lineRule="auto"/>
        <w:jc w:val="center"/>
        <w:rPr>
          <w:rFonts w:ascii="Times New Roman" w:eastAsia="Times New Roman" w:hAnsi="Times New Roman" w:cs="Times New Roman"/>
          <w:sz w:val="24"/>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284"/>
        <w:gridCol w:w="5805"/>
        <w:gridCol w:w="1276"/>
        <w:gridCol w:w="1272"/>
      </w:tblGrid>
      <w:tr w:rsidR="00B90AA2" w:rsidRPr="00B90AA2" w:rsidTr="00B90AA2">
        <w:trPr>
          <w:jc w:val="center"/>
        </w:trPr>
        <w:tc>
          <w:tcPr>
            <w:tcW w:w="666" w:type="pct"/>
            <w:tcBorders>
              <w:top w:val="single" w:sz="6" w:space="0" w:color="000000"/>
              <w:left w:val="nil"/>
              <w:bottom w:val="single" w:sz="6" w:space="0" w:color="000000"/>
              <w:right w:val="single" w:sz="6" w:space="0" w:color="000000"/>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bookmarkStart w:id="4" w:name="n178"/>
            <w:bookmarkEnd w:id="4"/>
            <w:r w:rsidRPr="005754A2">
              <w:rPr>
                <w:rFonts w:ascii="Times New Roman" w:eastAsia="Times New Roman" w:hAnsi="Times New Roman" w:cs="Times New Roman"/>
                <w:sz w:val="24"/>
                <w:szCs w:val="24"/>
              </w:rPr>
              <w:t>Порядковий номер</w:t>
            </w:r>
          </w:p>
        </w:tc>
        <w:tc>
          <w:tcPr>
            <w:tcW w:w="3012" w:type="pct"/>
            <w:tcBorders>
              <w:top w:val="single" w:sz="6" w:space="0" w:color="000000"/>
              <w:left w:val="single" w:sz="6" w:space="0" w:color="000000"/>
              <w:bottom w:val="single" w:sz="6" w:space="0" w:color="000000"/>
              <w:right w:val="single" w:sz="6" w:space="0" w:color="000000"/>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w:t>
            </w:r>
          </w:p>
        </w:tc>
        <w:tc>
          <w:tcPr>
            <w:tcW w:w="662" w:type="pct"/>
            <w:tcBorders>
              <w:top w:val="single" w:sz="6" w:space="0" w:color="000000"/>
              <w:left w:val="single" w:sz="6" w:space="0" w:color="000000"/>
              <w:bottom w:val="single" w:sz="6" w:space="0" w:color="000000"/>
              <w:right w:val="single" w:sz="6" w:space="0" w:color="000000"/>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За перший рік</w:t>
            </w:r>
          </w:p>
        </w:tc>
        <w:tc>
          <w:tcPr>
            <w:tcW w:w="660" w:type="pct"/>
            <w:tcBorders>
              <w:top w:val="single" w:sz="6" w:space="0" w:color="000000"/>
              <w:left w:val="single" w:sz="6" w:space="0" w:color="000000"/>
              <w:bottom w:val="single" w:sz="6" w:space="0" w:color="000000"/>
              <w:right w:val="nil"/>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За п’ять років</w:t>
            </w:r>
          </w:p>
        </w:tc>
      </w:tr>
      <w:tr w:rsidR="00B90AA2" w:rsidRPr="00B90AA2" w:rsidTr="00B90AA2">
        <w:trPr>
          <w:jc w:val="center"/>
        </w:trPr>
        <w:tc>
          <w:tcPr>
            <w:tcW w:w="666" w:type="pct"/>
            <w:tcBorders>
              <w:top w:val="single" w:sz="6" w:space="0" w:color="000000"/>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w:t>
            </w:r>
          </w:p>
        </w:tc>
        <w:tc>
          <w:tcPr>
            <w:tcW w:w="3012" w:type="pct"/>
            <w:tcBorders>
              <w:top w:val="single" w:sz="6" w:space="0" w:color="000000"/>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662" w:type="pct"/>
            <w:tcBorders>
              <w:top w:val="single" w:sz="6" w:space="0" w:color="000000"/>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6" w:space="0" w:color="000000"/>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2</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3</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4</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5</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6</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Витрати на оборотні активи (матеріали, канцелярські товари тощо),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7</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 xml:space="preserve">Витрати, пов’язані із </w:t>
            </w:r>
            <w:proofErr w:type="spellStart"/>
            <w:r w:rsidRPr="005754A2">
              <w:rPr>
                <w:rFonts w:ascii="Times New Roman" w:eastAsia="Times New Roman" w:hAnsi="Times New Roman" w:cs="Times New Roman"/>
                <w:sz w:val="24"/>
                <w:szCs w:val="24"/>
              </w:rPr>
              <w:t>наймом</w:t>
            </w:r>
            <w:proofErr w:type="spellEnd"/>
            <w:r w:rsidRPr="005754A2">
              <w:rPr>
                <w:rFonts w:ascii="Times New Roman" w:eastAsia="Times New Roman" w:hAnsi="Times New Roman" w:cs="Times New Roman"/>
                <w:sz w:val="24"/>
                <w:szCs w:val="24"/>
              </w:rPr>
              <w:t xml:space="preserve"> додаткового персоналу,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8</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Інше (уточнити),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w:t>
            </w:r>
          </w:p>
        </w:tc>
      </w:tr>
      <w:tr w:rsidR="005754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tcPr>
          <w:p w:rsidR="005754A2" w:rsidRPr="005754A2" w:rsidRDefault="005754A2" w:rsidP="00B90AA2">
            <w:pPr>
              <w:spacing w:after="0" w:line="240" w:lineRule="auto"/>
              <w:jc w:val="center"/>
              <w:rPr>
                <w:rFonts w:ascii="Times New Roman" w:eastAsia="Times New Roman" w:hAnsi="Times New Roman" w:cs="Times New Roman"/>
                <w:sz w:val="24"/>
                <w:szCs w:val="24"/>
              </w:rPr>
            </w:pPr>
          </w:p>
        </w:tc>
        <w:tc>
          <w:tcPr>
            <w:tcW w:w="3012" w:type="pct"/>
            <w:tcBorders>
              <w:top w:val="single" w:sz="2" w:space="0" w:color="auto"/>
              <w:left w:val="single" w:sz="2" w:space="0" w:color="auto"/>
              <w:bottom w:val="single" w:sz="2" w:space="0" w:color="auto"/>
              <w:right w:val="single" w:sz="2" w:space="0" w:color="auto"/>
            </w:tcBorders>
          </w:tcPr>
          <w:p w:rsidR="005754A2" w:rsidRPr="005754A2" w:rsidRDefault="005754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Розміщення інформації на сайті, ознайомлення громадськості – 2 год × 1 працівник × 127 грн/год = 254,00 грн</w:t>
            </w:r>
          </w:p>
        </w:tc>
        <w:tc>
          <w:tcPr>
            <w:tcW w:w="662" w:type="pct"/>
            <w:tcBorders>
              <w:top w:val="single" w:sz="2" w:space="0" w:color="auto"/>
              <w:left w:val="single" w:sz="2" w:space="0" w:color="auto"/>
              <w:bottom w:val="single" w:sz="2" w:space="0" w:color="auto"/>
              <w:right w:val="single" w:sz="2" w:space="0" w:color="auto"/>
            </w:tcBorders>
          </w:tcPr>
          <w:p w:rsidR="005754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254,00</w:t>
            </w:r>
          </w:p>
        </w:tc>
        <w:tc>
          <w:tcPr>
            <w:tcW w:w="660" w:type="pct"/>
            <w:tcBorders>
              <w:top w:val="single" w:sz="2" w:space="0" w:color="auto"/>
              <w:left w:val="single" w:sz="2" w:space="0" w:color="auto"/>
              <w:bottom w:val="single" w:sz="2" w:space="0" w:color="auto"/>
              <w:right w:val="single" w:sz="2" w:space="0" w:color="auto"/>
            </w:tcBorders>
          </w:tcPr>
          <w:p w:rsidR="005754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254,00</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9</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РАЗОМ (сума рядків: 1 + 2 + 3 + 4 + 5 + 6 + 7 + 8),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254,00</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254,00</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10</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425</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425</w:t>
            </w:r>
          </w:p>
        </w:tc>
      </w:tr>
      <w:tr w:rsidR="00B90AA2" w:rsidRPr="00B90AA2" w:rsidTr="00B90AA2">
        <w:trPr>
          <w:jc w:val="center"/>
        </w:trPr>
        <w:tc>
          <w:tcPr>
            <w:tcW w:w="666"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lastRenderedPageBreak/>
              <w:t>11</w:t>
            </w:r>
          </w:p>
        </w:tc>
        <w:tc>
          <w:tcPr>
            <w:tcW w:w="3012" w:type="pct"/>
            <w:tcBorders>
              <w:top w:val="single" w:sz="2" w:space="0" w:color="auto"/>
              <w:left w:val="single" w:sz="2" w:space="0" w:color="auto"/>
              <w:bottom w:val="single" w:sz="2" w:space="0" w:color="auto"/>
              <w:right w:val="single" w:sz="2" w:space="0" w:color="auto"/>
            </w:tcBorders>
            <w:hideMark/>
          </w:tcPr>
          <w:p w:rsidR="00B90AA2" w:rsidRPr="005754A2" w:rsidRDefault="00B90AA2" w:rsidP="00B90AA2">
            <w:pPr>
              <w:spacing w:after="0" w:line="240" w:lineRule="auto"/>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662"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107 950,00 грн</w:t>
            </w:r>
          </w:p>
        </w:tc>
        <w:tc>
          <w:tcPr>
            <w:tcW w:w="660" w:type="pct"/>
            <w:tcBorders>
              <w:top w:val="single" w:sz="2" w:space="0" w:color="auto"/>
              <w:left w:val="single" w:sz="2" w:space="0" w:color="auto"/>
              <w:bottom w:val="single" w:sz="2" w:space="0" w:color="auto"/>
              <w:right w:val="single" w:sz="2" w:space="0" w:color="auto"/>
            </w:tcBorders>
            <w:hideMark/>
          </w:tcPr>
          <w:p w:rsidR="00B90AA2" w:rsidRPr="005754A2" w:rsidRDefault="005754A2" w:rsidP="005754A2">
            <w:pPr>
              <w:spacing w:after="0" w:line="240" w:lineRule="auto"/>
              <w:jc w:val="center"/>
              <w:rPr>
                <w:rFonts w:ascii="Times New Roman" w:eastAsia="Times New Roman" w:hAnsi="Times New Roman" w:cs="Times New Roman"/>
                <w:sz w:val="24"/>
                <w:szCs w:val="24"/>
              </w:rPr>
            </w:pPr>
            <w:r w:rsidRPr="005754A2">
              <w:rPr>
                <w:rFonts w:ascii="Times New Roman" w:eastAsia="Times New Roman" w:hAnsi="Times New Roman" w:cs="Times New Roman"/>
                <w:sz w:val="24"/>
                <w:szCs w:val="24"/>
              </w:rPr>
              <w:t>107 950,00 грн</w:t>
            </w:r>
          </w:p>
        </w:tc>
      </w:tr>
    </w:tbl>
    <w:p w:rsidR="005754A2" w:rsidRDefault="005754A2" w:rsidP="00B90AA2">
      <w:pPr>
        <w:spacing w:after="0" w:line="240" w:lineRule="auto"/>
        <w:ind w:left="450" w:right="450"/>
        <w:jc w:val="center"/>
        <w:rPr>
          <w:rFonts w:ascii="Times New Roman" w:eastAsia="Times New Roman" w:hAnsi="Times New Roman" w:cs="Times New Roman"/>
          <w:sz w:val="24"/>
          <w:szCs w:val="24"/>
        </w:rPr>
      </w:pPr>
      <w:bookmarkStart w:id="5" w:name="n179"/>
      <w:bookmarkEnd w:id="5"/>
    </w:p>
    <w:p w:rsidR="00B90AA2" w:rsidRDefault="00B90AA2" w:rsidP="00B90AA2">
      <w:pPr>
        <w:spacing w:after="0" w:line="240" w:lineRule="auto"/>
        <w:ind w:left="450" w:right="450"/>
        <w:jc w:val="center"/>
        <w:rPr>
          <w:rFonts w:ascii="Times New Roman" w:eastAsia="Times New Roman" w:hAnsi="Times New Roman" w:cs="Times New Roman"/>
          <w:sz w:val="28"/>
          <w:szCs w:val="24"/>
        </w:rPr>
      </w:pPr>
      <w:r w:rsidRPr="005754A2">
        <w:rPr>
          <w:rFonts w:ascii="Times New Roman" w:eastAsia="Times New Roman" w:hAnsi="Times New Roman" w:cs="Times New Roman"/>
          <w:sz w:val="28"/>
          <w:szCs w:val="24"/>
        </w:rPr>
        <w:t>Розрахунок відповідних витрат на одного суб’єкта господарювання</w:t>
      </w:r>
    </w:p>
    <w:p w:rsidR="005754A2" w:rsidRPr="005754A2" w:rsidRDefault="005754A2" w:rsidP="00B90AA2">
      <w:pPr>
        <w:spacing w:after="0" w:line="240" w:lineRule="auto"/>
        <w:ind w:left="450" w:right="450"/>
        <w:jc w:val="center"/>
        <w:rPr>
          <w:rFonts w:ascii="Times New Roman" w:eastAsia="Times New Roman" w:hAnsi="Times New Roman" w:cs="Times New Roman"/>
          <w:sz w:val="28"/>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4254"/>
        <w:gridCol w:w="1843"/>
        <w:gridCol w:w="1773"/>
        <w:gridCol w:w="96"/>
        <w:gridCol w:w="1671"/>
      </w:tblGrid>
      <w:tr w:rsidR="00B90AA2" w:rsidRPr="00B90AA2" w:rsidTr="005754A2">
        <w:tc>
          <w:tcPr>
            <w:tcW w:w="2207"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6" w:name="n180"/>
            <w:bookmarkEnd w:id="6"/>
            <w:r w:rsidRPr="00B90AA2">
              <w:rPr>
                <w:rFonts w:ascii="Times New Roman" w:eastAsia="Times New Roman" w:hAnsi="Times New Roman" w:cs="Times New Roman"/>
                <w:sz w:val="24"/>
                <w:szCs w:val="24"/>
              </w:rPr>
              <w:t>Вид витрат</w:t>
            </w:r>
          </w:p>
        </w:tc>
        <w:tc>
          <w:tcPr>
            <w:tcW w:w="956"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У перший рік</w:t>
            </w:r>
          </w:p>
        </w:tc>
        <w:tc>
          <w:tcPr>
            <w:tcW w:w="970" w:type="pct"/>
            <w:gridSpan w:val="2"/>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Періодичні (за рік)</w:t>
            </w:r>
          </w:p>
        </w:tc>
        <w:tc>
          <w:tcPr>
            <w:tcW w:w="867"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5754A2">
        <w:tc>
          <w:tcPr>
            <w:tcW w:w="2207"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956" w:type="pct"/>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7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7" w:type="pct"/>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90AA2" w:rsidRPr="00B90AA2" w:rsidTr="005754A2">
        <w:tc>
          <w:tcPr>
            <w:tcW w:w="2207"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7" w:name="n181"/>
            <w:bookmarkEnd w:id="7"/>
            <w:r w:rsidRPr="00B90AA2">
              <w:rPr>
                <w:rFonts w:ascii="Times New Roman" w:eastAsia="Times New Roman" w:hAnsi="Times New Roman" w:cs="Times New Roman"/>
                <w:sz w:val="24"/>
                <w:szCs w:val="24"/>
              </w:rPr>
              <w:t>Вид витрат</w:t>
            </w:r>
          </w:p>
        </w:tc>
        <w:tc>
          <w:tcPr>
            <w:tcW w:w="1876" w:type="pct"/>
            <w:gridSpan w:val="2"/>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сплату податків та зборів (змінених/нововведених) (за рік)</w:t>
            </w:r>
          </w:p>
        </w:tc>
        <w:tc>
          <w:tcPr>
            <w:tcW w:w="917" w:type="pct"/>
            <w:gridSpan w:val="2"/>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5754A2">
        <w:tc>
          <w:tcPr>
            <w:tcW w:w="2207"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Податки та збори (зміна розміру податків/зборів, виникнення необхідності у сплаті податків/зборів)</w:t>
            </w:r>
          </w:p>
        </w:tc>
        <w:tc>
          <w:tcPr>
            <w:tcW w:w="1876"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17"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5754A2"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Pr="00B90AA2" w:rsidRDefault="00B90AA2" w:rsidP="00B90AA2">
      <w:pPr>
        <w:spacing w:after="0" w:line="240" w:lineRule="auto"/>
        <w:rPr>
          <w:rFonts w:ascii="Times New Roman" w:eastAsia="Times New Roman" w:hAnsi="Times New Roman" w:cs="Times New Roman"/>
          <w:vanish/>
          <w:sz w:val="24"/>
          <w:szCs w:val="24"/>
        </w:rPr>
      </w:pPr>
      <w:bookmarkStart w:id="8" w:name="n182"/>
      <w:bookmarkEnd w:id="8"/>
    </w:p>
    <w:tbl>
      <w:tblPr>
        <w:tblW w:w="5000" w:type="pct"/>
        <w:tblCellMar>
          <w:top w:w="15" w:type="dxa"/>
          <w:left w:w="15" w:type="dxa"/>
          <w:bottom w:w="15" w:type="dxa"/>
          <w:right w:w="15" w:type="dxa"/>
        </w:tblCellMar>
        <w:tblLook w:val="04A0" w:firstRow="1" w:lastRow="0" w:firstColumn="1" w:lastColumn="0" w:noHBand="0" w:noVBand="1"/>
      </w:tblPr>
      <w:tblGrid>
        <w:gridCol w:w="2952"/>
        <w:gridCol w:w="1770"/>
        <w:gridCol w:w="1770"/>
        <w:gridCol w:w="1671"/>
        <w:gridCol w:w="1474"/>
      </w:tblGrid>
      <w:tr w:rsidR="00B90AA2" w:rsidRPr="00B90AA2" w:rsidTr="00B90AA2">
        <w:tc>
          <w:tcPr>
            <w:tcW w:w="150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Вид витрат</w:t>
            </w:r>
          </w:p>
        </w:tc>
        <w:tc>
          <w:tcPr>
            <w:tcW w:w="900" w:type="pct"/>
            <w:tcBorders>
              <w:top w:val="single" w:sz="6" w:space="0" w:color="000000"/>
              <w:left w:val="single" w:sz="6" w:space="0" w:color="000000"/>
              <w:bottom w:val="single" w:sz="6" w:space="0" w:color="000000"/>
              <w:right w:val="single" w:sz="6" w:space="0" w:color="000000"/>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Витрати</w:t>
            </w:r>
            <w:r w:rsidR="00B90AA2" w:rsidRPr="00B90AA2">
              <w:rPr>
                <w:rFonts w:ascii="Times New Roman" w:eastAsia="Times New Roman" w:hAnsi="Times New Roman" w:cs="Times New Roman"/>
                <w:sz w:val="24"/>
                <w:szCs w:val="24"/>
              </w:rPr>
              <w:t xml:space="preserve"> на ведення обліку, підготовку та подання звітності (за рік)</w:t>
            </w:r>
          </w:p>
        </w:tc>
        <w:tc>
          <w:tcPr>
            <w:tcW w:w="90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штрафних санкцій за рік</w:t>
            </w:r>
          </w:p>
        </w:tc>
        <w:tc>
          <w:tcPr>
            <w:tcW w:w="8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w:t>
            </w:r>
          </w:p>
        </w:tc>
        <w:tc>
          <w:tcPr>
            <w:tcW w:w="750"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B90AA2">
        <w:tc>
          <w:tcPr>
            <w:tcW w:w="150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пов’язані із веденням обліку, підготовкою та поданням звітності державним органам (витрати часу персоналу)</w:t>
            </w:r>
          </w:p>
        </w:tc>
        <w:tc>
          <w:tcPr>
            <w:tcW w:w="9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9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7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r>
    </w:tbl>
    <w:p w:rsidR="00B90AA2" w:rsidRPr="00B90AA2" w:rsidRDefault="00B90AA2" w:rsidP="00B90AA2">
      <w:pPr>
        <w:spacing w:after="0" w:line="240" w:lineRule="auto"/>
        <w:jc w:val="both"/>
        <w:rPr>
          <w:rFonts w:ascii="Times New Roman" w:eastAsia="Times New Roman" w:hAnsi="Times New Roman" w:cs="Times New Roman"/>
          <w:sz w:val="24"/>
          <w:szCs w:val="24"/>
        </w:rPr>
      </w:pPr>
      <w:bookmarkStart w:id="9" w:name="n183"/>
      <w:bookmarkEnd w:id="9"/>
    </w:p>
    <w:tbl>
      <w:tblPr>
        <w:tblW w:w="5000" w:type="pct"/>
        <w:tblCellMar>
          <w:top w:w="15" w:type="dxa"/>
          <w:left w:w="15" w:type="dxa"/>
          <w:bottom w:w="15" w:type="dxa"/>
          <w:right w:w="15" w:type="dxa"/>
        </w:tblCellMar>
        <w:tblLook w:val="04A0" w:firstRow="1" w:lastRow="0" w:firstColumn="1" w:lastColumn="0" w:noHBand="0" w:noVBand="1"/>
      </w:tblPr>
      <w:tblGrid>
        <w:gridCol w:w="3050"/>
        <w:gridCol w:w="2360"/>
        <w:gridCol w:w="1671"/>
        <w:gridCol w:w="1278"/>
        <w:gridCol w:w="1278"/>
      </w:tblGrid>
      <w:tr w:rsidR="00B90AA2" w:rsidRPr="00B90AA2" w:rsidTr="00B90AA2">
        <w:tc>
          <w:tcPr>
            <w:tcW w:w="155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10" w:name="n184"/>
            <w:bookmarkEnd w:id="10"/>
            <w:r w:rsidRPr="00B90AA2">
              <w:rPr>
                <w:rFonts w:ascii="Times New Roman" w:eastAsia="Times New Roman" w:hAnsi="Times New Roman" w:cs="Times New Roman"/>
                <w:sz w:val="24"/>
                <w:szCs w:val="24"/>
              </w:rPr>
              <w:t>Вид витрат</w:t>
            </w:r>
          </w:p>
        </w:tc>
        <w:tc>
          <w:tcPr>
            <w:tcW w:w="120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адміністрування заходів державного нагляду (контролю) (за рік)</w:t>
            </w:r>
          </w:p>
        </w:tc>
        <w:tc>
          <w:tcPr>
            <w:tcW w:w="8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штрафних санкцій та усунення виявлених порушень (за рік)</w:t>
            </w:r>
          </w:p>
        </w:tc>
        <w:tc>
          <w:tcPr>
            <w:tcW w:w="6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w:t>
            </w:r>
          </w:p>
        </w:tc>
        <w:tc>
          <w:tcPr>
            <w:tcW w:w="650"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B90AA2">
        <w:tc>
          <w:tcPr>
            <w:tcW w:w="155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12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Pr="00B90AA2" w:rsidRDefault="00B90AA2" w:rsidP="00B90AA2">
      <w:pPr>
        <w:spacing w:after="0" w:line="240" w:lineRule="auto"/>
        <w:jc w:val="both"/>
        <w:rPr>
          <w:rFonts w:ascii="Times New Roman" w:eastAsia="Times New Roman" w:hAnsi="Times New Roman" w:cs="Times New Roman"/>
          <w:sz w:val="24"/>
          <w:szCs w:val="24"/>
        </w:rPr>
      </w:pPr>
      <w:bookmarkStart w:id="11" w:name="n185"/>
      <w:bookmarkEnd w:id="11"/>
      <w:r w:rsidRPr="00B90AA2">
        <w:rPr>
          <w:rFonts w:ascii="Times New Roman" w:eastAsia="Times New Roman" w:hAnsi="Times New Roman" w:cs="Times New Roman"/>
          <w:sz w:val="20"/>
          <w:szCs w:val="20"/>
        </w:rPr>
        <w:t>__________</w:t>
      </w:r>
      <w:r w:rsidRPr="00B90AA2">
        <w:rPr>
          <w:rFonts w:ascii="Times New Roman" w:eastAsia="Times New Roman" w:hAnsi="Times New Roman" w:cs="Times New Roman"/>
          <w:sz w:val="24"/>
          <w:szCs w:val="24"/>
        </w:rPr>
        <w:br/>
      </w:r>
      <w:r w:rsidRPr="00B90AA2">
        <w:rPr>
          <w:rFonts w:ascii="Times New Roman" w:eastAsia="Times New Roman" w:hAnsi="Times New Roman" w:cs="Times New Roman"/>
          <w:sz w:val="20"/>
          <w:szCs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tbl>
      <w:tblPr>
        <w:tblW w:w="5000" w:type="pct"/>
        <w:tblCellMar>
          <w:top w:w="15" w:type="dxa"/>
          <w:left w:w="15" w:type="dxa"/>
          <w:bottom w:w="15" w:type="dxa"/>
          <w:right w:w="15" w:type="dxa"/>
        </w:tblCellMar>
        <w:tblLook w:val="04A0" w:firstRow="1" w:lastRow="0" w:firstColumn="1" w:lastColumn="0" w:noHBand="0" w:noVBand="1"/>
      </w:tblPr>
      <w:tblGrid>
        <w:gridCol w:w="3050"/>
        <w:gridCol w:w="689"/>
        <w:gridCol w:w="1081"/>
        <w:gridCol w:w="885"/>
        <w:gridCol w:w="1081"/>
        <w:gridCol w:w="983"/>
        <w:gridCol w:w="688"/>
        <w:gridCol w:w="1180"/>
      </w:tblGrid>
      <w:tr w:rsidR="00B90AA2" w:rsidRPr="00B90AA2" w:rsidTr="00B90AA2">
        <w:tc>
          <w:tcPr>
            <w:tcW w:w="155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12" w:name="n186"/>
            <w:bookmarkEnd w:id="12"/>
            <w:r w:rsidRPr="00B90AA2">
              <w:rPr>
                <w:rFonts w:ascii="Times New Roman" w:eastAsia="Times New Roman" w:hAnsi="Times New Roman" w:cs="Times New Roman"/>
                <w:sz w:val="24"/>
                <w:szCs w:val="24"/>
              </w:rPr>
              <w:lastRenderedPageBreak/>
              <w:t>Вид витрат</w:t>
            </w:r>
          </w:p>
        </w:tc>
        <w:tc>
          <w:tcPr>
            <w:tcW w:w="900" w:type="pct"/>
            <w:gridSpan w:val="2"/>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проходження відповідних процедур (витрати часу, витрати на експертизи, тощо)</w:t>
            </w:r>
          </w:p>
        </w:tc>
        <w:tc>
          <w:tcPr>
            <w:tcW w:w="1000" w:type="pct"/>
            <w:gridSpan w:val="2"/>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безпосередньо на дозволи, ліцензії, сертифікати, страхові поліси (за рік - стартовий)</w:t>
            </w:r>
          </w:p>
        </w:tc>
        <w:tc>
          <w:tcPr>
            <w:tcW w:w="850" w:type="pct"/>
            <w:gridSpan w:val="2"/>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Разом за рік (стартовий)</w:t>
            </w:r>
          </w:p>
        </w:tc>
        <w:tc>
          <w:tcPr>
            <w:tcW w:w="600"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B90AA2">
        <w:tc>
          <w:tcPr>
            <w:tcW w:w="155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страхування тощо)</w:t>
            </w:r>
          </w:p>
        </w:tc>
        <w:tc>
          <w:tcPr>
            <w:tcW w:w="90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0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605CA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B90AA2" w:rsidRPr="00B90AA2" w:rsidTr="00B90AA2">
        <w:tc>
          <w:tcPr>
            <w:tcW w:w="1900" w:type="pct"/>
            <w:gridSpan w:val="2"/>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bookmarkStart w:id="13" w:name="n187"/>
            <w:bookmarkEnd w:id="13"/>
            <w:r w:rsidRPr="00B90AA2">
              <w:rPr>
                <w:rFonts w:ascii="Times New Roman" w:eastAsia="Times New Roman" w:hAnsi="Times New Roman" w:cs="Times New Roman"/>
                <w:sz w:val="24"/>
                <w:szCs w:val="24"/>
              </w:rPr>
              <w:t>Вид витрат</w:t>
            </w:r>
          </w:p>
        </w:tc>
        <w:tc>
          <w:tcPr>
            <w:tcW w:w="1000" w:type="pct"/>
            <w:gridSpan w:val="2"/>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За рік (стартовий)</w:t>
            </w:r>
          </w:p>
        </w:tc>
        <w:tc>
          <w:tcPr>
            <w:tcW w:w="1050" w:type="pct"/>
            <w:gridSpan w:val="2"/>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Періодичні</w:t>
            </w:r>
            <w:r w:rsidRPr="00B90AA2">
              <w:rPr>
                <w:rFonts w:ascii="Times New Roman" w:eastAsia="Times New Roman" w:hAnsi="Times New Roman" w:cs="Times New Roman"/>
                <w:sz w:val="24"/>
                <w:szCs w:val="24"/>
              </w:rPr>
              <w:br/>
              <w:t>(за наступний рік)</w:t>
            </w:r>
          </w:p>
        </w:tc>
        <w:tc>
          <w:tcPr>
            <w:tcW w:w="950" w:type="pct"/>
            <w:gridSpan w:val="2"/>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 п’ять років</w:t>
            </w:r>
          </w:p>
        </w:tc>
      </w:tr>
      <w:tr w:rsidR="00B90AA2" w:rsidRPr="00B90AA2" w:rsidTr="00B90AA2">
        <w:tc>
          <w:tcPr>
            <w:tcW w:w="190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оборотні активи (матеріали, канцелярські товари тощо)</w:t>
            </w:r>
          </w:p>
        </w:tc>
        <w:tc>
          <w:tcPr>
            <w:tcW w:w="100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5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50" w:type="pct"/>
            <w:gridSpan w:val="2"/>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B90AA2" w:rsidRPr="00B90AA2" w:rsidRDefault="00B90AA2" w:rsidP="00B90AA2">
      <w:pPr>
        <w:spacing w:after="0" w:line="240" w:lineRule="auto"/>
        <w:rPr>
          <w:rFonts w:ascii="Times New Roman" w:eastAsia="Times New Roman" w:hAnsi="Times New Roman" w:cs="Times New Roman"/>
          <w:vanish/>
          <w:sz w:val="24"/>
          <w:szCs w:val="24"/>
        </w:rPr>
      </w:pPr>
      <w:bookmarkStart w:id="14" w:name="n188"/>
      <w:bookmarkEnd w:id="14"/>
    </w:p>
    <w:tbl>
      <w:tblPr>
        <w:tblW w:w="5000" w:type="pct"/>
        <w:tblCellMar>
          <w:top w:w="15" w:type="dxa"/>
          <w:left w:w="15" w:type="dxa"/>
          <w:bottom w:w="15" w:type="dxa"/>
          <w:right w:w="15" w:type="dxa"/>
        </w:tblCellMar>
        <w:tblLook w:val="04A0" w:firstRow="1" w:lastRow="0" w:firstColumn="1" w:lastColumn="0" w:noHBand="0" w:noVBand="1"/>
      </w:tblPr>
      <w:tblGrid>
        <w:gridCol w:w="3836"/>
        <w:gridCol w:w="4032"/>
        <w:gridCol w:w="1769"/>
      </w:tblGrid>
      <w:tr w:rsidR="00B90AA2" w:rsidRPr="00B90AA2" w:rsidTr="00B90AA2">
        <w:tc>
          <w:tcPr>
            <w:tcW w:w="1950" w:type="pct"/>
            <w:tcBorders>
              <w:top w:val="single" w:sz="6" w:space="0" w:color="000000"/>
              <w:left w:val="nil"/>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Вид витрат</w:t>
            </w:r>
          </w:p>
        </w:tc>
        <w:tc>
          <w:tcPr>
            <w:tcW w:w="2050" w:type="pct"/>
            <w:tcBorders>
              <w:top w:val="single" w:sz="6" w:space="0" w:color="000000"/>
              <w:left w:val="single" w:sz="6" w:space="0" w:color="000000"/>
              <w:bottom w:val="single" w:sz="6" w:space="0" w:color="000000"/>
              <w:right w:val="single" w:sz="6" w:space="0" w:color="000000"/>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на оплату праці додатково найманого персоналу (за рік)</w:t>
            </w:r>
          </w:p>
        </w:tc>
        <w:tc>
          <w:tcPr>
            <w:tcW w:w="900" w:type="pct"/>
            <w:tcBorders>
              <w:top w:val="single" w:sz="6" w:space="0" w:color="000000"/>
              <w:left w:val="single" w:sz="6" w:space="0" w:color="000000"/>
              <w:bottom w:val="single" w:sz="6" w:space="0" w:color="000000"/>
              <w:right w:val="nil"/>
            </w:tcBorders>
            <w:hideMark/>
          </w:tcPr>
          <w:p w:rsidR="00B90AA2" w:rsidRPr="00B90AA2" w:rsidRDefault="00B90AA2" w:rsidP="00B90AA2">
            <w:pPr>
              <w:spacing w:after="0" w:line="240" w:lineRule="auto"/>
              <w:jc w:val="center"/>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Витрати за</w:t>
            </w:r>
            <w:r w:rsidRPr="00B90AA2">
              <w:rPr>
                <w:rFonts w:ascii="Times New Roman" w:eastAsia="Times New Roman" w:hAnsi="Times New Roman" w:cs="Times New Roman"/>
                <w:sz w:val="24"/>
                <w:szCs w:val="24"/>
              </w:rPr>
              <w:br/>
              <w:t>п’ять років</w:t>
            </w:r>
          </w:p>
        </w:tc>
      </w:tr>
      <w:tr w:rsidR="00B90AA2" w:rsidRPr="00B90AA2" w:rsidTr="00B90AA2">
        <w:tc>
          <w:tcPr>
            <w:tcW w:w="1950" w:type="pct"/>
            <w:tcBorders>
              <w:top w:val="single" w:sz="6" w:space="0" w:color="000000"/>
              <w:left w:val="single" w:sz="2" w:space="0" w:color="auto"/>
              <w:bottom w:val="single" w:sz="2" w:space="0" w:color="auto"/>
              <w:right w:val="single" w:sz="2" w:space="0" w:color="auto"/>
            </w:tcBorders>
            <w:hideMark/>
          </w:tcPr>
          <w:p w:rsidR="00B90AA2" w:rsidRPr="00B90AA2" w:rsidRDefault="00B90AA2" w:rsidP="00B90AA2">
            <w:pPr>
              <w:spacing w:after="0" w:line="240" w:lineRule="auto"/>
              <w:rPr>
                <w:rFonts w:ascii="Times New Roman" w:eastAsia="Times New Roman" w:hAnsi="Times New Roman" w:cs="Times New Roman"/>
                <w:sz w:val="24"/>
                <w:szCs w:val="24"/>
              </w:rPr>
            </w:pPr>
            <w:r w:rsidRPr="00B90AA2">
              <w:rPr>
                <w:rFonts w:ascii="Times New Roman" w:eastAsia="Times New Roman" w:hAnsi="Times New Roman" w:cs="Times New Roman"/>
                <w:sz w:val="24"/>
                <w:szCs w:val="24"/>
              </w:rPr>
              <w:t xml:space="preserve">Витрати, пов’язані із </w:t>
            </w:r>
            <w:proofErr w:type="spellStart"/>
            <w:r w:rsidRPr="00B90AA2">
              <w:rPr>
                <w:rFonts w:ascii="Times New Roman" w:eastAsia="Times New Roman" w:hAnsi="Times New Roman" w:cs="Times New Roman"/>
                <w:sz w:val="24"/>
                <w:szCs w:val="24"/>
              </w:rPr>
              <w:t>наймом</w:t>
            </w:r>
            <w:proofErr w:type="spellEnd"/>
            <w:r w:rsidRPr="00B90AA2">
              <w:rPr>
                <w:rFonts w:ascii="Times New Roman" w:eastAsia="Times New Roman" w:hAnsi="Times New Roman" w:cs="Times New Roman"/>
                <w:sz w:val="24"/>
                <w:szCs w:val="24"/>
              </w:rPr>
              <w:t xml:space="preserve"> додаткового персоналу</w:t>
            </w:r>
          </w:p>
        </w:tc>
        <w:tc>
          <w:tcPr>
            <w:tcW w:w="205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pct"/>
            <w:tcBorders>
              <w:top w:val="single" w:sz="6" w:space="0" w:color="000000"/>
              <w:left w:val="single" w:sz="2" w:space="0" w:color="auto"/>
              <w:bottom w:val="single" w:sz="2" w:space="0" w:color="auto"/>
              <w:right w:val="single" w:sz="2" w:space="0" w:color="auto"/>
            </w:tcBorders>
            <w:hideMark/>
          </w:tcPr>
          <w:p w:rsidR="00B90AA2" w:rsidRPr="00B90AA2" w:rsidRDefault="00605CA0" w:rsidP="00B90A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FD6BD5" w:rsidRDefault="00FD6BD5" w:rsidP="00B90AA2">
      <w:pPr>
        <w:tabs>
          <w:tab w:val="left" w:pos="7371"/>
        </w:tabs>
        <w:spacing w:after="0" w:line="240" w:lineRule="auto"/>
        <w:jc w:val="center"/>
        <w:rPr>
          <w:rFonts w:ascii="Times New Roman" w:eastAsia="Times New Roman" w:hAnsi="Times New Roman" w:cs="Times New Roman"/>
          <w:b/>
          <w:sz w:val="28"/>
          <w:szCs w:val="28"/>
        </w:rPr>
      </w:pPr>
    </w:p>
    <w:p w:rsidR="00DF3D94" w:rsidRPr="00B90AA2" w:rsidRDefault="00FD6BD5" w:rsidP="00B90AA2">
      <w:pPr>
        <w:tabs>
          <w:tab w:val="left" w:pos="7371"/>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______________________________________</w:t>
      </w:r>
    </w:p>
    <w:sectPr w:rsidR="00DF3D94" w:rsidRPr="00B90AA2" w:rsidSect="00B32392">
      <w:headerReference w:type="default" r:id="rId8"/>
      <w:pgSz w:w="11906" w:h="16838"/>
      <w:pgMar w:top="851" w:right="851" w:bottom="1701"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2A" w:rsidRDefault="0099442A" w:rsidP="00210328">
      <w:pPr>
        <w:spacing w:after="0" w:line="240" w:lineRule="auto"/>
      </w:pPr>
      <w:r>
        <w:separator/>
      </w:r>
    </w:p>
  </w:endnote>
  <w:endnote w:type="continuationSeparator" w:id="0">
    <w:p w:rsidR="0099442A" w:rsidRDefault="0099442A" w:rsidP="0021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2A" w:rsidRDefault="0099442A" w:rsidP="00210328">
      <w:pPr>
        <w:spacing w:after="0" w:line="240" w:lineRule="auto"/>
      </w:pPr>
      <w:r>
        <w:separator/>
      </w:r>
    </w:p>
  </w:footnote>
  <w:footnote w:type="continuationSeparator" w:id="0">
    <w:p w:rsidR="0099442A" w:rsidRDefault="0099442A" w:rsidP="0021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066282"/>
      <w:docPartObj>
        <w:docPartGallery w:val="Page Numbers (Top of Page)"/>
        <w:docPartUnique/>
      </w:docPartObj>
    </w:sdtPr>
    <w:sdtEndPr>
      <w:rPr>
        <w:rFonts w:ascii="Times New Roman" w:hAnsi="Times New Roman" w:cs="Times New Roman"/>
        <w:sz w:val="24"/>
      </w:rPr>
    </w:sdtEndPr>
    <w:sdtContent>
      <w:p w:rsidR="00FD6BD5" w:rsidRPr="00210328" w:rsidRDefault="00FD6BD5">
        <w:pPr>
          <w:pStyle w:val="ae"/>
          <w:jc w:val="center"/>
          <w:rPr>
            <w:rFonts w:ascii="Times New Roman" w:hAnsi="Times New Roman" w:cs="Times New Roman"/>
            <w:sz w:val="24"/>
          </w:rPr>
        </w:pPr>
        <w:r w:rsidRPr="00210328">
          <w:rPr>
            <w:rFonts w:ascii="Times New Roman" w:hAnsi="Times New Roman" w:cs="Times New Roman"/>
            <w:sz w:val="24"/>
          </w:rPr>
          <w:fldChar w:fldCharType="begin"/>
        </w:r>
        <w:r w:rsidRPr="00210328">
          <w:rPr>
            <w:rFonts w:ascii="Times New Roman" w:hAnsi="Times New Roman" w:cs="Times New Roman"/>
            <w:sz w:val="24"/>
          </w:rPr>
          <w:instrText>PAGE   \* MERGEFORMAT</w:instrText>
        </w:r>
        <w:r w:rsidRPr="00210328">
          <w:rPr>
            <w:rFonts w:ascii="Times New Roman" w:hAnsi="Times New Roman" w:cs="Times New Roman"/>
            <w:sz w:val="24"/>
          </w:rPr>
          <w:fldChar w:fldCharType="separate"/>
        </w:r>
        <w:r w:rsidR="00841266">
          <w:rPr>
            <w:rFonts w:ascii="Times New Roman" w:hAnsi="Times New Roman" w:cs="Times New Roman"/>
            <w:noProof/>
            <w:sz w:val="24"/>
          </w:rPr>
          <w:t>10</w:t>
        </w:r>
        <w:r w:rsidRPr="00210328">
          <w:rPr>
            <w:rFonts w:ascii="Times New Roman" w:hAnsi="Times New Roman" w:cs="Times New Roman"/>
            <w:sz w:val="24"/>
          </w:rPr>
          <w:fldChar w:fldCharType="end"/>
        </w:r>
      </w:p>
    </w:sdtContent>
  </w:sdt>
  <w:p w:rsidR="00FD6BD5" w:rsidRDefault="00FD6BD5">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9D"/>
    <w:rsid w:val="000F183A"/>
    <w:rsid w:val="00124845"/>
    <w:rsid w:val="00125DF2"/>
    <w:rsid w:val="00127438"/>
    <w:rsid w:val="00172B14"/>
    <w:rsid w:val="001D7205"/>
    <w:rsid w:val="001F43A4"/>
    <w:rsid w:val="00210328"/>
    <w:rsid w:val="002D7622"/>
    <w:rsid w:val="002F508E"/>
    <w:rsid w:val="004C33E6"/>
    <w:rsid w:val="004F3E07"/>
    <w:rsid w:val="00561511"/>
    <w:rsid w:val="005754A2"/>
    <w:rsid w:val="00576E4F"/>
    <w:rsid w:val="00605CA0"/>
    <w:rsid w:val="006246EF"/>
    <w:rsid w:val="006464D0"/>
    <w:rsid w:val="006A2167"/>
    <w:rsid w:val="006F6558"/>
    <w:rsid w:val="00716C69"/>
    <w:rsid w:val="007A1C60"/>
    <w:rsid w:val="007B6B97"/>
    <w:rsid w:val="007C5923"/>
    <w:rsid w:val="00841266"/>
    <w:rsid w:val="00861A5A"/>
    <w:rsid w:val="008E444B"/>
    <w:rsid w:val="009850D3"/>
    <w:rsid w:val="0099442A"/>
    <w:rsid w:val="00A7092D"/>
    <w:rsid w:val="00AB1AF8"/>
    <w:rsid w:val="00AD5772"/>
    <w:rsid w:val="00AF149D"/>
    <w:rsid w:val="00B32392"/>
    <w:rsid w:val="00B47B0E"/>
    <w:rsid w:val="00B60B99"/>
    <w:rsid w:val="00B90AA2"/>
    <w:rsid w:val="00B913CB"/>
    <w:rsid w:val="00C12D7F"/>
    <w:rsid w:val="00C60A7D"/>
    <w:rsid w:val="00C66DE3"/>
    <w:rsid w:val="00CE1EF3"/>
    <w:rsid w:val="00D379BE"/>
    <w:rsid w:val="00D50D05"/>
    <w:rsid w:val="00D53202"/>
    <w:rsid w:val="00D747E3"/>
    <w:rsid w:val="00D8248E"/>
    <w:rsid w:val="00D92D23"/>
    <w:rsid w:val="00DC1566"/>
    <w:rsid w:val="00DF3D94"/>
    <w:rsid w:val="00E2564D"/>
    <w:rsid w:val="00EE0211"/>
    <w:rsid w:val="00F5713F"/>
    <w:rsid w:val="00FD6BD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0D90"/>
  <w15:docId w15:val="{18350281-5BC9-4051-825A-BFE4C881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rvps12">
    <w:name w:val="rvps12"/>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55E69"/>
  </w:style>
  <w:style w:type="paragraph" w:customStyle="1" w:styleId="rvps2">
    <w:name w:val="rvps2"/>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155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155E69"/>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paragraph" w:styleId="ad">
    <w:name w:val="List Paragraph"/>
    <w:basedOn w:val="a"/>
    <w:uiPriority w:val="34"/>
    <w:qFormat/>
    <w:rsid w:val="00D747E3"/>
    <w:pPr>
      <w:ind w:left="720"/>
      <w:contextualSpacing/>
    </w:pPr>
  </w:style>
  <w:style w:type="paragraph" w:styleId="ae">
    <w:name w:val="header"/>
    <w:basedOn w:val="a"/>
    <w:link w:val="af"/>
    <w:uiPriority w:val="99"/>
    <w:unhideWhenUsed/>
    <w:rsid w:val="00210328"/>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210328"/>
  </w:style>
  <w:style w:type="paragraph" w:styleId="af0">
    <w:name w:val="footer"/>
    <w:basedOn w:val="a"/>
    <w:link w:val="af1"/>
    <w:uiPriority w:val="99"/>
    <w:unhideWhenUsed/>
    <w:rsid w:val="00210328"/>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210328"/>
  </w:style>
  <w:style w:type="table" w:customStyle="1" w:styleId="10">
    <w:name w:val="Сітка таблиці1"/>
    <w:basedOn w:val="a1"/>
    <w:next w:val="af2"/>
    <w:uiPriority w:val="39"/>
    <w:rsid w:val="00B32392"/>
    <w:pPr>
      <w:spacing w:after="0" w:line="240" w:lineRule="auto"/>
    </w:pPr>
    <w:rPr>
      <w:rFonts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B32392"/>
    <w:pPr>
      <w:spacing w:after="0" w:line="240" w:lineRule="auto"/>
    </w:pPr>
    <w:rPr>
      <w:rFonts w:eastAsia="Times New Roman"/>
      <w:sz w:val="20"/>
      <w:szCs w:val="20"/>
      <w:lang w:eastAsia="en-US"/>
    </w:rPr>
  </w:style>
  <w:style w:type="character" w:customStyle="1" w:styleId="af4">
    <w:name w:val="Текст виноски Знак"/>
    <w:basedOn w:val="a0"/>
    <w:link w:val="af3"/>
    <w:uiPriority w:val="99"/>
    <w:semiHidden/>
    <w:rsid w:val="00B32392"/>
    <w:rPr>
      <w:rFonts w:eastAsia="Times New Roman"/>
      <w:sz w:val="20"/>
      <w:szCs w:val="20"/>
      <w:lang w:eastAsia="en-US"/>
    </w:rPr>
  </w:style>
  <w:style w:type="character" w:styleId="af5">
    <w:name w:val="footnote reference"/>
    <w:basedOn w:val="a0"/>
    <w:uiPriority w:val="99"/>
    <w:semiHidden/>
    <w:unhideWhenUsed/>
    <w:rsid w:val="00B32392"/>
    <w:rPr>
      <w:vertAlign w:val="superscript"/>
    </w:rPr>
  </w:style>
  <w:style w:type="table" w:styleId="af2">
    <w:name w:val="Table Grid"/>
    <w:basedOn w:val="a1"/>
    <w:uiPriority w:val="39"/>
    <w:rsid w:val="00B32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1"/>
    <w:qFormat/>
    <w:rsid w:val="000F183A"/>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7">
    <w:name w:val="Основний текст Знак"/>
    <w:basedOn w:val="a0"/>
    <w:link w:val="af6"/>
    <w:uiPriority w:val="1"/>
    <w:rsid w:val="000F183A"/>
    <w:rPr>
      <w:rFonts w:ascii="Times New Roman" w:eastAsia="Times New Roman" w:hAnsi="Times New Roman" w:cs="Times New Roman"/>
      <w:sz w:val="28"/>
      <w:szCs w:val="28"/>
      <w:lang w:eastAsia="en-US"/>
    </w:rPr>
  </w:style>
  <w:style w:type="paragraph" w:styleId="af8">
    <w:name w:val="Balloon Text"/>
    <w:basedOn w:val="a"/>
    <w:link w:val="af9"/>
    <w:uiPriority w:val="99"/>
    <w:semiHidden/>
    <w:unhideWhenUsed/>
    <w:rsid w:val="00561511"/>
    <w:pPr>
      <w:spacing w:after="0"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561511"/>
    <w:rPr>
      <w:rFonts w:ascii="Segoe UI" w:hAnsi="Segoe UI" w:cs="Segoe UI"/>
      <w:sz w:val="18"/>
      <w:szCs w:val="18"/>
    </w:rPr>
  </w:style>
  <w:style w:type="paragraph" w:customStyle="1" w:styleId="rvps3">
    <w:name w:val="rvps3"/>
    <w:basedOn w:val="a"/>
    <w:rsid w:val="00B90A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1020">
      <w:bodyDiv w:val="1"/>
      <w:marLeft w:val="0"/>
      <w:marRight w:val="0"/>
      <w:marTop w:val="0"/>
      <w:marBottom w:val="0"/>
      <w:divBdr>
        <w:top w:val="none" w:sz="0" w:space="0" w:color="auto"/>
        <w:left w:val="none" w:sz="0" w:space="0" w:color="auto"/>
        <w:bottom w:val="none" w:sz="0" w:space="0" w:color="auto"/>
        <w:right w:val="none" w:sz="0" w:space="0" w:color="auto"/>
      </w:divBdr>
    </w:div>
    <w:div w:id="165873211">
      <w:bodyDiv w:val="1"/>
      <w:marLeft w:val="0"/>
      <w:marRight w:val="0"/>
      <w:marTop w:val="0"/>
      <w:marBottom w:val="0"/>
      <w:divBdr>
        <w:top w:val="none" w:sz="0" w:space="0" w:color="auto"/>
        <w:left w:val="none" w:sz="0" w:space="0" w:color="auto"/>
        <w:bottom w:val="none" w:sz="0" w:space="0" w:color="auto"/>
        <w:right w:val="none" w:sz="0" w:space="0" w:color="auto"/>
      </w:divBdr>
      <w:divsChild>
        <w:div w:id="1885830473">
          <w:marLeft w:val="0"/>
          <w:marRight w:val="0"/>
          <w:marTop w:val="0"/>
          <w:marBottom w:val="0"/>
          <w:divBdr>
            <w:top w:val="none" w:sz="0" w:space="0" w:color="auto"/>
            <w:left w:val="none" w:sz="0" w:space="0" w:color="auto"/>
            <w:bottom w:val="none" w:sz="0" w:space="0" w:color="auto"/>
            <w:right w:val="none" w:sz="0" w:space="0" w:color="auto"/>
          </w:divBdr>
          <w:divsChild>
            <w:div w:id="4860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3732">
      <w:bodyDiv w:val="1"/>
      <w:marLeft w:val="0"/>
      <w:marRight w:val="0"/>
      <w:marTop w:val="0"/>
      <w:marBottom w:val="0"/>
      <w:divBdr>
        <w:top w:val="none" w:sz="0" w:space="0" w:color="auto"/>
        <w:left w:val="none" w:sz="0" w:space="0" w:color="auto"/>
        <w:bottom w:val="none" w:sz="0" w:space="0" w:color="auto"/>
        <w:right w:val="none" w:sz="0" w:space="0" w:color="auto"/>
      </w:divBdr>
      <w:divsChild>
        <w:div w:id="534274202">
          <w:marLeft w:val="0"/>
          <w:marRight w:val="0"/>
          <w:marTop w:val="0"/>
          <w:marBottom w:val="0"/>
          <w:divBdr>
            <w:top w:val="none" w:sz="0" w:space="0" w:color="auto"/>
            <w:left w:val="none" w:sz="0" w:space="0" w:color="auto"/>
            <w:bottom w:val="none" w:sz="0" w:space="0" w:color="auto"/>
            <w:right w:val="none" w:sz="0" w:space="0" w:color="auto"/>
          </w:divBdr>
          <w:divsChild>
            <w:div w:id="128746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4482">
      <w:bodyDiv w:val="1"/>
      <w:marLeft w:val="0"/>
      <w:marRight w:val="0"/>
      <w:marTop w:val="0"/>
      <w:marBottom w:val="0"/>
      <w:divBdr>
        <w:top w:val="none" w:sz="0" w:space="0" w:color="auto"/>
        <w:left w:val="none" w:sz="0" w:space="0" w:color="auto"/>
        <w:bottom w:val="none" w:sz="0" w:space="0" w:color="auto"/>
        <w:right w:val="none" w:sz="0" w:space="0" w:color="auto"/>
      </w:divBdr>
    </w:div>
    <w:div w:id="282349606">
      <w:bodyDiv w:val="1"/>
      <w:marLeft w:val="0"/>
      <w:marRight w:val="0"/>
      <w:marTop w:val="0"/>
      <w:marBottom w:val="0"/>
      <w:divBdr>
        <w:top w:val="none" w:sz="0" w:space="0" w:color="auto"/>
        <w:left w:val="none" w:sz="0" w:space="0" w:color="auto"/>
        <w:bottom w:val="none" w:sz="0" w:space="0" w:color="auto"/>
        <w:right w:val="none" w:sz="0" w:space="0" w:color="auto"/>
      </w:divBdr>
      <w:divsChild>
        <w:div w:id="2007585439">
          <w:marLeft w:val="0"/>
          <w:marRight w:val="0"/>
          <w:marTop w:val="0"/>
          <w:marBottom w:val="0"/>
          <w:divBdr>
            <w:top w:val="none" w:sz="0" w:space="0" w:color="auto"/>
            <w:left w:val="none" w:sz="0" w:space="0" w:color="auto"/>
            <w:bottom w:val="none" w:sz="0" w:space="0" w:color="auto"/>
            <w:right w:val="none" w:sz="0" w:space="0" w:color="auto"/>
          </w:divBdr>
          <w:divsChild>
            <w:div w:id="623384000">
              <w:marLeft w:val="0"/>
              <w:marRight w:val="0"/>
              <w:marTop w:val="0"/>
              <w:marBottom w:val="150"/>
              <w:divBdr>
                <w:top w:val="none" w:sz="0" w:space="0" w:color="auto"/>
                <w:left w:val="none" w:sz="0" w:space="0" w:color="auto"/>
                <w:bottom w:val="none" w:sz="0" w:space="0" w:color="auto"/>
                <w:right w:val="none" w:sz="0" w:space="0" w:color="auto"/>
              </w:divBdr>
            </w:div>
          </w:divsChild>
        </w:div>
        <w:div w:id="1078092528">
          <w:marLeft w:val="0"/>
          <w:marRight w:val="0"/>
          <w:marTop w:val="0"/>
          <w:marBottom w:val="0"/>
          <w:divBdr>
            <w:top w:val="none" w:sz="0" w:space="0" w:color="auto"/>
            <w:left w:val="none" w:sz="0" w:space="0" w:color="auto"/>
            <w:bottom w:val="none" w:sz="0" w:space="0" w:color="auto"/>
            <w:right w:val="none" w:sz="0" w:space="0" w:color="auto"/>
          </w:divBdr>
        </w:div>
        <w:div w:id="183596353">
          <w:marLeft w:val="0"/>
          <w:marRight w:val="0"/>
          <w:marTop w:val="0"/>
          <w:marBottom w:val="0"/>
          <w:divBdr>
            <w:top w:val="none" w:sz="0" w:space="0" w:color="auto"/>
            <w:left w:val="none" w:sz="0" w:space="0" w:color="auto"/>
            <w:bottom w:val="none" w:sz="0" w:space="0" w:color="auto"/>
            <w:right w:val="none" w:sz="0" w:space="0" w:color="auto"/>
          </w:divBdr>
          <w:divsChild>
            <w:div w:id="697047435">
              <w:marLeft w:val="0"/>
              <w:marRight w:val="0"/>
              <w:marTop w:val="150"/>
              <w:marBottom w:val="150"/>
              <w:divBdr>
                <w:top w:val="none" w:sz="0" w:space="0" w:color="auto"/>
                <w:left w:val="none" w:sz="0" w:space="0" w:color="auto"/>
                <w:bottom w:val="none" w:sz="0" w:space="0" w:color="auto"/>
                <w:right w:val="none" w:sz="0" w:space="0" w:color="auto"/>
              </w:divBdr>
            </w:div>
          </w:divsChild>
        </w:div>
        <w:div w:id="1960795095">
          <w:marLeft w:val="0"/>
          <w:marRight w:val="0"/>
          <w:marTop w:val="0"/>
          <w:marBottom w:val="0"/>
          <w:divBdr>
            <w:top w:val="none" w:sz="0" w:space="0" w:color="auto"/>
            <w:left w:val="none" w:sz="0" w:space="0" w:color="auto"/>
            <w:bottom w:val="none" w:sz="0" w:space="0" w:color="auto"/>
            <w:right w:val="none" w:sz="0" w:space="0" w:color="auto"/>
          </w:divBdr>
        </w:div>
        <w:div w:id="320620877">
          <w:marLeft w:val="0"/>
          <w:marRight w:val="0"/>
          <w:marTop w:val="0"/>
          <w:marBottom w:val="0"/>
          <w:divBdr>
            <w:top w:val="none" w:sz="0" w:space="0" w:color="auto"/>
            <w:left w:val="none" w:sz="0" w:space="0" w:color="auto"/>
            <w:bottom w:val="none" w:sz="0" w:space="0" w:color="auto"/>
            <w:right w:val="none" w:sz="0" w:space="0" w:color="auto"/>
          </w:divBdr>
          <w:divsChild>
            <w:div w:id="1718895514">
              <w:marLeft w:val="0"/>
              <w:marRight w:val="0"/>
              <w:marTop w:val="150"/>
              <w:marBottom w:val="150"/>
              <w:divBdr>
                <w:top w:val="none" w:sz="0" w:space="0" w:color="auto"/>
                <w:left w:val="none" w:sz="0" w:space="0" w:color="auto"/>
                <w:bottom w:val="none" w:sz="0" w:space="0" w:color="auto"/>
                <w:right w:val="none" w:sz="0" w:space="0" w:color="auto"/>
              </w:divBdr>
            </w:div>
          </w:divsChild>
        </w:div>
        <w:div w:id="1374428645">
          <w:marLeft w:val="0"/>
          <w:marRight w:val="0"/>
          <w:marTop w:val="0"/>
          <w:marBottom w:val="0"/>
          <w:divBdr>
            <w:top w:val="none" w:sz="0" w:space="0" w:color="auto"/>
            <w:left w:val="none" w:sz="0" w:space="0" w:color="auto"/>
            <w:bottom w:val="none" w:sz="0" w:space="0" w:color="auto"/>
            <w:right w:val="none" w:sz="0" w:space="0" w:color="auto"/>
          </w:divBdr>
          <w:divsChild>
            <w:div w:id="1917088011">
              <w:marLeft w:val="0"/>
              <w:marRight w:val="0"/>
              <w:marTop w:val="150"/>
              <w:marBottom w:val="150"/>
              <w:divBdr>
                <w:top w:val="none" w:sz="0" w:space="0" w:color="auto"/>
                <w:left w:val="none" w:sz="0" w:space="0" w:color="auto"/>
                <w:bottom w:val="none" w:sz="0" w:space="0" w:color="auto"/>
                <w:right w:val="none" w:sz="0" w:space="0" w:color="auto"/>
              </w:divBdr>
            </w:div>
          </w:divsChild>
        </w:div>
        <w:div w:id="2064333088">
          <w:marLeft w:val="0"/>
          <w:marRight w:val="0"/>
          <w:marTop w:val="0"/>
          <w:marBottom w:val="0"/>
          <w:divBdr>
            <w:top w:val="none" w:sz="0" w:space="0" w:color="auto"/>
            <w:left w:val="none" w:sz="0" w:space="0" w:color="auto"/>
            <w:bottom w:val="none" w:sz="0" w:space="0" w:color="auto"/>
            <w:right w:val="none" w:sz="0" w:space="0" w:color="auto"/>
          </w:divBdr>
        </w:div>
        <w:div w:id="1177693549">
          <w:marLeft w:val="0"/>
          <w:marRight w:val="0"/>
          <w:marTop w:val="0"/>
          <w:marBottom w:val="0"/>
          <w:divBdr>
            <w:top w:val="none" w:sz="0" w:space="0" w:color="auto"/>
            <w:left w:val="none" w:sz="0" w:space="0" w:color="auto"/>
            <w:bottom w:val="none" w:sz="0" w:space="0" w:color="auto"/>
            <w:right w:val="none" w:sz="0" w:space="0" w:color="auto"/>
          </w:divBdr>
          <w:divsChild>
            <w:div w:id="1471246846">
              <w:marLeft w:val="0"/>
              <w:marRight w:val="0"/>
              <w:marTop w:val="150"/>
              <w:marBottom w:val="150"/>
              <w:divBdr>
                <w:top w:val="none" w:sz="0" w:space="0" w:color="auto"/>
                <w:left w:val="none" w:sz="0" w:space="0" w:color="auto"/>
                <w:bottom w:val="none" w:sz="0" w:space="0" w:color="auto"/>
                <w:right w:val="none" w:sz="0" w:space="0" w:color="auto"/>
              </w:divBdr>
            </w:div>
          </w:divsChild>
        </w:div>
        <w:div w:id="839586041">
          <w:marLeft w:val="0"/>
          <w:marRight w:val="0"/>
          <w:marTop w:val="0"/>
          <w:marBottom w:val="0"/>
          <w:divBdr>
            <w:top w:val="none" w:sz="0" w:space="0" w:color="auto"/>
            <w:left w:val="none" w:sz="0" w:space="0" w:color="auto"/>
            <w:bottom w:val="none" w:sz="0" w:space="0" w:color="auto"/>
            <w:right w:val="none" w:sz="0" w:space="0" w:color="auto"/>
          </w:divBdr>
        </w:div>
        <w:div w:id="1765226916">
          <w:marLeft w:val="0"/>
          <w:marRight w:val="0"/>
          <w:marTop w:val="0"/>
          <w:marBottom w:val="0"/>
          <w:divBdr>
            <w:top w:val="none" w:sz="0" w:space="0" w:color="auto"/>
            <w:left w:val="none" w:sz="0" w:space="0" w:color="auto"/>
            <w:bottom w:val="none" w:sz="0" w:space="0" w:color="auto"/>
            <w:right w:val="none" w:sz="0" w:space="0" w:color="auto"/>
          </w:divBdr>
          <w:divsChild>
            <w:div w:id="593438522">
              <w:marLeft w:val="0"/>
              <w:marRight w:val="0"/>
              <w:marTop w:val="150"/>
              <w:marBottom w:val="150"/>
              <w:divBdr>
                <w:top w:val="none" w:sz="0" w:space="0" w:color="auto"/>
                <w:left w:val="none" w:sz="0" w:space="0" w:color="auto"/>
                <w:bottom w:val="none" w:sz="0" w:space="0" w:color="auto"/>
                <w:right w:val="none" w:sz="0" w:space="0" w:color="auto"/>
              </w:divBdr>
            </w:div>
          </w:divsChild>
        </w:div>
        <w:div w:id="890967766">
          <w:marLeft w:val="0"/>
          <w:marRight w:val="0"/>
          <w:marTop w:val="0"/>
          <w:marBottom w:val="0"/>
          <w:divBdr>
            <w:top w:val="none" w:sz="0" w:space="0" w:color="auto"/>
            <w:left w:val="none" w:sz="0" w:space="0" w:color="auto"/>
            <w:bottom w:val="none" w:sz="0" w:space="0" w:color="auto"/>
            <w:right w:val="none" w:sz="0" w:space="0" w:color="auto"/>
          </w:divBdr>
          <w:divsChild>
            <w:div w:id="11872091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46952458">
      <w:bodyDiv w:val="1"/>
      <w:marLeft w:val="0"/>
      <w:marRight w:val="0"/>
      <w:marTop w:val="0"/>
      <w:marBottom w:val="0"/>
      <w:divBdr>
        <w:top w:val="none" w:sz="0" w:space="0" w:color="auto"/>
        <w:left w:val="none" w:sz="0" w:space="0" w:color="auto"/>
        <w:bottom w:val="none" w:sz="0" w:space="0" w:color="auto"/>
        <w:right w:val="none" w:sz="0" w:space="0" w:color="auto"/>
      </w:divBdr>
    </w:div>
    <w:div w:id="463932175">
      <w:bodyDiv w:val="1"/>
      <w:marLeft w:val="0"/>
      <w:marRight w:val="0"/>
      <w:marTop w:val="0"/>
      <w:marBottom w:val="0"/>
      <w:divBdr>
        <w:top w:val="none" w:sz="0" w:space="0" w:color="auto"/>
        <w:left w:val="none" w:sz="0" w:space="0" w:color="auto"/>
        <w:bottom w:val="none" w:sz="0" w:space="0" w:color="auto"/>
        <w:right w:val="none" w:sz="0" w:space="0" w:color="auto"/>
      </w:divBdr>
    </w:div>
    <w:div w:id="537546878">
      <w:bodyDiv w:val="1"/>
      <w:marLeft w:val="0"/>
      <w:marRight w:val="0"/>
      <w:marTop w:val="0"/>
      <w:marBottom w:val="0"/>
      <w:divBdr>
        <w:top w:val="none" w:sz="0" w:space="0" w:color="auto"/>
        <w:left w:val="none" w:sz="0" w:space="0" w:color="auto"/>
        <w:bottom w:val="none" w:sz="0" w:space="0" w:color="auto"/>
        <w:right w:val="none" w:sz="0" w:space="0" w:color="auto"/>
      </w:divBdr>
    </w:div>
    <w:div w:id="853232256">
      <w:bodyDiv w:val="1"/>
      <w:marLeft w:val="0"/>
      <w:marRight w:val="0"/>
      <w:marTop w:val="0"/>
      <w:marBottom w:val="0"/>
      <w:divBdr>
        <w:top w:val="none" w:sz="0" w:space="0" w:color="auto"/>
        <w:left w:val="none" w:sz="0" w:space="0" w:color="auto"/>
        <w:bottom w:val="none" w:sz="0" w:space="0" w:color="auto"/>
        <w:right w:val="none" w:sz="0" w:space="0" w:color="auto"/>
      </w:divBdr>
      <w:divsChild>
        <w:div w:id="1549805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861601">
      <w:bodyDiv w:val="1"/>
      <w:marLeft w:val="0"/>
      <w:marRight w:val="0"/>
      <w:marTop w:val="0"/>
      <w:marBottom w:val="0"/>
      <w:divBdr>
        <w:top w:val="none" w:sz="0" w:space="0" w:color="auto"/>
        <w:left w:val="none" w:sz="0" w:space="0" w:color="auto"/>
        <w:bottom w:val="none" w:sz="0" w:space="0" w:color="auto"/>
        <w:right w:val="none" w:sz="0" w:space="0" w:color="auto"/>
      </w:divBdr>
    </w:div>
    <w:div w:id="1819952121">
      <w:bodyDiv w:val="1"/>
      <w:marLeft w:val="0"/>
      <w:marRight w:val="0"/>
      <w:marTop w:val="0"/>
      <w:marBottom w:val="0"/>
      <w:divBdr>
        <w:top w:val="none" w:sz="0" w:space="0" w:color="auto"/>
        <w:left w:val="none" w:sz="0" w:space="0" w:color="auto"/>
        <w:bottom w:val="none" w:sz="0" w:space="0" w:color="auto"/>
        <w:right w:val="none" w:sz="0" w:space="0" w:color="auto"/>
      </w:divBdr>
    </w:div>
    <w:div w:id="1881042826">
      <w:bodyDiv w:val="1"/>
      <w:marLeft w:val="0"/>
      <w:marRight w:val="0"/>
      <w:marTop w:val="0"/>
      <w:marBottom w:val="0"/>
      <w:divBdr>
        <w:top w:val="none" w:sz="0" w:space="0" w:color="auto"/>
        <w:left w:val="none" w:sz="0" w:space="0" w:color="auto"/>
        <w:bottom w:val="none" w:sz="0" w:space="0" w:color="auto"/>
        <w:right w:val="none" w:sz="0" w:space="0" w:color="auto"/>
      </w:divBdr>
    </w:div>
    <w:div w:id="2026783790">
      <w:bodyDiv w:val="1"/>
      <w:marLeft w:val="0"/>
      <w:marRight w:val="0"/>
      <w:marTop w:val="0"/>
      <w:marBottom w:val="0"/>
      <w:divBdr>
        <w:top w:val="none" w:sz="0" w:space="0" w:color="auto"/>
        <w:left w:val="none" w:sz="0" w:space="0" w:color="auto"/>
        <w:bottom w:val="none" w:sz="0" w:space="0" w:color="auto"/>
        <w:right w:val="none" w:sz="0" w:space="0" w:color="auto"/>
      </w:divBdr>
      <w:divsChild>
        <w:div w:id="1713574950">
          <w:marLeft w:val="0"/>
          <w:marRight w:val="0"/>
          <w:marTop w:val="0"/>
          <w:marBottom w:val="0"/>
          <w:divBdr>
            <w:top w:val="none" w:sz="0" w:space="0" w:color="auto"/>
            <w:left w:val="none" w:sz="0" w:space="0" w:color="auto"/>
            <w:bottom w:val="none" w:sz="0" w:space="0" w:color="auto"/>
            <w:right w:val="none" w:sz="0" w:space="0" w:color="auto"/>
          </w:divBdr>
          <w:divsChild>
            <w:div w:id="17937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CYvTf9P148xEaR27cBsT6t7yg==">CgMxLjAyD2lkLnM1emRzbjlvbTN2ZjgAciExWUZkeG44UUVXaU5iV2VhRjlWNDBXZVRZLWJFV0hkeXM=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909BB4-8F40-4788-9B07-63521E0B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20</Pages>
  <Words>22255</Words>
  <Characters>12686</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Заїка Олена</dc:creator>
  <cp:lastModifiedBy>olga.pylypenko</cp:lastModifiedBy>
  <cp:revision>11</cp:revision>
  <cp:lastPrinted>2025-07-28T06:39:00Z</cp:lastPrinted>
  <dcterms:created xsi:type="dcterms:W3CDTF">2025-07-28T06:56:00Z</dcterms:created>
  <dcterms:modified xsi:type="dcterms:W3CDTF">2025-07-31T07:04:00Z</dcterms:modified>
</cp:coreProperties>
</file>